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51217" w14:textId="2233E58F" w:rsidR="00FB3472" w:rsidRPr="00C91F40" w:rsidRDefault="000C4F5F" w:rsidP="00FB3472">
      <w:pPr>
        <w:spacing w:line="360" w:lineRule="auto"/>
        <w:jc w:val="center"/>
        <w:rPr>
          <w:rFonts w:ascii="Times New Roman" w:hAnsi="Times New Roman" w:cs="Times New Roman"/>
          <w:sz w:val="24"/>
          <w:szCs w:val="24"/>
        </w:rPr>
      </w:pPr>
      <w:r w:rsidRPr="00C91F40">
        <w:rPr>
          <w:rFonts w:ascii="Times New Roman" w:hAnsi="Times New Roman" w:cs="Times New Roman"/>
          <w:sz w:val="24"/>
          <w:szCs w:val="24"/>
        </w:rPr>
        <w:t>Visualising the Link Between Carpal Bones and their Etymologies</w:t>
      </w:r>
    </w:p>
    <w:p w14:paraId="69ED7557" w14:textId="77777777" w:rsidR="000C4F5F" w:rsidRPr="00C91F40" w:rsidRDefault="000C4F5F" w:rsidP="009119A7">
      <w:pPr>
        <w:spacing w:line="360" w:lineRule="auto"/>
        <w:rPr>
          <w:rFonts w:ascii="Times New Roman" w:hAnsi="Times New Roman" w:cs="Times New Roman"/>
          <w:b/>
          <w:bCs/>
          <w:sz w:val="24"/>
          <w:szCs w:val="24"/>
        </w:rPr>
      </w:pPr>
      <w:r w:rsidRPr="00C91F40">
        <w:rPr>
          <w:rFonts w:ascii="Times New Roman" w:hAnsi="Times New Roman" w:cs="Times New Roman"/>
          <w:b/>
          <w:bCs/>
          <w:sz w:val="24"/>
          <w:szCs w:val="24"/>
        </w:rPr>
        <w:t>Abstract</w:t>
      </w:r>
    </w:p>
    <w:p w14:paraId="26C9ACFF" w14:textId="5A1820CD" w:rsidR="00FA1E2D" w:rsidRDefault="000C4F5F" w:rsidP="009119A7">
      <w:pPr>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 xml:space="preserve">It has been observed through published studies, as well as </w:t>
      </w:r>
      <w:r w:rsidR="003E20CB">
        <w:rPr>
          <w:rFonts w:ascii="Times New Roman" w:hAnsi="Times New Roman" w:cs="Times New Roman"/>
          <w:sz w:val="24"/>
          <w:szCs w:val="24"/>
        </w:rPr>
        <w:t>anecdotally</w:t>
      </w:r>
      <w:r w:rsidRPr="00C91F40">
        <w:rPr>
          <w:rFonts w:ascii="Times New Roman" w:hAnsi="Times New Roman" w:cs="Times New Roman"/>
          <w:sz w:val="24"/>
          <w:szCs w:val="24"/>
        </w:rPr>
        <w:t xml:space="preserve">, that medical students struggle with retention of anatomical knowledge. Studies have found that having an established understanding of classical Greek or Latin languages, </w:t>
      </w:r>
      <w:r w:rsidR="003E20CB">
        <w:rPr>
          <w:rFonts w:ascii="Times New Roman" w:hAnsi="Times New Roman" w:cs="Times New Roman"/>
          <w:sz w:val="24"/>
          <w:szCs w:val="24"/>
        </w:rPr>
        <w:t>which underpin</w:t>
      </w:r>
      <w:r w:rsidRPr="00C91F40">
        <w:rPr>
          <w:rFonts w:ascii="Times New Roman" w:hAnsi="Times New Roman" w:cs="Times New Roman"/>
          <w:sz w:val="24"/>
          <w:szCs w:val="24"/>
        </w:rPr>
        <w:t xml:space="preserve"> medical terminology, can result in higher anatomy test scores by medical students. It has also been established that three-dimensional (3D) visualisation tools can aid in student learning. This chapter will examine the research conducted at the University of Glasgow which focused on the creation of a mobile application that visualises the etymology of the carpal bones for the purpose of aiding medical students in their learning and retention of knowledge of the anatomy. The chapter will first build a body of knowledge by reviewing previous studies in which a carpal bone test was used as a measure of medical students’ anatomy knowledge, as well as the relevance of etymology in medicine and its use in the study of anatomy, and the current teaching methods of anatomy, with a focus on how 3D visualisation tools can aid learning. It then outlines a methodological and technical framework to create anatomically accurate 3D models of the carpal bones and develop the final mobile application. It also discusses the methodology used to carry out suitable user testing and collect user feedback. This chapter concludes discussing the results of user testing, where feedback was analysed to improve the mobile application design for further use in anatomy teaching. Limitations and future outlooks of the study, along with the future of integrating 3D visualisation tools as teaching methods to aid in student learning of anatomy are also explored.</w:t>
      </w:r>
    </w:p>
    <w:p w14:paraId="6AAF2C3D" w14:textId="3BFA5353" w:rsidR="000F1E28" w:rsidRDefault="00C845DA" w:rsidP="009119A7">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Keywords: Medical Visualisation, Carpal Bones, Etymology, 3D Models, </w:t>
      </w:r>
      <w:r w:rsidR="000B1357">
        <w:rPr>
          <w:rFonts w:ascii="Times New Roman" w:hAnsi="Times New Roman" w:cs="Times New Roman"/>
          <w:sz w:val="24"/>
          <w:szCs w:val="24"/>
        </w:rPr>
        <w:t>Educational Application</w:t>
      </w:r>
    </w:p>
    <w:p w14:paraId="1A35EA89" w14:textId="5F53B728" w:rsidR="00FA1E2D" w:rsidRPr="00C91F40" w:rsidRDefault="00FB3472" w:rsidP="00F148CF">
      <w:pPr>
        <w:spacing w:line="360" w:lineRule="auto"/>
        <w:ind w:firstLine="720"/>
        <w:rPr>
          <w:rFonts w:ascii="Times New Roman" w:hAnsi="Times New Roman" w:cs="Times New Roman"/>
          <w:sz w:val="24"/>
          <w:szCs w:val="24"/>
        </w:rPr>
      </w:pPr>
      <w:r>
        <w:rPr>
          <w:rFonts w:ascii="Times New Roman" w:hAnsi="Times New Roman" w:cs="Times New Roman"/>
          <w:sz w:val="24"/>
          <w:szCs w:val="24"/>
        </w:rPr>
        <w:t>Other possible titles: Visualising etymology: how building an app that links carpal bones anatomy to their etymology aids medical students in their learning. Visualising carpal bones and their etymologies. How visualising the etymology of carpal bones helps medical students learn them.</w:t>
      </w:r>
    </w:p>
    <w:p w14:paraId="163EFF15" w14:textId="77777777" w:rsidR="000C4F5F" w:rsidRPr="00C91F40" w:rsidRDefault="000C4F5F" w:rsidP="009119A7">
      <w:pPr>
        <w:pStyle w:val="Heading1"/>
        <w:numPr>
          <w:ilvl w:val="0"/>
          <w:numId w:val="2"/>
        </w:numPr>
        <w:spacing w:line="360" w:lineRule="auto"/>
        <w:rPr>
          <w:rFonts w:ascii="Times New Roman" w:hAnsi="Times New Roman" w:cs="Times New Roman"/>
          <w:color w:val="auto"/>
          <w:sz w:val="24"/>
          <w:szCs w:val="24"/>
        </w:rPr>
      </w:pPr>
      <w:r w:rsidRPr="00C91F40">
        <w:rPr>
          <w:rFonts w:ascii="Times New Roman" w:hAnsi="Times New Roman" w:cs="Times New Roman"/>
          <w:color w:val="auto"/>
          <w:sz w:val="24"/>
          <w:szCs w:val="24"/>
        </w:rPr>
        <w:lastRenderedPageBreak/>
        <w:t>Theoretical Background</w:t>
      </w:r>
    </w:p>
    <w:p w14:paraId="09CC81A7" w14:textId="77777777" w:rsidR="000C4F5F" w:rsidRPr="00C91F40" w:rsidRDefault="000C4F5F" w:rsidP="009119A7">
      <w:pPr>
        <w:pStyle w:val="Heading2"/>
        <w:numPr>
          <w:ilvl w:val="1"/>
          <w:numId w:val="3"/>
        </w:numPr>
        <w:spacing w:line="360" w:lineRule="auto"/>
        <w:rPr>
          <w:rFonts w:ascii="Times New Roman" w:hAnsi="Times New Roman" w:cs="Times New Roman"/>
          <w:color w:val="auto"/>
          <w:sz w:val="24"/>
          <w:szCs w:val="24"/>
        </w:rPr>
      </w:pPr>
      <w:r w:rsidRPr="00C91F40">
        <w:rPr>
          <w:rFonts w:ascii="Times New Roman" w:hAnsi="Times New Roman" w:cs="Times New Roman"/>
          <w:color w:val="auto"/>
          <w:sz w:val="24"/>
          <w:szCs w:val="24"/>
        </w:rPr>
        <w:t xml:space="preserve"> Introduction</w:t>
      </w:r>
    </w:p>
    <w:p w14:paraId="05969FEA" w14:textId="242D8FB6" w:rsidR="000C4F5F" w:rsidRPr="00C91F40" w:rsidRDefault="000C4F5F" w:rsidP="009119A7">
      <w:pPr>
        <w:keepNext/>
        <w:spacing w:line="360" w:lineRule="auto"/>
        <w:ind w:firstLine="720"/>
        <w:rPr>
          <w:rFonts w:ascii="Times New Roman" w:hAnsi="Times New Roman" w:cs="Times New Roman"/>
          <w:sz w:val="24"/>
          <w:szCs w:val="24"/>
        </w:rPr>
      </w:pPr>
      <w:r w:rsidRPr="00ED5348">
        <w:rPr>
          <w:rFonts w:ascii="Times New Roman" w:hAnsi="Times New Roman" w:cs="Times New Roman"/>
          <w:sz w:val="24"/>
          <w:szCs w:val="24"/>
        </w:rPr>
        <w:t>The many years of education that medical students complete are</w:t>
      </w:r>
      <w:r w:rsidR="001202D0" w:rsidRPr="00ED5348">
        <w:rPr>
          <w:rFonts w:ascii="Times New Roman" w:hAnsi="Times New Roman" w:cs="Times New Roman"/>
          <w:sz w:val="24"/>
          <w:szCs w:val="24"/>
        </w:rPr>
        <w:t xml:space="preserve"> largely</w:t>
      </w:r>
      <w:r w:rsidRPr="00ED5348">
        <w:rPr>
          <w:rFonts w:ascii="Times New Roman" w:hAnsi="Times New Roman" w:cs="Times New Roman"/>
          <w:sz w:val="24"/>
          <w:szCs w:val="24"/>
        </w:rPr>
        <w:t xml:space="preserve"> focused on learning the thousands of terms and concepts of human anatomy, which can be quite a daunting task. </w:t>
      </w:r>
      <w:r w:rsidR="0085121C">
        <w:rPr>
          <w:rFonts w:ascii="Times New Roman" w:hAnsi="Times New Roman" w:cs="Times New Roman"/>
          <w:sz w:val="24"/>
          <w:szCs w:val="24"/>
          <w:highlight w:val="yellow"/>
        </w:rPr>
        <w:t>Moreover</w:t>
      </w:r>
      <w:r w:rsidRPr="003E20CB">
        <w:rPr>
          <w:rFonts w:ascii="Times New Roman" w:hAnsi="Times New Roman" w:cs="Times New Roman"/>
          <w:sz w:val="24"/>
          <w:szCs w:val="24"/>
          <w:highlight w:val="yellow"/>
        </w:rPr>
        <w:t xml:space="preserve">, </w:t>
      </w:r>
      <w:r w:rsidR="00FF2318">
        <w:rPr>
          <w:rFonts w:ascii="Times New Roman" w:hAnsi="Times New Roman" w:cs="Times New Roman"/>
          <w:sz w:val="24"/>
          <w:szCs w:val="24"/>
          <w:highlight w:val="yellow"/>
        </w:rPr>
        <w:t xml:space="preserve">much of the </w:t>
      </w:r>
      <w:r w:rsidR="00587404">
        <w:rPr>
          <w:rFonts w:ascii="Times New Roman" w:hAnsi="Times New Roman" w:cs="Times New Roman"/>
          <w:sz w:val="24"/>
          <w:szCs w:val="24"/>
          <w:highlight w:val="yellow"/>
        </w:rPr>
        <w:t>anatomical</w:t>
      </w:r>
      <w:r w:rsidR="00FF2318">
        <w:rPr>
          <w:rFonts w:ascii="Times New Roman" w:hAnsi="Times New Roman" w:cs="Times New Roman"/>
          <w:sz w:val="24"/>
          <w:szCs w:val="24"/>
          <w:highlight w:val="yellow"/>
        </w:rPr>
        <w:t xml:space="preserve"> ter</w:t>
      </w:r>
      <w:r w:rsidR="00587404">
        <w:rPr>
          <w:rFonts w:ascii="Times New Roman" w:hAnsi="Times New Roman" w:cs="Times New Roman"/>
          <w:sz w:val="24"/>
          <w:szCs w:val="24"/>
          <w:highlight w:val="yellow"/>
        </w:rPr>
        <w:t>minology with which they need to be familiar</w:t>
      </w:r>
      <w:r w:rsidR="00843CA9">
        <w:rPr>
          <w:rFonts w:ascii="Times New Roman" w:hAnsi="Times New Roman" w:cs="Times New Roman"/>
          <w:sz w:val="24"/>
          <w:szCs w:val="24"/>
          <w:highlight w:val="yellow"/>
        </w:rPr>
        <w:t xml:space="preserve"> </w:t>
      </w:r>
      <w:r w:rsidR="00587404">
        <w:rPr>
          <w:rFonts w:ascii="Times New Roman" w:hAnsi="Times New Roman" w:cs="Times New Roman"/>
          <w:sz w:val="24"/>
          <w:szCs w:val="24"/>
          <w:highlight w:val="yellow"/>
        </w:rPr>
        <w:t>is derived from</w:t>
      </w:r>
      <w:r w:rsidRPr="003E20CB">
        <w:rPr>
          <w:rFonts w:ascii="Times New Roman" w:hAnsi="Times New Roman" w:cs="Times New Roman"/>
          <w:sz w:val="24"/>
          <w:szCs w:val="24"/>
          <w:highlight w:val="yellow"/>
        </w:rPr>
        <w:t xml:space="preserve"> ancient Greek and Latin, </w:t>
      </w:r>
      <w:r w:rsidR="000838A6">
        <w:rPr>
          <w:rFonts w:ascii="Times New Roman" w:hAnsi="Times New Roman" w:cs="Times New Roman"/>
          <w:sz w:val="24"/>
          <w:szCs w:val="24"/>
          <w:highlight w:val="yellow"/>
        </w:rPr>
        <w:t>presenting additional challenges akin to learning a new language</w:t>
      </w:r>
      <w:r w:rsidRPr="003E20CB">
        <w:rPr>
          <w:rFonts w:ascii="Times New Roman" w:hAnsi="Times New Roman" w:cs="Times New Roman"/>
          <w:sz w:val="24"/>
          <w:szCs w:val="24"/>
          <w:highlight w:val="yellow"/>
        </w:rPr>
        <w:t>.</w:t>
      </w:r>
      <w:r w:rsidRPr="00C91F40">
        <w:rPr>
          <w:rFonts w:ascii="Times New Roman" w:hAnsi="Times New Roman" w:cs="Times New Roman"/>
          <w:sz w:val="24"/>
          <w:szCs w:val="24"/>
        </w:rPr>
        <w:t xml:space="preserve"> Many students struggle to learn the terms through </w:t>
      </w:r>
      <w:r w:rsidRPr="003E20CB">
        <w:rPr>
          <w:rFonts w:ascii="Times New Roman" w:hAnsi="Times New Roman" w:cs="Times New Roman"/>
          <w:sz w:val="24"/>
          <w:szCs w:val="24"/>
          <w:highlight w:val="yellow"/>
        </w:rPr>
        <w:t>heavy</w:t>
      </w:r>
      <w:r w:rsidRPr="00C91F40">
        <w:rPr>
          <w:rFonts w:ascii="Times New Roman" w:hAnsi="Times New Roman" w:cs="Times New Roman"/>
          <w:sz w:val="24"/>
          <w:szCs w:val="24"/>
        </w:rPr>
        <w:t xml:space="preserve"> reliance on rote learning methods, a repetition-based memorisation technique </w:t>
      </w:r>
      <w:r w:rsidRPr="00C91F40">
        <w:rPr>
          <w:rFonts w:ascii="Times New Roman" w:hAnsi="Times New Roman" w:cs="Times New Roman"/>
          <w:sz w:val="24"/>
          <w:szCs w:val="24"/>
        </w:rPr>
        <w:fldChar w:fldCharType="begin" w:fldLock="1"/>
      </w:r>
      <w:r w:rsidRPr="00C91F40">
        <w:rPr>
          <w:rFonts w:ascii="Times New Roman" w:hAnsi="Times New Roman" w:cs="Times New Roman"/>
          <w:sz w:val="24"/>
          <w:szCs w:val="24"/>
        </w:rPr>
        <w:instrText>ADDIN CSL_CITATION {"citationItems":[{"id":"ITEM-1","itemData":{"DOI":"10.1207/s15430421tip4104","ISBN":"0040-5841 U6 - ctx_ver=Z39.88-2004&amp;ctx_enc=info%3Aofi%2Fenc%3AUTF-8&amp;rfr_id=info:sid/summon.serialssolutions.com&amp;rft_val_fmt=info:ofi/fmt:kev:mtx:journal&amp;rft.genre=article&amp;rft.atitle=A+revision+of+Bloom%27s+taxonomy%3A+An+overview&amp;rft.jtitle=Theory+into+Pr","ISSN":"00029556","PMID":"19353930","abstract":"Recollection rejection is a memory editing mechanism in which related lures are rejected because of the recollection of the lure's instantiating target (e.g., \"I know it wasn't pretty because it was beautiful\"). According to one view, recollection rejection requires an assumption on the part of the participant that both a word and its related lure could not have been studied. We examined this view by manipulating the instructions that were given to participants (Experiment 1) and the nature of the study list (Experiment 2). Estimates of recollection rejection derived from the phantom receive operating characteristic model found evidence for the role of metacognitive assumptions, but only when metacognitive knowledge was manipulated by varying the nature of the study list.","author":[{"dropping-particle":"","family":"Mayer","given":"Richard E.","non-dropping-particle":"","parse-names":false,"suffix":""}],"container-title":"Theory Into Practice","id":"ITEM-1","issue":"4","issued":{"date-parts":[["2002"]]},"page":"219-225","title":"Rote Versus Meaningful Learning","type":"article-journal","volume":"41"},"uris":["http://www.mendeley.com/documents/?uuid=5f982855-b2c3-436c-a728-1936bc5a0b30"]},{"id":"ITEM-2","itemData":{"DOI":"10.20876/ijobed.92616","abstract":"This study aims to illustrate whether or not students of a second-year introductory Zoology course who were taught their course terminology using an etymological approach would show improved learning on a number of metrics of student performance. Undergraduate students of any academic discipline are challenged by the learning of its specialized language, especially in the terminology rich fields of scientific study. A common approach among students towards learning the terminology is via rote memorization, often with little success. Studies in language learning have shown that learning scaffolds that involve a morphological breakdown of new words into their morpheme units allows for improved lexical access, as well as greater knowledge retention and transfer abilities to other words in the same morpheme families. The scientific lexicon is mostly made up of root morphemes and is auto-descriptive, therefore, by using an etymological approach while learning new scientific terminology, there are two advantages over rote techniques: firstly to have a learning scaffold that may allow students to integrate unfamiliar terminology into their personal lexical repertoires and secondly, to have the ability to infer meaning of the terms' properties with respect to their scientific contexts. These contributions may constitute a more meaningful student learning experience than factual intake and regurgitation and also they are allowing for metacognitive processing and conceptual linkage to the structure and/or function properties of terminology in their specialized scientific disciplines. This study adds to the growing body of teacher-led instructional learning resources for specialized vocabulary components of effective specialized scientific language learning at the University undergraduate level.","author":[{"dropping-particle":"","family":"Brown","given":"Adam Oliver","non-dropping-particle":"","parse-names":false,"suffix":""}],"container-title":"International Journal Of Biology Education","id":"ITEM-2","issue":"2","issued":{"date-parts":[["2014"]]},"note":"Discusses how learning new scientific terms using an etymological approach allows for greater retention of knowledge","title":"Lexical access, knowledge transfer and meaningful learning of scientific terminology via an etymological approach","type":"article-journal","volume":"3"},"uris":["http://www.mendeley.com/documents/?uuid=702fc736-0f88-4b91-89ac-c5f2ad08a12f"]},{"id":"ITEM-3","itemData":{"author":[{"dropping-particle":"","family":"Ebenezer","given":"David A","non-dropping-particle":"","parse-names":false,"suffix":""},{"dropping-particle":"","family":"Mohanraj","given":"Saravanan","non-dropping-particle":"","parse-names":false,"suffix":""}],"id":"ITEM-3","issue":"1","issued":{"date-parts":[["2020"]]},"page":"8-11","title":"UNDERSTANDING ETYMOLOGY : AWARENESS AMONG DOCTORS AND A TOOL IN SUCCESSFUL MEDICAL EDUCATION","type":"article-journal","volume":"7"},"uris":["http://www.mendeley.com/documents/?uuid=8fd5ffce-5b43-4129-b450-9128d447e325"]}],"mendeley":{"formattedCitation":"(Mayer, 2002; Brown, 2014; Ebenezer and Mohanraj, 2020)","plainTextFormattedCitation":"(Mayer, 2002; Brown, 2014; Ebenezer and Mohanraj, 2020)","previouslyFormattedCitation":"(Mayer, 2002; Brown, 2014; Ebenezer and Mohanraj, 2020)"},"properties":{"noteIndex":0},"schema":"https://github.com/citation-style-language/schema/raw/master/csl-citation.json"}</w:instrText>
      </w:r>
      <w:r w:rsidRPr="00C91F40">
        <w:rPr>
          <w:rFonts w:ascii="Times New Roman" w:hAnsi="Times New Roman" w:cs="Times New Roman"/>
          <w:sz w:val="24"/>
          <w:szCs w:val="24"/>
        </w:rPr>
        <w:fldChar w:fldCharType="separate"/>
      </w:r>
      <w:r w:rsidRPr="00C91F40">
        <w:rPr>
          <w:rFonts w:ascii="Times New Roman" w:hAnsi="Times New Roman" w:cs="Times New Roman"/>
          <w:noProof/>
          <w:sz w:val="24"/>
          <w:szCs w:val="24"/>
        </w:rPr>
        <w:t>(Mayer, 2002; Brown, 2014; Ebenezer and Mohanraj, 2020)</w:t>
      </w:r>
      <w:r w:rsidRPr="00C91F40">
        <w:rPr>
          <w:rFonts w:ascii="Times New Roman" w:hAnsi="Times New Roman" w:cs="Times New Roman"/>
          <w:sz w:val="24"/>
          <w:szCs w:val="24"/>
        </w:rPr>
        <w:fldChar w:fldCharType="end"/>
      </w:r>
      <w:r w:rsidRPr="00C91F40">
        <w:rPr>
          <w:rFonts w:ascii="Times New Roman" w:hAnsi="Times New Roman" w:cs="Times New Roman"/>
          <w:sz w:val="24"/>
          <w:szCs w:val="24"/>
        </w:rPr>
        <w:t xml:space="preserve">. Specifically, it has been observed through published studies, </w:t>
      </w:r>
      <w:r w:rsidR="003A706A">
        <w:rPr>
          <w:rFonts w:ascii="Times New Roman" w:hAnsi="Times New Roman" w:cs="Times New Roman"/>
          <w:sz w:val="24"/>
          <w:szCs w:val="24"/>
        </w:rPr>
        <w:t xml:space="preserve">noting comments from senior doctors, </w:t>
      </w:r>
      <w:r w:rsidRPr="00C91F40">
        <w:rPr>
          <w:rFonts w:ascii="Times New Roman" w:hAnsi="Times New Roman" w:cs="Times New Roman"/>
          <w:sz w:val="24"/>
          <w:szCs w:val="24"/>
        </w:rPr>
        <w:t xml:space="preserve">as well as </w:t>
      </w:r>
      <w:r w:rsidR="0035295C">
        <w:rPr>
          <w:rFonts w:ascii="Times New Roman" w:hAnsi="Times New Roman" w:cs="Times New Roman"/>
          <w:sz w:val="24"/>
          <w:szCs w:val="24"/>
        </w:rPr>
        <w:t>anecdotally</w:t>
      </w:r>
      <w:r w:rsidRPr="00C91F40">
        <w:rPr>
          <w:rFonts w:ascii="Times New Roman" w:hAnsi="Times New Roman" w:cs="Times New Roman"/>
          <w:sz w:val="24"/>
          <w:szCs w:val="24"/>
        </w:rPr>
        <w:t xml:space="preserve"> from University lecturers, that medical students struggle with </w:t>
      </w:r>
      <w:r w:rsidR="00B455C0">
        <w:rPr>
          <w:rFonts w:ascii="Times New Roman" w:hAnsi="Times New Roman" w:cs="Times New Roman"/>
          <w:sz w:val="24"/>
          <w:szCs w:val="24"/>
        </w:rPr>
        <w:t>retention of anatomical knowledge</w:t>
      </w:r>
      <w:r w:rsidR="0035295C">
        <w:rPr>
          <w:rFonts w:ascii="Times New Roman" w:hAnsi="Times New Roman" w:cs="Times New Roman"/>
          <w:sz w:val="24"/>
          <w:szCs w:val="24"/>
        </w:rPr>
        <w:t>, which could be caused by</w:t>
      </w:r>
      <w:r w:rsidR="008F325C">
        <w:rPr>
          <w:rFonts w:ascii="Times New Roman" w:hAnsi="Times New Roman" w:cs="Times New Roman"/>
          <w:sz w:val="24"/>
          <w:szCs w:val="24"/>
        </w:rPr>
        <w:t xml:space="preserve"> factors such as,</w:t>
      </w:r>
      <w:r w:rsidR="0035295C">
        <w:rPr>
          <w:rFonts w:ascii="Times New Roman" w:hAnsi="Times New Roman" w:cs="Times New Roman"/>
          <w:sz w:val="24"/>
          <w:szCs w:val="24"/>
        </w:rPr>
        <w:t xml:space="preserve"> reduced teaching times and less access to physical dissection</w:t>
      </w:r>
      <w:r w:rsidR="003D27F4">
        <w:rPr>
          <w:rFonts w:ascii="Times New Roman" w:hAnsi="Times New Roman" w:cs="Times New Roman"/>
          <w:sz w:val="24"/>
          <w:szCs w:val="24"/>
        </w:rPr>
        <w:t>,</w:t>
      </w:r>
      <w:r w:rsidR="0071379C">
        <w:rPr>
          <w:rFonts w:ascii="Times New Roman" w:hAnsi="Times New Roman" w:cs="Times New Roman"/>
          <w:sz w:val="24"/>
          <w:szCs w:val="24"/>
        </w:rPr>
        <w:t xml:space="preserve"> </w:t>
      </w:r>
      <w:r w:rsidR="008F325C">
        <w:rPr>
          <w:rFonts w:ascii="Times New Roman" w:hAnsi="Times New Roman" w:cs="Times New Roman"/>
          <w:sz w:val="24"/>
          <w:szCs w:val="24"/>
        </w:rPr>
        <w:t xml:space="preserve">and may be adding to the reliance on </w:t>
      </w:r>
      <w:r w:rsidR="00262F0E">
        <w:rPr>
          <w:rFonts w:ascii="Times New Roman" w:hAnsi="Times New Roman" w:cs="Times New Roman"/>
          <w:sz w:val="24"/>
          <w:szCs w:val="24"/>
        </w:rPr>
        <w:t>rote learning methods</w:t>
      </w:r>
      <w:r w:rsidR="00374BCF">
        <w:rPr>
          <w:rFonts w:ascii="Times New Roman" w:hAnsi="Times New Roman" w:cs="Times New Roman"/>
          <w:sz w:val="24"/>
          <w:szCs w:val="24"/>
        </w:rPr>
        <w:t xml:space="preserve"> </w:t>
      </w:r>
      <w:r w:rsidRPr="00C91F40">
        <w:rPr>
          <w:rFonts w:ascii="Times New Roman" w:hAnsi="Times New Roman" w:cs="Times New Roman"/>
          <w:sz w:val="24"/>
          <w:szCs w:val="24"/>
        </w:rPr>
        <w:fldChar w:fldCharType="begin" w:fldLock="1"/>
      </w:r>
      <w:r w:rsidRPr="00C91F40">
        <w:rPr>
          <w:rFonts w:ascii="Times New Roman" w:hAnsi="Times New Roman" w:cs="Times New Roman"/>
          <w:sz w:val="24"/>
          <w:szCs w:val="24"/>
        </w:rPr>
        <w:instrText>ADDIN CSL_CITATION {"citationItems":[{"id":"ITEM-1","itemData":{"DOI":"10.1016/S1479-666X(05)80087-3","ISSN":"1479666X","abstract":"With the changing emphasis of the modern medical school curriculum, many senior doctors and authors are commenting on a decline in anatomical knowledge of trainees. This study was conceived to provide a snapshot of medical students' and junior doctors' knowledge of anatomy. The carpal bones were chosen as a benchmark for anatomical knowledge as they are easily objectively examined and have clinical relevance to junior doctors in a number of disciplines. Twenty five fourth and final year medical students, fifteen pre-registration house officers (PRHOs) and ten senior house officers (SHOs) were recruited and the questionnaires were completed in the presence of one author. Of all participants recruited only fifteen could correctly name all eight carpal bones. Seven of these were SHOs in Surgery or Accident and Emergency (A&amp;E). Seventeen medical students (68%) and nine PRHOs (60%) correctly identified less than five carpal bones. Most SHOs (90%) could name five or more bones; the proportion of PRHOs and medical students correctly naming more than five bones was similar (40% vs 32%). The scaphoid was the most frequently identified bone, with an accuracy of 92%. Only 15 candidates (30%) managed to name the triquetrum. The overall recognition scores obtained by medical students was poor, however the SHO's results were more reassuring. Anatomy teaching should be encouraged in undergraduate and postgraduate training. © 2005 Surgeon.","author":[{"dropping-particle":"","family":"Spielmann","given":"Pat M.","non-dropping-particle":"","parse-names":false,"suffix":""},{"dropping-particle":"","family":"Oliver","given":"C. W.","non-dropping-particle":"","parse-names":false,"suffix":""}],"container-title":"Surgeon","id":"ITEM-1","issue":"4","issued":{"date-parts":[["2005"]]},"page":"257-259","publisher":"Royal College of Surgeons of Edinburgh and Royal College of Surgeons in Ireland","title":"The carpal bones: A basic test of medical students' and junior doctors' knowledge of anatomy","type":"article-journal","volume":"3"},"uris":["http://www.mendeley.com/documents/?uuid=bd02cfee-b11b-4d96-9ad6-5ac78aff4ffa"]}],"mendeley":{"formattedCitation":"(Spielmann and Oliver, 2005)","plainTextFormattedCitation":"(Spielmann and Oliver, 2005)","previouslyFormattedCitation":"(Spielmann and Oliver, 2005)"},"properties":{"noteIndex":0},"schema":"https://github.com/citation-style-language/schema/raw/master/csl-citation.json"}</w:instrText>
      </w:r>
      <w:r w:rsidRPr="00C91F40">
        <w:rPr>
          <w:rFonts w:ascii="Times New Roman" w:hAnsi="Times New Roman" w:cs="Times New Roman"/>
          <w:sz w:val="24"/>
          <w:szCs w:val="24"/>
        </w:rPr>
        <w:fldChar w:fldCharType="separate"/>
      </w:r>
      <w:r w:rsidRPr="00C91F40">
        <w:rPr>
          <w:rFonts w:ascii="Times New Roman" w:hAnsi="Times New Roman" w:cs="Times New Roman"/>
          <w:noProof/>
          <w:sz w:val="24"/>
          <w:szCs w:val="24"/>
        </w:rPr>
        <w:t>(Spielmann and Oliver, 2005)</w:t>
      </w:r>
      <w:r w:rsidRPr="00C91F40">
        <w:rPr>
          <w:rFonts w:ascii="Times New Roman" w:hAnsi="Times New Roman" w:cs="Times New Roman"/>
          <w:sz w:val="24"/>
          <w:szCs w:val="24"/>
        </w:rPr>
        <w:fldChar w:fldCharType="end"/>
      </w:r>
      <w:r w:rsidRPr="00C91F40">
        <w:rPr>
          <w:rFonts w:ascii="Times New Roman" w:hAnsi="Times New Roman" w:cs="Times New Roman"/>
          <w:sz w:val="24"/>
          <w:szCs w:val="24"/>
        </w:rPr>
        <w:t xml:space="preserve">. A proposed solution for students to overcome the challenges presented from learning medical terminology through memorisation techniques is to establish a link between the anatomy and their respective etymologies, the study of the origins of words. Studies have found that having an understanding of a word’s etymology enhances students’ learning and recollection, as it is a form of </w:t>
      </w:r>
      <w:r w:rsidRPr="00C91F40">
        <w:rPr>
          <w:rFonts w:ascii="Times New Roman" w:hAnsi="Times New Roman" w:cs="Times New Roman"/>
          <w:i/>
          <w:iCs/>
          <w:sz w:val="24"/>
          <w:szCs w:val="24"/>
        </w:rPr>
        <w:t>meaningful learning</w:t>
      </w:r>
      <w:r w:rsidRPr="00C91F40">
        <w:rPr>
          <w:rFonts w:ascii="Times New Roman" w:hAnsi="Times New Roman" w:cs="Times New Roman"/>
          <w:sz w:val="24"/>
          <w:szCs w:val="24"/>
        </w:rPr>
        <w:t xml:space="preserve"> - a type of learning connected to prior learning, more highly retainable and </w:t>
      </w:r>
      <w:r w:rsidR="004D5581" w:rsidRPr="00C91F40">
        <w:rPr>
          <w:rFonts w:ascii="Times New Roman" w:hAnsi="Times New Roman" w:cs="Times New Roman"/>
          <w:sz w:val="24"/>
          <w:szCs w:val="24"/>
        </w:rPr>
        <w:t>generali</w:t>
      </w:r>
      <w:r w:rsidR="004D5581">
        <w:rPr>
          <w:rFonts w:ascii="Times New Roman" w:hAnsi="Times New Roman" w:cs="Times New Roman"/>
          <w:sz w:val="24"/>
          <w:szCs w:val="24"/>
        </w:rPr>
        <w:t>z</w:t>
      </w:r>
      <w:r w:rsidR="004D5581" w:rsidRPr="00C91F40">
        <w:rPr>
          <w:rFonts w:ascii="Times New Roman" w:hAnsi="Times New Roman" w:cs="Times New Roman"/>
          <w:sz w:val="24"/>
          <w:szCs w:val="24"/>
        </w:rPr>
        <w:t>able</w:t>
      </w:r>
      <w:r w:rsidRPr="00C91F40">
        <w:rPr>
          <w:rFonts w:ascii="Times New Roman" w:hAnsi="Times New Roman" w:cs="Times New Roman"/>
          <w:sz w:val="24"/>
          <w:szCs w:val="24"/>
        </w:rPr>
        <w:t xml:space="preserve"> - making it superior to simple rote learning of vocabulary </w:t>
      </w:r>
      <w:r w:rsidRPr="00C91F40">
        <w:rPr>
          <w:rFonts w:ascii="Times New Roman" w:hAnsi="Times New Roman" w:cs="Times New Roman"/>
          <w:sz w:val="24"/>
          <w:szCs w:val="24"/>
        </w:rPr>
        <w:fldChar w:fldCharType="begin" w:fldLock="1"/>
      </w:r>
      <w:r w:rsidRPr="00C91F40">
        <w:rPr>
          <w:rFonts w:ascii="Times New Roman" w:hAnsi="Times New Roman" w:cs="Times New Roman"/>
          <w:sz w:val="24"/>
          <w:szCs w:val="24"/>
        </w:rPr>
        <w:instrText>ADDIN CSL_CITATION {"citationItems":[{"id":"ITEM-1","itemData":{"DOI":"10.1093/elt/43.1.57","ISSN":"09510893","abstract":"This article argues that instruction in etymology, although at present neglected in the second-language curriculum, could offer meaningful linguistic information and principles to the intermediate/advanced second-language learner. Etymology, the study of word origins, has all the attributes of what educational psychologists term meaningful learning. This is a type of learning connected to prior learning, more highly retainable and generalizable, making it superior to simple rote learning of vocabulary. Practical illustrations of how etymology could be integrated into a second-language programme are given, based on the author's own experience as an ESL specialist in Hong Kong. © 1989 Oxford University Press.","author":[{"dropping-particle":"","family":"Pierson","given":"Herbert D.","non-dropping-particle":"","parse-names":false,"suffix":""}],"container-title":"ELT Journal","id":"ITEM-1","issue":"1","issued":{"date-parts":[["1989"]]},"page":"57-63","title":"Using etymology in the classroom","type":"article-journal","volume":"43"},"uris":["http://www.mendeley.com/documents/?uuid=b15d4094-30f5-48f8-ba54-92f99e16e576"]}],"mendeley":{"formattedCitation":"(Pierson, 1989)","plainTextFormattedCitation":"(Pierson, 1989)","previouslyFormattedCitation":"(Pierson, 1989)"},"properties":{"noteIndex":0},"schema":"https://github.com/citation-style-language/schema/raw/master/csl-citation.json"}</w:instrText>
      </w:r>
      <w:r w:rsidRPr="00C91F40">
        <w:rPr>
          <w:rFonts w:ascii="Times New Roman" w:hAnsi="Times New Roman" w:cs="Times New Roman"/>
          <w:sz w:val="24"/>
          <w:szCs w:val="24"/>
        </w:rPr>
        <w:fldChar w:fldCharType="separate"/>
      </w:r>
      <w:r w:rsidRPr="00C91F40">
        <w:rPr>
          <w:rFonts w:ascii="Times New Roman" w:hAnsi="Times New Roman" w:cs="Times New Roman"/>
          <w:noProof/>
          <w:sz w:val="24"/>
          <w:szCs w:val="24"/>
        </w:rPr>
        <w:t>(Pierson, 1989)</w:t>
      </w:r>
      <w:r w:rsidRPr="00C91F40">
        <w:rPr>
          <w:rFonts w:ascii="Times New Roman" w:hAnsi="Times New Roman" w:cs="Times New Roman"/>
          <w:sz w:val="24"/>
          <w:szCs w:val="24"/>
        </w:rPr>
        <w:fldChar w:fldCharType="end"/>
      </w:r>
      <w:r w:rsidRPr="00C91F40">
        <w:rPr>
          <w:rFonts w:ascii="Times New Roman" w:hAnsi="Times New Roman" w:cs="Times New Roman"/>
          <w:sz w:val="24"/>
          <w:szCs w:val="24"/>
        </w:rPr>
        <w:t>.</w:t>
      </w:r>
    </w:p>
    <w:p w14:paraId="7E8188FB" w14:textId="77777777" w:rsidR="000C4F5F" w:rsidRPr="00C91F40"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This chapter will first explore the study of etymology and its use in medicine, the influence understanding etymology has on learning anatomy, and the benefits of the use of digital technology in learning.</w:t>
      </w:r>
    </w:p>
    <w:p w14:paraId="4A70EF22" w14:textId="77777777" w:rsidR="000C4F5F" w:rsidRPr="00C91F40" w:rsidRDefault="000C4F5F" w:rsidP="009119A7">
      <w:pPr>
        <w:pStyle w:val="Heading2"/>
        <w:numPr>
          <w:ilvl w:val="1"/>
          <w:numId w:val="3"/>
        </w:numPr>
        <w:spacing w:line="360" w:lineRule="auto"/>
        <w:rPr>
          <w:rFonts w:ascii="Times New Roman" w:hAnsi="Times New Roman" w:cs="Times New Roman"/>
          <w:color w:val="auto"/>
          <w:sz w:val="24"/>
          <w:szCs w:val="24"/>
        </w:rPr>
      </w:pPr>
      <w:r w:rsidRPr="00C91F40">
        <w:rPr>
          <w:rFonts w:ascii="Times New Roman" w:hAnsi="Times New Roman" w:cs="Times New Roman"/>
          <w:color w:val="auto"/>
          <w:sz w:val="24"/>
          <w:szCs w:val="24"/>
        </w:rPr>
        <w:t xml:space="preserve"> Why Carpal Bones?</w:t>
      </w:r>
    </w:p>
    <w:p w14:paraId="3DBDC4D2" w14:textId="1E1315DF" w:rsidR="000C4F5F" w:rsidRPr="00C91F40" w:rsidRDefault="000E5CDD" w:rsidP="008F43E3">
      <w:pPr>
        <w:keepNext/>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There have been multiple studies conducted to assess medical students’ knowledge of anatomy in recent years, a common method of assessment among them being the use of a carpal bone test. The reasoning behind the carpal bones being </w:t>
      </w:r>
      <w:r w:rsidRPr="00C91F40">
        <w:rPr>
          <w:rFonts w:ascii="Times New Roman" w:hAnsi="Times New Roman" w:cs="Times New Roman"/>
          <w:sz w:val="24"/>
          <w:szCs w:val="24"/>
        </w:rPr>
        <w:t>chosen as a benchmark of basic anatomical knowledge</w:t>
      </w:r>
      <w:r>
        <w:rPr>
          <w:rFonts w:ascii="Times New Roman" w:hAnsi="Times New Roman" w:cs="Times New Roman"/>
          <w:sz w:val="24"/>
          <w:szCs w:val="24"/>
        </w:rPr>
        <w:t xml:space="preserve"> is that </w:t>
      </w:r>
      <w:r w:rsidRPr="00C91F40">
        <w:rPr>
          <w:rFonts w:ascii="Times New Roman" w:hAnsi="Times New Roman" w:cs="Times New Roman"/>
          <w:sz w:val="24"/>
          <w:szCs w:val="24"/>
        </w:rPr>
        <w:t>they have clinical relevance to a variety of different specialties, and they are easy to objectively examine.</w:t>
      </w:r>
      <w:r>
        <w:rPr>
          <w:rFonts w:ascii="Times New Roman" w:hAnsi="Times New Roman" w:cs="Times New Roman"/>
          <w:sz w:val="24"/>
          <w:szCs w:val="24"/>
        </w:rPr>
        <w:t xml:space="preserve"> They also make up a significant </w:t>
      </w:r>
      <w:r w:rsidR="00535075">
        <w:rPr>
          <w:rFonts w:ascii="Times New Roman" w:hAnsi="Times New Roman" w:cs="Times New Roman"/>
          <w:sz w:val="24"/>
          <w:szCs w:val="24"/>
        </w:rPr>
        <w:t xml:space="preserve">component </w:t>
      </w:r>
      <w:r>
        <w:rPr>
          <w:rFonts w:ascii="Times New Roman" w:hAnsi="Times New Roman" w:cs="Times New Roman"/>
          <w:sz w:val="24"/>
          <w:szCs w:val="24"/>
        </w:rPr>
        <w:t xml:space="preserve">of the </w:t>
      </w:r>
      <w:r w:rsidR="00535075">
        <w:rPr>
          <w:rFonts w:ascii="Times New Roman" w:hAnsi="Times New Roman" w:cs="Times New Roman"/>
          <w:sz w:val="24"/>
          <w:szCs w:val="24"/>
        </w:rPr>
        <w:t>upper</w:t>
      </w:r>
      <w:r w:rsidR="00D4424C">
        <w:rPr>
          <w:rFonts w:ascii="Times New Roman" w:hAnsi="Times New Roman" w:cs="Times New Roman"/>
          <w:sz w:val="24"/>
          <w:szCs w:val="24"/>
        </w:rPr>
        <w:t xml:space="preserve"> </w:t>
      </w:r>
      <w:r>
        <w:rPr>
          <w:rFonts w:ascii="Times New Roman" w:hAnsi="Times New Roman" w:cs="Times New Roman"/>
          <w:sz w:val="24"/>
          <w:szCs w:val="24"/>
        </w:rPr>
        <w:t xml:space="preserve">limbs, as they are important to the movement and use of the hands. </w:t>
      </w:r>
      <w:r w:rsidR="000C4F5F" w:rsidRPr="00C91F40">
        <w:rPr>
          <w:rFonts w:ascii="Times New Roman" w:hAnsi="Times New Roman" w:cs="Times New Roman"/>
          <w:sz w:val="24"/>
          <w:szCs w:val="24"/>
        </w:rPr>
        <w:t xml:space="preserve">A 2005 study conducted by Spielmann and Oliver provides </w:t>
      </w:r>
      <w:r>
        <w:rPr>
          <w:rFonts w:ascii="Times New Roman" w:hAnsi="Times New Roman" w:cs="Times New Roman"/>
          <w:sz w:val="24"/>
          <w:szCs w:val="24"/>
        </w:rPr>
        <w:t xml:space="preserve">some insight on </w:t>
      </w:r>
      <w:r w:rsidR="000C4F5F" w:rsidRPr="00C91F40">
        <w:rPr>
          <w:rFonts w:ascii="Times New Roman" w:hAnsi="Times New Roman" w:cs="Times New Roman"/>
          <w:sz w:val="24"/>
          <w:szCs w:val="24"/>
        </w:rPr>
        <w:t xml:space="preserve">medical students’ and junior doctors’ knowledge </w:t>
      </w:r>
      <w:r w:rsidR="000C4F5F" w:rsidRPr="00C91F40">
        <w:rPr>
          <w:rFonts w:ascii="Times New Roman" w:hAnsi="Times New Roman" w:cs="Times New Roman"/>
          <w:sz w:val="24"/>
          <w:szCs w:val="24"/>
        </w:rPr>
        <w:lastRenderedPageBreak/>
        <w:t>of anatomy</w:t>
      </w:r>
      <w:r w:rsidR="00EB374D">
        <w:rPr>
          <w:rFonts w:ascii="Times New Roman" w:hAnsi="Times New Roman" w:cs="Times New Roman"/>
          <w:sz w:val="24"/>
          <w:szCs w:val="24"/>
        </w:rPr>
        <w:t xml:space="preserve"> by using </w:t>
      </w:r>
      <w:r w:rsidR="00FA1E2D">
        <w:rPr>
          <w:rFonts w:ascii="Times New Roman" w:hAnsi="Times New Roman" w:cs="Times New Roman"/>
          <w:sz w:val="24"/>
          <w:szCs w:val="24"/>
        </w:rPr>
        <w:t>a</w:t>
      </w:r>
      <w:r w:rsidR="00EB374D">
        <w:rPr>
          <w:rFonts w:ascii="Times New Roman" w:hAnsi="Times New Roman" w:cs="Times New Roman"/>
          <w:sz w:val="24"/>
          <w:szCs w:val="24"/>
        </w:rPr>
        <w:t xml:space="preserve"> carpal bone test</w:t>
      </w:r>
      <w:r w:rsidR="000C4F5F" w:rsidRPr="00C91F40">
        <w:rPr>
          <w:rFonts w:ascii="Times New Roman" w:hAnsi="Times New Roman" w:cs="Times New Roman"/>
          <w:sz w:val="24"/>
          <w:szCs w:val="24"/>
        </w:rPr>
        <w:t xml:space="preserve"> </w:t>
      </w:r>
      <w:r w:rsidR="000C4F5F" w:rsidRPr="00C91F40">
        <w:rPr>
          <w:rFonts w:ascii="Times New Roman" w:hAnsi="Times New Roman" w:cs="Times New Roman"/>
          <w:sz w:val="24"/>
          <w:szCs w:val="24"/>
        </w:rPr>
        <w:fldChar w:fldCharType="begin" w:fldLock="1"/>
      </w:r>
      <w:r w:rsidR="000C4F5F" w:rsidRPr="00C91F40">
        <w:rPr>
          <w:rFonts w:ascii="Times New Roman" w:hAnsi="Times New Roman" w:cs="Times New Roman"/>
          <w:sz w:val="24"/>
          <w:szCs w:val="24"/>
        </w:rPr>
        <w:instrText>ADDIN CSL_CITATION {"citationItems":[{"id":"ITEM-1","itemData":{"DOI":"10.1016/S1479-666X(05)80087-3","ISSN":"1479666X","abstract":"With the changing emphasis of the modern medical school curriculum, many senior doctors and authors are commenting on a decline in anatomical knowledge of trainees. This study was conceived to provide a snapshot of medical students' and junior doctors' knowledge of anatomy. The carpal bones were chosen as a benchmark for anatomical knowledge as they are easily objectively examined and have clinical relevance to junior doctors in a number of disciplines. Twenty five fourth and final year medical students, fifteen pre-registration house officers (PRHOs) and ten senior house officers (SHOs) were recruited and the questionnaires were completed in the presence of one author. Of all participants recruited only fifteen could correctly name all eight carpal bones. Seven of these were SHOs in Surgery or Accident and Emergency (A&amp;E). Seventeen medical students (68%) and nine PRHOs (60%) correctly identified less than five carpal bones. Most SHOs (90%) could name five or more bones; the proportion of PRHOs and medical students correctly naming more than five bones was similar (40% vs 32%). The scaphoid was the most frequently identified bone, with an accuracy of 92%. Only 15 candidates (30%) managed to name the triquetrum. The overall recognition scores obtained by medical students was poor, however the SHO's results were more reassuring. Anatomy teaching should be encouraged in undergraduate and postgraduate training. © 2005 Surgeon.","author":[{"dropping-particle":"","family":"Spielmann","given":"Pat M.","non-dropping-particle":"","parse-names":false,"suffix":""},{"dropping-particle":"","family":"Oliver","given":"C. W.","non-dropping-particle":"","parse-names":false,"suffix":""}],"container-title":"Surgeon","id":"ITEM-1","issue":"4","issued":{"date-parts":[["2005"]]},"page":"257-259","publisher":"Royal College of Surgeons of Edinburgh and Royal College of Surgeons in Ireland","title":"The carpal bones: A basic test of medical students' and junior doctors' knowledge of anatomy","type":"article-journal","volume":"3"},"uris":["http://www.mendeley.com/documents/?uuid=bd02cfee-b11b-4d96-9ad6-5ac78aff4ffa"]}],"mendeley":{"formattedCitation":"(Spielmann and Oliver, 2005)","plainTextFormattedCitation":"(Spielmann and Oliver, 2005)","previouslyFormattedCitation":"(Spielmann and Oliver, 2005)"},"properties":{"noteIndex":0},"schema":"https://github.com/citation-style-language/schema/raw/master/csl-citation.json"}</w:instrText>
      </w:r>
      <w:r w:rsidR="000C4F5F" w:rsidRPr="00C91F40">
        <w:rPr>
          <w:rFonts w:ascii="Times New Roman" w:hAnsi="Times New Roman" w:cs="Times New Roman"/>
          <w:sz w:val="24"/>
          <w:szCs w:val="24"/>
        </w:rPr>
        <w:fldChar w:fldCharType="separate"/>
      </w:r>
      <w:r w:rsidR="000C4F5F" w:rsidRPr="00C91F40">
        <w:rPr>
          <w:rFonts w:ascii="Times New Roman" w:hAnsi="Times New Roman" w:cs="Times New Roman"/>
          <w:noProof/>
          <w:sz w:val="24"/>
          <w:szCs w:val="24"/>
        </w:rPr>
        <w:t>(Spielmann and Oliver, 2005)</w:t>
      </w:r>
      <w:r w:rsidR="000C4F5F" w:rsidRPr="00C91F40">
        <w:rPr>
          <w:rFonts w:ascii="Times New Roman" w:hAnsi="Times New Roman" w:cs="Times New Roman"/>
          <w:sz w:val="24"/>
          <w:szCs w:val="24"/>
        </w:rPr>
        <w:fldChar w:fldCharType="end"/>
      </w:r>
      <w:r w:rsidR="000C4F5F" w:rsidRPr="00C91F40">
        <w:rPr>
          <w:rFonts w:ascii="Times New Roman" w:hAnsi="Times New Roman" w:cs="Times New Roman"/>
          <w:sz w:val="24"/>
          <w:szCs w:val="24"/>
        </w:rPr>
        <w:t xml:space="preserve">. Fifty questionnaires regarding the labelling of the eight carpal bones were administered to a cohort of 25 medical students, 15 pre-registration house officers (PRHOs) and 10 senior house officers (SHOs). Out of the 50 participants, only 15 could correctly name all eight carpal bones, seven of them being SHOs. Similarly, in a 2012 study by Valenza </w:t>
      </w:r>
      <w:r w:rsidR="000C4F5F" w:rsidRPr="00C91F40">
        <w:rPr>
          <w:rFonts w:ascii="Times New Roman" w:hAnsi="Times New Roman" w:cs="Times New Roman"/>
          <w:i/>
          <w:iCs/>
          <w:sz w:val="24"/>
          <w:szCs w:val="24"/>
        </w:rPr>
        <w:t xml:space="preserve">et al., </w:t>
      </w:r>
      <w:r w:rsidR="000C4F5F" w:rsidRPr="00C91F40">
        <w:rPr>
          <w:rFonts w:ascii="Times New Roman" w:hAnsi="Times New Roman" w:cs="Times New Roman"/>
          <w:sz w:val="24"/>
          <w:szCs w:val="24"/>
        </w:rPr>
        <w:t xml:space="preserve">a carpal bone test was used to assess the anatomical knowledge of third year medical and physical therapy students, and the results held consistent with the Spielmann and Oliver study </w:t>
      </w:r>
      <w:r w:rsidR="000C4F5F" w:rsidRPr="00C91F40">
        <w:rPr>
          <w:rFonts w:ascii="Times New Roman" w:hAnsi="Times New Roman" w:cs="Times New Roman"/>
          <w:sz w:val="24"/>
          <w:szCs w:val="24"/>
        </w:rPr>
        <w:fldChar w:fldCharType="begin" w:fldLock="1"/>
      </w:r>
      <w:r w:rsidR="000C4F5F" w:rsidRPr="00C91F40">
        <w:rPr>
          <w:rFonts w:ascii="Times New Roman" w:hAnsi="Times New Roman" w:cs="Times New Roman"/>
          <w:sz w:val="24"/>
          <w:szCs w:val="24"/>
        </w:rPr>
        <w:instrText>ADDIN CSL_CITATION {"citationItems":[{"id":"ITEM-1","itemData":{"DOI":"10.1016/j.jmpt.2011.12.005","ISSN":"01614754","abstract":"Objective: The curricula of all health professionals have an important foundation of human anatomy. A comparison of the anatomy retention between students from different curricula has not been studied. Our aim was to examine the knowledge competency of third-year physical therapy and medical students in carpal bone anatomy. Methods: The testing was conducted on the third-year medical and physical therapy students at Universidad de Granada. Students were given 5 minutes to answer the carpal bone test, a test which requires the identification of the carpal bones in an illustration of the bony skeleton of carpal region. Differences in the distribution of the responses between groups were analyzed using the χ 2 test. Results: One hundred thirty-four (n = 134) tests were analyzed (n = 54 [41%] physical therapy students, n = 80 [59%] medical students). Only 39 students correctly identified all of the carpal bones (42.6% physical therapy, 20% medical, P &lt;.001). Physical therapy students correctly identified a greater number (P &lt;.001) of carpal bones (mean ± SD, 5.8 ± 2.2) than medical students (mean ± SD, 3.1 ± 2.9). The capitate was the most frequently identified bone in both physical therapy (96%) and medical (46%) students (P &lt;.001). The hamate bone was the least frequently identified bone by medical students (n = 29, or 36.3%), whereas the trapezoid bone was the least frequently identified bone by physical therapy students (n = 35, or 64.8%). Conclusion: There are few studies investigating anatomical knowledge levels between disciplines. This study found that physical therapy students exhibited better retention of anatomy of the carpal bones than medical students. © 2012 National University of Health Sciences.","author":[{"dropping-particle":"","family":"Valenza","given":"Marie Carmen","non-dropping-particle":"","parse-names":false,"suffix":""},{"dropping-particle":"","family":"Castro-Martín","given":"Eduardo","non-dropping-particle":"","parse-names":false,"suffix":""},{"dropping-particle":"","family":"Valenza","given":"Gerad","non-dropping-particle":"","parse-names":false,"suffix":""},{"dropping-particle":"","family":"Guirao-Piñeiro","given":"Miguel","non-dropping-particle":"","parse-names":false,"suffix":""},{"dropping-particle":"","family":"De-La-Llave-Rincón","given":"Ana Isabel","non-dropping-particle":"","parse-names":false,"suffix":""},{"dropping-particle":"","family":"Fernández-De-Las-Peñas","given":"César","non-dropping-particle":"","parse-names":false,"suffix":""}],"container-title":"Journal of Manipulative and Physiological Therapeutics","id":"ITEM-1","issue":"2","issued":{"date-parts":[["2012"]]},"page":"121-126","publisher":"National University of Health Sciences","title":"Comparison of third-year medical and physical therapy students' knowledge of anatomy using the carpal bone test","type":"article-journal","volume":"35"},"uris":["http://www.mendeley.com/documents/?uuid=fad6c418-810e-486e-b02b-ddb66d85d949"]}],"mendeley":{"formattedCitation":"(Valenza &lt;i&gt;et al.&lt;/i&gt;, 2012)","plainTextFormattedCitation":"(Valenza et al., 2012)"},"properties":{"noteIndex":0},"schema":"https://github.com/citation-style-language/schema/raw/master/csl-citation.json"}</w:instrText>
      </w:r>
      <w:r w:rsidR="000C4F5F" w:rsidRPr="00C91F40">
        <w:rPr>
          <w:rFonts w:ascii="Times New Roman" w:hAnsi="Times New Roman" w:cs="Times New Roman"/>
          <w:sz w:val="24"/>
          <w:szCs w:val="24"/>
        </w:rPr>
        <w:fldChar w:fldCharType="separate"/>
      </w:r>
      <w:r w:rsidR="000C4F5F" w:rsidRPr="00C91F40">
        <w:rPr>
          <w:rFonts w:ascii="Times New Roman" w:hAnsi="Times New Roman" w:cs="Times New Roman"/>
          <w:noProof/>
          <w:sz w:val="24"/>
          <w:szCs w:val="24"/>
        </w:rPr>
        <w:t xml:space="preserve">(Valenza </w:t>
      </w:r>
      <w:r w:rsidR="000C4F5F" w:rsidRPr="00C91F40">
        <w:rPr>
          <w:rFonts w:ascii="Times New Roman" w:hAnsi="Times New Roman" w:cs="Times New Roman"/>
          <w:i/>
          <w:noProof/>
          <w:sz w:val="24"/>
          <w:szCs w:val="24"/>
        </w:rPr>
        <w:t>et al.</w:t>
      </w:r>
      <w:r w:rsidR="000C4F5F" w:rsidRPr="00C91F40">
        <w:rPr>
          <w:rFonts w:ascii="Times New Roman" w:hAnsi="Times New Roman" w:cs="Times New Roman"/>
          <w:noProof/>
          <w:sz w:val="24"/>
          <w:szCs w:val="24"/>
        </w:rPr>
        <w:t>, 2012)</w:t>
      </w:r>
      <w:r w:rsidR="000C4F5F" w:rsidRPr="00C91F40">
        <w:rPr>
          <w:rFonts w:ascii="Times New Roman" w:hAnsi="Times New Roman" w:cs="Times New Roman"/>
          <w:sz w:val="24"/>
          <w:szCs w:val="24"/>
        </w:rPr>
        <w:fldChar w:fldCharType="end"/>
      </w:r>
      <w:r w:rsidR="000C4F5F" w:rsidRPr="00C91F40">
        <w:rPr>
          <w:rFonts w:ascii="Times New Roman" w:hAnsi="Times New Roman" w:cs="Times New Roman"/>
          <w:sz w:val="24"/>
          <w:szCs w:val="24"/>
        </w:rPr>
        <w:t>. A group of 134 students were allotted five minutes to identify and label each of the eight carpal bones on the test. It was found that only 39 students (29%) correctly identified all the eight carpal bones, and 36 physical therapy students (66%) correctly identified 5 or more carpal bones as compared with only 26 medical students (32.5%). The results of both studies have portrayed that the level of anatomical knowledge of entry-level medics is far from ideal. They also specifically emphasised the lack of carpal bone anatomical knowledge possessed by medical students, which further warranted the creation of an aid to help them learn and remember the bones to a higher degree of excellence.</w:t>
      </w:r>
    </w:p>
    <w:p w14:paraId="34347618" w14:textId="77777777" w:rsidR="000C4F5F" w:rsidRPr="00C91F40" w:rsidRDefault="000C4F5F" w:rsidP="009119A7">
      <w:pPr>
        <w:pStyle w:val="Heading2"/>
        <w:numPr>
          <w:ilvl w:val="1"/>
          <w:numId w:val="3"/>
        </w:numPr>
        <w:spacing w:line="360" w:lineRule="auto"/>
        <w:rPr>
          <w:rFonts w:ascii="Times New Roman" w:hAnsi="Times New Roman" w:cs="Times New Roman"/>
          <w:color w:val="auto"/>
          <w:sz w:val="24"/>
          <w:szCs w:val="24"/>
        </w:rPr>
      </w:pPr>
      <w:r w:rsidRPr="00C91F40">
        <w:rPr>
          <w:rFonts w:ascii="Times New Roman" w:hAnsi="Times New Roman" w:cs="Times New Roman"/>
          <w:color w:val="auto"/>
          <w:sz w:val="24"/>
          <w:szCs w:val="24"/>
        </w:rPr>
        <w:t xml:space="preserve">The Study of Etymology and its Use in Medicine </w:t>
      </w:r>
    </w:p>
    <w:p w14:paraId="5BA34D56" w14:textId="77777777" w:rsidR="000C4F5F" w:rsidRPr="00C91F40" w:rsidRDefault="000C4F5F" w:rsidP="009119A7">
      <w:pPr>
        <w:pStyle w:val="Heading3"/>
        <w:spacing w:line="360" w:lineRule="auto"/>
        <w:rPr>
          <w:rFonts w:ascii="Times New Roman" w:hAnsi="Times New Roman" w:cs="Times New Roman"/>
          <w:color w:val="auto"/>
        </w:rPr>
      </w:pPr>
      <w:r w:rsidRPr="00C91F40">
        <w:rPr>
          <w:rFonts w:ascii="Times New Roman" w:hAnsi="Times New Roman" w:cs="Times New Roman"/>
          <w:color w:val="auto"/>
        </w:rPr>
        <w:t>1.3.1 The Study of Etymology</w:t>
      </w:r>
    </w:p>
    <w:p w14:paraId="22DAB52F" w14:textId="30DD8AF9" w:rsidR="000C4F5F" w:rsidRPr="00C91F40"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 xml:space="preserve">Etymology is briefly defined as </w:t>
      </w:r>
      <w:r w:rsidR="00016D9B">
        <w:rPr>
          <w:rFonts w:ascii="Times New Roman" w:hAnsi="Times New Roman" w:cs="Times New Roman"/>
          <w:sz w:val="24"/>
          <w:szCs w:val="24"/>
        </w:rPr>
        <w:t>“</w:t>
      </w:r>
      <w:r w:rsidRPr="00C91F40">
        <w:rPr>
          <w:rFonts w:ascii="Times New Roman" w:hAnsi="Times New Roman" w:cs="Times New Roman"/>
          <w:sz w:val="24"/>
          <w:szCs w:val="24"/>
        </w:rPr>
        <w:t>the scientific study of the origins and history of the changing meanings and forms of words</w:t>
      </w:r>
      <w:r w:rsidR="00016D9B">
        <w:rPr>
          <w:rFonts w:ascii="Times New Roman" w:hAnsi="Times New Roman" w:cs="Times New Roman"/>
          <w:sz w:val="24"/>
          <w:szCs w:val="24"/>
        </w:rPr>
        <w:t>”</w:t>
      </w:r>
      <w:r w:rsidRPr="00C91F40">
        <w:rPr>
          <w:rFonts w:ascii="Times New Roman" w:hAnsi="Times New Roman" w:cs="Times New Roman"/>
          <w:sz w:val="24"/>
          <w:szCs w:val="24"/>
        </w:rPr>
        <w:t xml:space="preserve"> (Ross, 1969). It is essentially the breakdown of words into their prefixes, suffixes, and root words, and the process of linking them to their classical origins, in order to give meaning to the words. As an academic specialty, it is usually taught as part of post-graduate English literature studies, therefore it is unlikely that many medical students have sufficient knowledge in etymology, or classical Greek and Latin languages (Pierson, 1989).</w:t>
      </w:r>
    </w:p>
    <w:p w14:paraId="3B6596DA" w14:textId="77777777" w:rsidR="000C4F5F" w:rsidRPr="00C91F40" w:rsidRDefault="000C4F5F" w:rsidP="009119A7">
      <w:pPr>
        <w:pStyle w:val="Heading3"/>
        <w:spacing w:line="360" w:lineRule="auto"/>
        <w:rPr>
          <w:rFonts w:ascii="Times New Roman" w:hAnsi="Times New Roman" w:cs="Times New Roman"/>
          <w:color w:val="auto"/>
        </w:rPr>
      </w:pPr>
      <w:r w:rsidRPr="00C91F40">
        <w:rPr>
          <w:rFonts w:ascii="Times New Roman" w:hAnsi="Times New Roman" w:cs="Times New Roman"/>
          <w:color w:val="auto"/>
        </w:rPr>
        <w:t>1.3.2 Relevance of Etymology in the Medical Field</w:t>
      </w:r>
    </w:p>
    <w:p w14:paraId="43590DAD" w14:textId="5D3AD511" w:rsidR="000C4F5F" w:rsidRPr="00C91F40"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 xml:space="preserve">The use of classical Greek and Latin language is extremely prevalent </w:t>
      </w:r>
      <w:r w:rsidR="000678D5">
        <w:rPr>
          <w:rFonts w:ascii="Times New Roman" w:hAnsi="Times New Roman" w:cs="Times New Roman"/>
          <w:sz w:val="24"/>
          <w:szCs w:val="24"/>
        </w:rPr>
        <w:t>within</w:t>
      </w:r>
      <w:r w:rsidRPr="00C91F40">
        <w:rPr>
          <w:rFonts w:ascii="Times New Roman" w:hAnsi="Times New Roman" w:cs="Times New Roman"/>
          <w:sz w:val="24"/>
          <w:szCs w:val="24"/>
        </w:rPr>
        <w:t xml:space="preserve"> medical terminology, the language used by medical professionals. However, </w:t>
      </w:r>
      <w:r w:rsidR="000678D5">
        <w:rPr>
          <w:rFonts w:ascii="Times New Roman" w:hAnsi="Times New Roman" w:cs="Times New Roman"/>
          <w:sz w:val="24"/>
          <w:szCs w:val="24"/>
        </w:rPr>
        <w:t>an issue is presented</w:t>
      </w:r>
      <w:r w:rsidRPr="00C91F40">
        <w:rPr>
          <w:rFonts w:ascii="Times New Roman" w:hAnsi="Times New Roman" w:cs="Times New Roman"/>
          <w:sz w:val="24"/>
          <w:szCs w:val="24"/>
        </w:rPr>
        <w:t xml:space="preserve"> </w:t>
      </w:r>
      <w:r w:rsidR="000678D5">
        <w:rPr>
          <w:rFonts w:ascii="Times New Roman" w:hAnsi="Times New Roman" w:cs="Times New Roman"/>
          <w:sz w:val="24"/>
          <w:szCs w:val="24"/>
        </w:rPr>
        <w:t>when</w:t>
      </w:r>
      <w:r w:rsidRPr="00C91F40">
        <w:rPr>
          <w:rFonts w:ascii="Times New Roman" w:hAnsi="Times New Roman" w:cs="Times New Roman"/>
          <w:sz w:val="24"/>
          <w:szCs w:val="24"/>
        </w:rPr>
        <w:t xml:space="preserve"> physicians use complex medical terminology when </w:t>
      </w:r>
      <w:r w:rsidR="002B2374">
        <w:rPr>
          <w:rFonts w:ascii="Times New Roman" w:hAnsi="Times New Roman" w:cs="Times New Roman"/>
          <w:sz w:val="24"/>
          <w:szCs w:val="24"/>
        </w:rPr>
        <w:t>interacting</w:t>
      </w:r>
      <w:r w:rsidR="002B2374" w:rsidRPr="00C91F40">
        <w:rPr>
          <w:rFonts w:ascii="Times New Roman" w:hAnsi="Times New Roman" w:cs="Times New Roman"/>
          <w:sz w:val="24"/>
          <w:szCs w:val="24"/>
        </w:rPr>
        <w:t xml:space="preserve"> </w:t>
      </w:r>
      <w:r w:rsidRPr="00C91F40">
        <w:rPr>
          <w:rFonts w:ascii="Times New Roman" w:hAnsi="Times New Roman" w:cs="Times New Roman"/>
          <w:sz w:val="24"/>
          <w:szCs w:val="24"/>
        </w:rPr>
        <w:t>with their patients,</w:t>
      </w:r>
      <w:r w:rsidR="000678D5">
        <w:rPr>
          <w:rFonts w:ascii="Times New Roman" w:hAnsi="Times New Roman" w:cs="Times New Roman"/>
          <w:sz w:val="24"/>
          <w:szCs w:val="24"/>
        </w:rPr>
        <w:t xml:space="preserve"> as</w:t>
      </w:r>
      <w:r w:rsidRPr="00C91F40">
        <w:rPr>
          <w:rFonts w:ascii="Times New Roman" w:hAnsi="Times New Roman" w:cs="Times New Roman"/>
          <w:sz w:val="24"/>
          <w:szCs w:val="24"/>
        </w:rPr>
        <w:t xml:space="preserve"> it can cause a communication barrier </w:t>
      </w:r>
      <w:r w:rsidRPr="00C91F40">
        <w:rPr>
          <w:rFonts w:ascii="Times New Roman" w:hAnsi="Times New Roman" w:cs="Times New Roman"/>
          <w:sz w:val="24"/>
          <w:szCs w:val="24"/>
        </w:rPr>
        <w:fldChar w:fldCharType="begin" w:fldLock="1"/>
      </w:r>
      <w:r w:rsidRPr="00C91F40">
        <w:rPr>
          <w:rFonts w:ascii="Times New Roman" w:hAnsi="Times New Roman" w:cs="Times New Roman"/>
          <w:sz w:val="24"/>
          <w:szCs w:val="24"/>
        </w:rPr>
        <w:instrText>ADDIN CSL_CITATION {"citationItems":[{"id":"ITEM-1","itemData":{"DOI":"10.1159/000085754","ISSN":"10117571","author":[{"dropping-particle":"","family":"Sevinc","given":"Alper","non-dropping-particle":"","parse-names":false,"suffix":""},{"dropping-particle":"","family":"Buyukberber","given":"Suleyman","non-dropping-particle":"","parse-names":false,"suffix":""},{"dropping-particle":"","family":"Camci","given":"Celalettin","non-dropping-particle":"","parse-names":false,"suffix":""}],"container-title":"Medical Principles and Practice","id":"ITEM-1","issue":"4","issued":{"date-parts":[["2005"]]},"page":"292","title":"Medical jargon: Obstacle to effective communication between physicians and patients","type":"article-journal","volume":"14"},"uris":["http://www.mendeley.com/documents/?uuid=2ff04383-0cf6-439a-8155-190a829105e1"]}],"mendeley":{"formattedCitation":"(Sevinc, Buyukberber and Camci, 2005)","plainTextFormattedCitation":"(Sevinc, Buyukberber and Camci, 2005)","previouslyFormattedCitation":"(Sevinc, Buyukberber and Camci, 2005)"},"properties":{"noteIndex":0},"schema":"https://github.com/citation-style-language/schema/raw/master/csl-citation.json"}</w:instrText>
      </w:r>
      <w:r w:rsidRPr="00C91F40">
        <w:rPr>
          <w:rFonts w:ascii="Times New Roman" w:hAnsi="Times New Roman" w:cs="Times New Roman"/>
          <w:sz w:val="24"/>
          <w:szCs w:val="24"/>
        </w:rPr>
        <w:fldChar w:fldCharType="separate"/>
      </w:r>
      <w:r w:rsidRPr="00C91F40">
        <w:rPr>
          <w:rFonts w:ascii="Times New Roman" w:hAnsi="Times New Roman" w:cs="Times New Roman"/>
          <w:noProof/>
          <w:sz w:val="24"/>
          <w:szCs w:val="24"/>
        </w:rPr>
        <w:t>(Sevinc, Buyukberber and Camci, 2005)</w:t>
      </w:r>
      <w:r w:rsidRPr="00C91F40">
        <w:rPr>
          <w:rFonts w:ascii="Times New Roman" w:hAnsi="Times New Roman" w:cs="Times New Roman"/>
          <w:sz w:val="24"/>
          <w:szCs w:val="24"/>
        </w:rPr>
        <w:fldChar w:fldCharType="end"/>
      </w:r>
      <w:r w:rsidRPr="00C91F40">
        <w:rPr>
          <w:rFonts w:ascii="Times New Roman" w:hAnsi="Times New Roman" w:cs="Times New Roman"/>
          <w:sz w:val="24"/>
          <w:szCs w:val="24"/>
        </w:rPr>
        <w:t xml:space="preserve">. </w:t>
      </w:r>
      <w:r w:rsidR="000678D5">
        <w:rPr>
          <w:rFonts w:ascii="Times New Roman" w:hAnsi="Times New Roman" w:cs="Times New Roman"/>
          <w:sz w:val="24"/>
          <w:szCs w:val="24"/>
        </w:rPr>
        <w:t>M</w:t>
      </w:r>
      <w:r w:rsidR="000678D5" w:rsidRPr="000678D5">
        <w:rPr>
          <w:rFonts w:ascii="Times New Roman" w:hAnsi="Times New Roman" w:cs="Times New Roman"/>
          <w:sz w:val="24"/>
          <w:szCs w:val="24"/>
        </w:rPr>
        <w:t xml:space="preserve">edical terminology is useful as a standard </w:t>
      </w:r>
      <w:r w:rsidR="000678D5">
        <w:rPr>
          <w:rFonts w:ascii="Times New Roman" w:hAnsi="Times New Roman" w:cs="Times New Roman"/>
          <w:sz w:val="24"/>
          <w:szCs w:val="24"/>
        </w:rPr>
        <w:t xml:space="preserve">form of </w:t>
      </w:r>
      <w:r w:rsidR="000678D5" w:rsidRPr="000678D5">
        <w:rPr>
          <w:rFonts w:ascii="Times New Roman" w:hAnsi="Times New Roman" w:cs="Times New Roman"/>
          <w:sz w:val="24"/>
          <w:szCs w:val="24"/>
        </w:rPr>
        <w:t>communication between professionals</w:t>
      </w:r>
      <w:r w:rsidR="000678D5">
        <w:rPr>
          <w:rFonts w:ascii="Times New Roman" w:hAnsi="Times New Roman" w:cs="Times New Roman"/>
          <w:sz w:val="24"/>
          <w:szCs w:val="24"/>
        </w:rPr>
        <w:t xml:space="preserve"> in the field but</w:t>
      </w:r>
      <w:r w:rsidR="000678D5" w:rsidRPr="000678D5">
        <w:rPr>
          <w:rFonts w:ascii="Times New Roman" w:hAnsi="Times New Roman" w:cs="Times New Roman"/>
          <w:sz w:val="24"/>
          <w:szCs w:val="24"/>
        </w:rPr>
        <w:t xml:space="preserve"> may not be understood by patients</w:t>
      </w:r>
      <w:r w:rsidR="000678D5">
        <w:rPr>
          <w:rFonts w:ascii="Times New Roman" w:hAnsi="Times New Roman" w:cs="Times New Roman"/>
          <w:sz w:val="24"/>
          <w:szCs w:val="24"/>
        </w:rPr>
        <w:t>.</w:t>
      </w:r>
      <w:r w:rsidR="000678D5" w:rsidRPr="000678D5">
        <w:rPr>
          <w:rFonts w:ascii="Times New Roman" w:hAnsi="Times New Roman" w:cs="Times New Roman"/>
          <w:sz w:val="24"/>
          <w:szCs w:val="24"/>
        </w:rPr>
        <w:t xml:space="preserve"> </w:t>
      </w:r>
      <w:r w:rsidRPr="00C91F40">
        <w:rPr>
          <w:rFonts w:ascii="Times New Roman" w:hAnsi="Times New Roman" w:cs="Times New Roman"/>
          <w:sz w:val="24"/>
          <w:szCs w:val="24"/>
        </w:rPr>
        <w:t xml:space="preserve">This disconnect in communication and understanding between patient </w:t>
      </w:r>
      <w:r w:rsidRPr="00C91F40">
        <w:rPr>
          <w:rFonts w:ascii="Times New Roman" w:hAnsi="Times New Roman" w:cs="Times New Roman"/>
          <w:sz w:val="24"/>
          <w:szCs w:val="24"/>
        </w:rPr>
        <w:lastRenderedPageBreak/>
        <w:t xml:space="preserve">and physician can cause the patient to feel intimidated and overwhelmed </w:t>
      </w:r>
      <w:r w:rsidRPr="00C91F40">
        <w:rPr>
          <w:rFonts w:ascii="Times New Roman" w:hAnsi="Times New Roman" w:cs="Times New Roman"/>
          <w:sz w:val="24"/>
          <w:szCs w:val="24"/>
        </w:rPr>
        <w:fldChar w:fldCharType="begin" w:fldLock="1"/>
      </w:r>
      <w:r w:rsidRPr="00C91F40">
        <w:rPr>
          <w:rFonts w:ascii="Times New Roman" w:hAnsi="Times New Roman" w:cs="Times New Roman"/>
          <w:sz w:val="24"/>
          <w:szCs w:val="24"/>
        </w:rPr>
        <w:instrText>ADDIN CSL_CITATION {"citationItems":[{"id":"ITEM-1","itemData":{"DOI":"10.1159/000085754","ISSN":"10117571","author":[{"dropping-particle":"","family":"Sevinc","given":"Alper","non-dropping-particle":"","parse-names":false,"suffix":""},{"dropping-particle":"","family":"Buyukberber","given":"Suleyman","non-dropping-particle":"","parse-names":false,"suffix":""},{"dropping-particle":"","family":"Camci","given":"Celalettin","non-dropping-particle":"","parse-names":false,"suffix":""}],"container-title":"Medical Principles and Practice","id":"ITEM-1","issue":"4","issued":{"date-parts":[["2005"]]},"page":"292","title":"Medical jargon: Obstacle to effective communication between physicians and patients","type":"article-journal","volume":"14"},"uris":["http://www.mendeley.com/documents/?uuid=2ff04383-0cf6-439a-8155-190a829105e1"]}],"mendeley":{"formattedCitation":"(Sevinc, Buyukberber and Camci, 2005)","plainTextFormattedCitation":"(Sevinc, Buyukberber and Camci, 2005)","previouslyFormattedCitation":"(Sevinc, Buyukberber and Camci, 2005)"},"properties":{"noteIndex":0},"schema":"https://github.com/citation-style-language/schema/raw/master/csl-citation.json"}</w:instrText>
      </w:r>
      <w:r w:rsidRPr="00C91F40">
        <w:rPr>
          <w:rFonts w:ascii="Times New Roman" w:hAnsi="Times New Roman" w:cs="Times New Roman"/>
          <w:sz w:val="24"/>
          <w:szCs w:val="24"/>
        </w:rPr>
        <w:fldChar w:fldCharType="separate"/>
      </w:r>
      <w:r w:rsidRPr="00C91F40">
        <w:rPr>
          <w:rFonts w:ascii="Times New Roman" w:hAnsi="Times New Roman" w:cs="Times New Roman"/>
          <w:noProof/>
          <w:sz w:val="24"/>
          <w:szCs w:val="24"/>
        </w:rPr>
        <w:t>(Sevinc, Buyukberber and Camci, 2005)</w:t>
      </w:r>
      <w:r w:rsidRPr="00C91F40">
        <w:rPr>
          <w:rFonts w:ascii="Times New Roman" w:hAnsi="Times New Roman" w:cs="Times New Roman"/>
          <w:sz w:val="24"/>
          <w:szCs w:val="24"/>
        </w:rPr>
        <w:fldChar w:fldCharType="end"/>
      </w:r>
      <w:r w:rsidRPr="00C91F40">
        <w:rPr>
          <w:rFonts w:ascii="Times New Roman" w:hAnsi="Times New Roman" w:cs="Times New Roman"/>
          <w:sz w:val="24"/>
          <w:szCs w:val="24"/>
        </w:rPr>
        <w:t xml:space="preserve">. As classical Greek and Latin courses are currently not required to fulfill a medical degree, many medical students and professionals in the field rely on rote learning methods, in conjunction with observation, dissection, and other hands-on learning techniques, when learning anatomy and medical terminology </w:t>
      </w:r>
      <w:r w:rsidRPr="00C91F40">
        <w:rPr>
          <w:rFonts w:ascii="Times New Roman" w:hAnsi="Times New Roman" w:cs="Times New Roman"/>
          <w:sz w:val="24"/>
          <w:szCs w:val="24"/>
        </w:rPr>
        <w:fldChar w:fldCharType="begin" w:fldLock="1"/>
      </w:r>
      <w:r w:rsidRPr="00C91F40">
        <w:rPr>
          <w:rFonts w:ascii="Times New Roman" w:hAnsi="Times New Roman" w:cs="Times New Roman"/>
          <w:sz w:val="24"/>
          <w:szCs w:val="24"/>
        </w:rPr>
        <w:instrText>ADDIN CSL_CITATION {"citationItems":[{"id":"ITEM-1","itemData":{"DOI":"10.20876/ijobed.92616","abstract":"This study aims to illustrate whether or not students of a second-year introductory Zoology course who were taught their course terminology using an etymological approach would show improved learning on a number of metrics of student performance. Undergraduate students of any academic discipline are challenged by the learning of its specialized language, especially in the terminology rich fields of scientific study. A common approach among students towards learning the terminology is via rote memorization, often with little success. Studies in language learning have shown that learning scaffolds that involve a morphological breakdown of new words into their morpheme units allows for improved lexical access, as well as greater knowledge retention and transfer abilities to other words in the same morpheme families. The scientific lexicon is mostly made up of root morphemes and is auto-descriptive, therefore, by using an etymological approach while learning new scientific terminology, there are two advantages over rote techniques: firstly to have a learning scaffold that may allow students to integrate unfamiliar terminology into their personal lexical repertoires and secondly, to have the ability to infer meaning of the terms' properties with respect to their scientific contexts. These contributions may constitute a more meaningful student learning experience than factual intake and regurgitation and also they are allowing for metacognitive processing and conceptual linkage to the structure and/or function properties of terminology in their specialized scientific disciplines. This study adds to the growing body of teacher-led instructional learning resources for specialized vocabulary components of effective specialized scientific language learning at the University undergraduate level.","author":[{"dropping-particle":"","family":"Brown","given":"Adam Oliver","non-dropping-particle":"","parse-names":false,"suffix":""}],"container-title":"International Journal Of Biology Education","id":"ITEM-1","issue":"2","issued":{"date-parts":[["2014"]]},"note":"Discusses how learning new scientific terms using an etymological approach allows for greater retention of knowledge","title":"Lexical access, knowledge transfer and meaningful learning of scientific terminology via an etymological approach","type":"article-journal","volume":"3"},"uris":["http://www.mendeley.com/documents/?uuid=702fc736-0f88-4b91-89ac-c5f2ad08a12f"]},{"id":"ITEM-2","itemData":{"DOI":"10.1002/ca.22256","ISSN":"10982353","abstract":"Anatomy has traditionally been a cornerstone of medical education, which has been taught via dissection and didactic lectures. The rising prevalence of mobile tablet technology means medical software applications (\"apps\") play an increasingly important role in medical education. The applications highlighted in this article will aid anatomical educators to identify which are the most useful in clinical, academic, and educational environments. These have been systematically identified by downloading all applications with keywords related to anatomy and then carrying out qualitative assessment. Novel anatomy applications from developers such as Visible Body, 3D4Medical, and Pocket Anatomy allow students to visualize and manipulate complex anatomical structures using detailed 3D models. They often contain additional content including clinical correlations and a range of media from instructional videos to interactive quiz functions. The strength of tablet technology lies in its ability to consolidate and present anatomical information to the user in the most appropriate manner for their learning style. The only question mark remains over the level of detail and accuracy of these applications. Innovative medical educators who embrace tablet technology will find that anatomy applications serve as a useful learning tool when used in conjunction with existing teaching setups. Copyright © 2013 Wiley Periodicals, Inc.","author":[{"dropping-particle":"","family":"Lewis","given":"T. L.","non-dropping-particle":"","parse-names":false,"suffix":""},{"dropping-particle":"","family":"Burnett","given":"B.","non-dropping-particle":"","parse-names":false,"suffix":""},{"dropping-particle":"","family":"Tunstall","given":"R. G.","non-dropping-particle":"","parse-names":false,"suffix":""},{"dropping-particle":"","family":"Abrahams","given":"P. H.","non-dropping-particle":"","parse-names":false,"suffix":""}],"container-title":"Clinical Anatomy","id":"ITEM-2","issue":"3","issued":{"date-parts":[["2014"]]},"note":"Discusses how 3d mobile applications aid in teaching of anatomy","page":"313-320","title":"Complementing anatomy education using three-dimensional anatomy mobile software applications on tablet computers","type":"article-journal","volume":"27"},"uris":["http://www.mendeley.com/documents/?uuid=ea103c35-0685-4ae0-92c8-4f9fbaa8a2e1"]},{"id":"ITEM-3","itemData":{"DOI":"10.1016/j.surge.2014.10.007","ISSN":"1479666X","abstract":"Background: With an increasing move towards digitalisation of medical records and medical teaching, such as online exams and webinars, one of the questions that persists asks 'is there a place for digital anatomy teaching and can it effectively replace the traditional teaching methods such as cadaveric dissection?'. Cadaveric dissection has a number of benefits as a teaching method but it also has its limitations. Although these can be partially addressed by prosections and new more \"life-like\" fixatives, it does not address the lack of resources and the increasing pressure to be able to study and learn at home. Methods: This paper reviews the literature with regards to the suitability of digital models for teaching and the wider uses a 3D digital anatomy model could have, such as postgraduate teaching, patient education and surgical planning. It also looks briefly at the learning model that anatomy as art contributes. Results: The literature has scattered examples of digital models used for teaching at both undergraduate and postgraduate level, which demonstrate a number of positive outcomes, mostly surrounding user satisfaction and convenience. 3D modelling for patient education and operation planning has less exploration, and these papers generate a number of discussion points, mostly surrounding the practicality of digital models, which can be more time consuming and require the technology to be widely available and reliable. Conclusions: 3D digital anatomy is a useful adjunct to teaching and its use in patient education and operation planning have interesting possibilities still to be fully explored.","author":[{"dropping-particle":"","family":"Murgitroyd","given":"Ellen","non-dropping-particle":"","parse-names":false,"suffix":""},{"dropping-particle":"","family":"Madurska","given":"Marta","non-dropping-particle":"","parse-names":false,"suffix":""},{"dropping-particle":"","family":"Gonzalez","given":"Jasmina","non-dropping-particle":"","parse-names":false,"suffix":""},{"dropping-particle":"","family":"Watson","given":"Angus","non-dropping-particle":"","parse-names":false,"suffix":""}],"container-title":"Surgeon","id":"ITEM-3","issue":"3","issued":{"date-parts":[["2015"]]},"page":"177-180","publisher":"Elsevier Ltd","title":"3D digital anatomy modelling - Practical or pretty?","type":"article-journal","volume":"13"},"uris":["http://www.mendeley.com/documents/?uuid=89fd385a-82f5-4587-9561-d9ca23b5c31c"]}],"mendeley":{"formattedCitation":"(Brown, 2014; Lewis &lt;i&gt;et al.&lt;/i&gt;, 2014; Murgitroyd &lt;i&gt;et al.&lt;/i&gt;, 2015)","plainTextFormattedCitation":"(Brown, 2014; Lewis et al., 2014; Murgitroyd et al., 2015)","previouslyFormattedCitation":"(Brown, 2014; Lewis &lt;i&gt;et al.&lt;/i&gt;, 2014; Murgitroyd &lt;i&gt;et al.&lt;/i&gt;, 2015)"},"properties":{"noteIndex":0},"schema":"https://github.com/citation-style-language/schema/raw/master/csl-citation.json"}</w:instrText>
      </w:r>
      <w:r w:rsidRPr="00C91F40">
        <w:rPr>
          <w:rFonts w:ascii="Times New Roman" w:hAnsi="Times New Roman" w:cs="Times New Roman"/>
          <w:sz w:val="24"/>
          <w:szCs w:val="24"/>
        </w:rPr>
        <w:fldChar w:fldCharType="separate"/>
      </w:r>
      <w:r w:rsidRPr="00C91F40">
        <w:rPr>
          <w:rFonts w:ascii="Times New Roman" w:hAnsi="Times New Roman" w:cs="Times New Roman"/>
          <w:noProof/>
          <w:sz w:val="24"/>
          <w:szCs w:val="24"/>
        </w:rPr>
        <w:t xml:space="preserve">(Brown, 2014; Lewis </w:t>
      </w:r>
      <w:r w:rsidRPr="00C91F40">
        <w:rPr>
          <w:rFonts w:ascii="Times New Roman" w:hAnsi="Times New Roman" w:cs="Times New Roman"/>
          <w:i/>
          <w:noProof/>
          <w:sz w:val="24"/>
          <w:szCs w:val="24"/>
        </w:rPr>
        <w:t>et al.</w:t>
      </w:r>
      <w:r w:rsidRPr="00C91F40">
        <w:rPr>
          <w:rFonts w:ascii="Times New Roman" w:hAnsi="Times New Roman" w:cs="Times New Roman"/>
          <w:noProof/>
          <w:sz w:val="24"/>
          <w:szCs w:val="24"/>
        </w:rPr>
        <w:t xml:space="preserve">, 2014; Murgitroyd </w:t>
      </w:r>
      <w:r w:rsidRPr="00C91F40">
        <w:rPr>
          <w:rFonts w:ascii="Times New Roman" w:hAnsi="Times New Roman" w:cs="Times New Roman"/>
          <w:i/>
          <w:noProof/>
          <w:sz w:val="24"/>
          <w:szCs w:val="24"/>
        </w:rPr>
        <w:t>et al.</w:t>
      </w:r>
      <w:r w:rsidRPr="00C91F40">
        <w:rPr>
          <w:rFonts w:ascii="Times New Roman" w:hAnsi="Times New Roman" w:cs="Times New Roman"/>
          <w:noProof/>
          <w:sz w:val="24"/>
          <w:szCs w:val="24"/>
        </w:rPr>
        <w:t>, 2015)</w:t>
      </w:r>
      <w:r w:rsidRPr="00C91F40">
        <w:rPr>
          <w:rFonts w:ascii="Times New Roman" w:hAnsi="Times New Roman" w:cs="Times New Roman"/>
          <w:sz w:val="24"/>
          <w:szCs w:val="24"/>
        </w:rPr>
        <w:fldChar w:fldCharType="end"/>
      </w:r>
      <w:r w:rsidRPr="00C91F40">
        <w:rPr>
          <w:rFonts w:ascii="Times New Roman" w:hAnsi="Times New Roman" w:cs="Times New Roman"/>
          <w:sz w:val="24"/>
          <w:szCs w:val="24"/>
        </w:rPr>
        <w:t>. As memorisation plays a major role in these typical learning methods, many of these individuals will go through their training and experience without having sufficient etymological knowledge of the anatomy being learned. One study found that no house officers or medical students (</w:t>
      </w:r>
      <w:r w:rsidRPr="00C91F40">
        <w:rPr>
          <w:rFonts w:ascii="Times New Roman" w:hAnsi="Times New Roman" w:cs="Times New Roman"/>
          <w:i/>
          <w:iCs/>
          <w:sz w:val="24"/>
          <w:szCs w:val="24"/>
        </w:rPr>
        <w:t>n</w:t>
      </w:r>
      <w:r w:rsidRPr="00C91F40">
        <w:rPr>
          <w:rFonts w:ascii="Times New Roman" w:hAnsi="Times New Roman" w:cs="Times New Roman"/>
          <w:sz w:val="24"/>
          <w:szCs w:val="24"/>
        </w:rPr>
        <w:t xml:space="preserve"> = 52) could translate common abbreviations used in medical practice </w:t>
      </w:r>
      <w:r w:rsidRPr="00C91F40">
        <w:rPr>
          <w:rFonts w:ascii="Times New Roman" w:hAnsi="Times New Roman" w:cs="Times New Roman"/>
          <w:sz w:val="24"/>
          <w:szCs w:val="24"/>
        </w:rPr>
        <w:fldChar w:fldCharType="begin" w:fldLock="1"/>
      </w:r>
      <w:r w:rsidRPr="00C91F40">
        <w:rPr>
          <w:rFonts w:ascii="Times New Roman" w:hAnsi="Times New Roman" w:cs="Times New Roman"/>
          <w:sz w:val="24"/>
          <w:szCs w:val="24"/>
        </w:rPr>
        <w:instrText>ADDIN CSL_CITATION {"citationItems":[{"id":"ITEM-1","itemData":{"DOI":"10.1046/j.1365-2923.2002.01369.x","ISSN":"03080110","author":[{"dropping-particle":"","family":"Drury","given":"Nigel E.","non-dropping-particle":"","parse-names":false,"suffix":""},{"dropping-particle":"","family":"Powell-Smith","given":"Edward","non-dropping-particle":"","parse-names":false,"suffix":""},{"dropping-particle":"","family":"McKeever","given":"J. A.","non-dropping-particle":"","parse-names":false,"suffix":""}],"container-title":"Medical Education","id":"ITEM-1","issue":"12","issued":{"date-parts":[["2002"]]},"page":"1175","title":"Medical practitioners' knowledge of Latin","type":"article-journal","volume":"36"},"uris":["http://www.mendeley.com/documents/?uuid=5ce862ec-d0ab-4f81-b7d4-3208b5509bf6"]}],"mendeley":{"formattedCitation":"(Drury, Powell-Smith and McKeever, 2002)","plainTextFormattedCitation":"(Drury, Powell-Smith and McKeever, 2002)","previouslyFormattedCitation":"(Drury, Powell-Smith and McKeever, 2002)"},"properties":{"noteIndex":0},"schema":"https://github.com/citation-style-language/schema/raw/master/csl-citation.json"}</w:instrText>
      </w:r>
      <w:r w:rsidRPr="00C91F40">
        <w:rPr>
          <w:rFonts w:ascii="Times New Roman" w:hAnsi="Times New Roman" w:cs="Times New Roman"/>
          <w:sz w:val="24"/>
          <w:szCs w:val="24"/>
        </w:rPr>
        <w:fldChar w:fldCharType="separate"/>
      </w:r>
      <w:r w:rsidRPr="00C91F40">
        <w:rPr>
          <w:rFonts w:ascii="Times New Roman" w:hAnsi="Times New Roman" w:cs="Times New Roman"/>
          <w:noProof/>
          <w:sz w:val="24"/>
          <w:szCs w:val="24"/>
        </w:rPr>
        <w:t>(Drury, Powell-Smith and McKeever, 2002)</w:t>
      </w:r>
      <w:r w:rsidRPr="00C91F40">
        <w:rPr>
          <w:rFonts w:ascii="Times New Roman" w:hAnsi="Times New Roman" w:cs="Times New Roman"/>
          <w:sz w:val="24"/>
          <w:szCs w:val="24"/>
        </w:rPr>
        <w:fldChar w:fldCharType="end"/>
      </w:r>
      <w:r w:rsidRPr="00C91F40">
        <w:rPr>
          <w:rFonts w:ascii="Times New Roman" w:hAnsi="Times New Roman" w:cs="Times New Roman"/>
          <w:sz w:val="24"/>
          <w:szCs w:val="24"/>
        </w:rPr>
        <w:t>. Another study found that in an emergency department, the percentage of patients who did not recognise analogous terms such as bleeding and hemorrhage was 79%</w:t>
      </w:r>
      <w:r w:rsidR="004B228B">
        <w:rPr>
          <w:rFonts w:ascii="Times New Roman" w:hAnsi="Times New Roman" w:cs="Times New Roman"/>
          <w:sz w:val="24"/>
          <w:szCs w:val="24"/>
        </w:rPr>
        <w:t xml:space="preserve">, and </w:t>
      </w:r>
      <w:r w:rsidRPr="00C91F40">
        <w:rPr>
          <w:rFonts w:ascii="Times New Roman" w:hAnsi="Times New Roman" w:cs="Times New Roman"/>
          <w:sz w:val="24"/>
          <w:szCs w:val="24"/>
        </w:rPr>
        <w:t>broken and fractured bone: 78%; while for non-analogous terms diarrhea and loose stools: 37%</w:t>
      </w:r>
      <w:r w:rsidR="00231286">
        <w:rPr>
          <w:rFonts w:ascii="Times New Roman" w:hAnsi="Times New Roman" w:cs="Times New Roman"/>
          <w:sz w:val="24"/>
          <w:szCs w:val="24"/>
        </w:rPr>
        <w:t>, for example</w:t>
      </w:r>
      <w:r w:rsidR="004B228B">
        <w:rPr>
          <w:rFonts w:ascii="Times New Roman" w:hAnsi="Times New Roman" w:cs="Times New Roman"/>
          <w:sz w:val="24"/>
          <w:szCs w:val="24"/>
        </w:rPr>
        <w:t xml:space="preserve"> </w:t>
      </w:r>
      <w:r w:rsidRPr="00C91F40">
        <w:rPr>
          <w:rFonts w:ascii="Times New Roman" w:hAnsi="Times New Roman" w:cs="Times New Roman"/>
          <w:sz w:val="24"/>
          <w:szCs w:val="24"/>
        </w:rPr>
        <w:fldChar w:fldCharType="begin" w:fldLock="1"/>
      </w:r>
      <w:r w:rsidRPr="00C91F40">
        <w:rPr>
          <w:rFonts w:ascii="Times New Roman" w:hAnsi="Times New Roman" w:cs="Times New Roman"/>
          <w:sz w:val="24"/>
          <w:szCs w:val="24"/>
        </w:rPr>
        <w:instrText>ADDIN CSL_CITATION {"citationItems":[{"id":"ITEM-1","itemData":{"DOI":"10.1053/ajem.2000.18040","ISSN":"07356757","abstract":"The objective of this study was to determine emergency department (ED) patient's understanding of common medical terms used by health care providers (HCP). Consecutive patients over 18 years of age having nonurgent conditions were recruited from the EDs of an urban and a suburban hospital between the hours of 7 a.m. and 11 p.m. Patients were asked whether six pairs of terms had the same or different meaning and scored on the number of correct answers (maximum score 6). Multiple linear regression analysis was used to assess possible relationships between test scores and age, sex, hospital site, highest education level, and predicted household income (determined from zip code). Two hundred forty-nine patients (130 men/119 women) ranging in age from 18 to 87 years old (mean = 39.4, SD = 14.9) were enrolled on the study. The mean number of correct responses was 2.8 (SD = 1.2). The percentage of patients that did not recognize analogous terms was 79% for bleeding versus hemorrhage, 78% for broken versus fractured bone, 74% for heart attack versus myocardial infarction, and 38% for stitches versus sutures. The percentage that did not recognize nonanalogous terms was 37% for diarrhea versus loose stools, and 10% for cast versus splint. Regression analysis (R2 = .13) revealed a significant positive independent relationship between test score and age (P &lt; .024), education (P &lt; .001), and suburban hospital site (P &lt; .004). Predicted income had a significant relationship with test score (P &lt; .001); however, this was no longer significant when controlled for the confounding influence of age, education and hospital site. Medical terminology is often poorly understood, especially by young, urban, poorly educated patients. Emergency health care providers should remember that even commonly used medical terminology should be carefully explained to their patients. (C) 2000 by W.B. Saunders Company.","author":[{"dropping-particle":"","family":"Lerner","given":"E. Brooke","non-dropping-particle":"","parse-names":false,"suffix":""},{"dropping-particle":"","family":"Jehle","given":"Dietrich V.K.","non-dropping-particle":"","parse-names":false,"suffix":""},{"dropping-particle":"","family":"Janicke","given":"David M.","non-dropping-particle":"","parse-names":false,"suffix":""},{"dropping-particle":"","family":"Moscati","given":"Ronald M.","non-dropping-particle":"","parse-names":false,"suffix":""}],"container-title":"American Journal of Emergency Medicine","id":"ITEM-1","issue":"7","issued":{"date-parts":[["2000"]]},"page":"764-766","title":"Medical communication: Do our patients understand?","type":"article-journal","volume":"18"},"uris":["http://www.mendeley.com/documents/?uuid=d8de599f-b89a-4ba9-b053-4493a1ee4060"]}],"mendeley":{"formattedCitation":"(Lerner &lt;i&gt;et al.&lt;/i&gt;, 2000)","plainTextFormattedCitation":"(Lerner et al., 2000)","previouslyFormattedCitation":"(Lerner &lt;i&gt;et al.&lt;/i&gt;, 2000)"},"properties":{"noteIndex":0},"schema":"https://github.com/citation-style-language/schema/raw/master/csl-citation.json"}</w:instrText>
      </w:r>
      <w:r w:rsidRPr="00C91F40">
        <w:rPr>
          <w:rFonts w:ascii="Times New Roman" w:hAnsi="Times New Roman" w:cs="Times New Roman"/>
          <w:sz w:val="24"/>
          <w:szCs w:val="24"/>
        </w:rPr>
        <w:fldChar w:fldCharType="separate"/>
      </w:r>
      <w:r w:rsidRPr="00C91F40">
        <w:rPr>
          <w:rFonts w:ascii="Times New Roman" w:hAnsi="Times New Roman" w:cs="Times New Roman"/>
          <w:noProof/>
          <w:sz w:val="24"/>
          <w:szCs w:val="24"/>
        </w:rPr>
        <w:t xml:space="preserve">(Lerner </w:t>
      </w:r>
      <w:r w:rsidRPr="00C91F40">
        <w:rPr>
          <w:rFonts w:ascii="Times New Roman" w:hAnsi="Times New Roman" w:cs="Times New Roman"/>
          <w:i/>
          <w:noProof/>
          <w:sz w:val="24"/>
          <w:szCs w:val="24"/>
        </w:rPr>
        <w:t>et al.</w:t>
      </w:r>
      <w:r w:rsidRPr="00C91F40">
        <w:rPr>
          <w:rFonts w:ascii="Times New Roman" w:hAnsi="Times New Roman" w:cs="Times New Roman"/>
          <w:noProof/>
          <w:sz w:val="24"/>
          <w:szCs w:val="24"/>
        </w:rPr>
        <w:t>, 2000)</w:t>
      </w:r>
      <w:r w:rsidRPr="00C91F40">
        <w:rPr>
          <w:rFonts w:ascii="Times New Roman" w:hAnsi="Times New Roman" w:cs="Times New Roman"/>
          <w:sz w:val="24"/>
          <w:szCs w:val="24"/>
        </w:rPr>
        <w:fldChar w:fldCharType="end"/>
      </w:r>
      <w:r w:rsidRPr="00C91F40">
        <w:rPr>
          <w:rFonts w:ascii="Times New Roman" w:hAnsi="Times New Roman" w:cs="Times New Roman"/>
          <w:sz w:val="24"/>
          <w:szCs w:val="24"/>
        </w:rPr>
        <w:t>. The patient-physician communication barrier occurs when physicians use terminology in which the patient does not understand, and the physician does not have the ability to translate or explain. When there is no depth in understanding of the classical origins of these terms, it makes it much more difficult for communication to be had between people in the medical field and others not so well-versed, like patients. It is therefore considered useful for the physician to have background knowledge in anatomical and medical etymology, as it would allow them to explain in simple and relevant terms what the words being used with their patients actually mean.</w:t>
      </w:r>
    </w:p>
    <w:p w14:paraId="4A6E6F94" w14:textId="77777777" w:rsidR="000C4F5F" w:rsidRPr="00C91F40" w:rsidRDefault="000C4F5F" w:rsidP="009119A7">
      <w:pPr>
        <w:pStyle w:val="Heading2"/>
        <w:numPr>
          <w:ilvl w:val="1"/>
          <w:numId w:val="3"/>
        </w:numPr>
        <w:spacing w:line="360" w:lineRule="auto"/>
        <w:rPr>
          <w:rFonts w:ascii="Times New Roman" w:hAnsi="Times New Roman" w:cs="Times New Roman"/>
          <w:color w:val="auto"/>
          <w:sz w:val="24"/>
          <w:szCs w:val="24"/>
        </w:rPr>
      </w:pPr>
      <w:bookmarkStart w:id="0" w:name="_Toc48310806"/>
      <w:r w:rsidRPr="00C91F40">
        <w:rPr>
          <w:rFonts w:ascii="Times New Roman" w:hAnsi="Times New Roman" w:cs="Times New Roman"/>
          <w:color w:val="auto"/>
          <w:sz w:val="24"/>
          <w:szCs w:val="24"/>
        </w:rPr>
        <w:t>The Link Between Knowledge of Etymology and Successful Learning of Anatomy in Medical Students</w:t>
      </w:r>
      <w:bookmarkEnd w:id="0"/>
      <w:r w:rsidRPr="00C91F40">
        <w:rPr>
          <w:rFonts w:ascii="Times New Roman" w:hAnsi="Times New Roman" w:cs="Times New Roman"/>
          <w:color w:val="auto"/>
          <w:sz w:val="24"/>
          <w:szCs w:val="24"/>
        </w:rPr>
        <w:t xml:space="preserve"> </w:t>
      </w:r>
    </w:p>
    <w:p w14:paraId="09BB506B" w14:textId="77777777" w:rsidR="000C4F5F" w:rsidRPr="00C91F40"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 xml:space="preserve">Numerous studies have been conducted to explore the influence of understanding etymology on learning human anatomy </w:t>
      </w:r>
      <w:r w:rsidRPr="00C91F40">
        <w:rPr>
          <w:rFonts w:ascii="Times New Roman" w:hAnsi="Times New Roman" w:cs="Times New Roman"/>
          <w:sz w:val="24"/>
          <w:szCs w:val="24"/>
        </w:rPr>
        <w:fldChar w:fldCharType="begin" w:fldLock="1"/>
      </w:r>
      <w:r w:rsidRPr="00C91F40">
        <w:rPr>
          <w:rFonts w:ascii="Times New Roman" w:hAnsi="Times New Roman" w:cs="Times New Roman"/>
          <w:sz w:val="24"/>
          <w:szCs w:val="24"/>
        </w:rPr>
        <w:instrText>ADDIN CSL_CITATION {"citationItems":[{"id":"ITEM-1","itemData":{"author":[{"dropping-particle":"","family":"Ebenezer","given":"David A","non-dropping-particle":"","parse-names":false,"suffix":""},{"dropping-particle":"","family":"Mohanraj","given":"Saravanan","non-dropping-particle":"","parse-names":false,"suffix":""}],"id":"ITEM-1","issue":"1","issued":{"date-parts":[["2020"]]},"page":"8-11","title":"UNDERSTANDING ETYMOLOGY : AWARENESS AMONG DOCTORS AND A TOOL IN SUCCESSFUL MEDICAL EDUCATION","type":"article-journal","volume":"7"},"uris":["http://www.mendeley.com/documents/?uuid=8fd5ffce-5b43-4129-b450-9128d447e325"]},{"id":"ITEM-2","itemData":{"DOI":"10.1002/ase.189","ISSN":"19359772","abstract":"Commonly used technical anatomy and physiology (A&amp;P) terms are predominantly rooted in Latin and Greek vocabulary, so it is commonly inferred that a solid grounding in Latin and Greek roots of medical terminology will improve student learning in anatomy and related disciplines. This study examines the association of etymological knowledge of A&amp;P terms and A&amp;P course performance among 446 undergraduates in their first semester of the study of human gross anatomy and physiology, with a more detailed analysis of the characteristics of 52 students who filled out surveys about their prior knowledge and experiences related to medicine or anatomy. In both data sets, there was only a weak positive correlation between the performance on a quiz of Latin and Greek medical terms and the students' performance on regular assignments. The presumption that familiarity with Latin and Greek word roots has a strong influence on successful learning of anatomy is not supported by these data. Future research should address whether or not there are particular skills associated with using etymological knowledge in improving A&amp;P course performance. © 2010 American Association of Anatomists.","author":[{"dropping-particle":"","family":"Pampush","given":"James D.","non-dropping-particle":"","parse-names":false,"suffix":""},{"dropping-particle":"","family":"Petto","given":"Andrew J.","non-dropping-particle":"","parse-names":false,"suffix":""}],"container-title":"Anatomical Sciences Education","id":"ITEM-2","issue":"1","issued":{"date-parts":[["2011"]]},"note":"Study done of a large class of undergraduate anatomy students to see if previous knowledge of greek and latin helps with their learning of anatomy. Findings were that there was not significant positive correlation between the two.","page":"9-15","title":"Familiarity with Latin and Greek anatomical terms and course performance in undergraduates","type":"article-journal","volume":"4"},"uris":["http://www.mendeley.com/documents/?uuid=c78a61d1-b5a5-43c2-bfba-297d95868d7c"]},{"id":"ITEM-3","itemData":{"DOI":"10.1002/ca.20342","ISSN":"08973806","abstract":"Background: Medical students and practitioners learn and use a vocabulary originating almost entirely from classical Latin and Greek languages. Previous generations required Latin or Greek prior to medical school, but the current generation does not have such requirements. Anecdotal evidence suggests that understanding Latin or Greek helps students to learn and practitioners to recall otherwise foreign terminology. This study evaluated students' familiarity with Latin and Greek etymologies before and after a gross anatomy course that incorporated etymologies into its curriculum. Methods: First-year medical students at Mayo Clinic College of Medicine were taught Latin and Greek etymologies through lectures and handouts during their gross anatomy course. They took a pretest and a posttest before and after the course to assess their understanding of etymologies. In addition, students from all four years of medical school, residents, and staff physicians also took a general etymology quiz to assess their understanding of etymologies. Results: After their gross anatomy course emphasizing etymologies, first-year students scored higher on the posttest than they did on the pretest. First-year students also reported that learning etymologies enhanced anatomy learning, made the experience more enjoyable, and proved to be less difficult than they thought it would be prior to the course. Medical students, residents, and staff physicians scored almost equally on the general etymology quiz and almost equally reported that etymologies enhanced learning and recalling terminology. Medical students, residents, and staff physicians almost equally endorsed incorporating etymologies into medical education. Conclusions: This study provides novel scientific evidence that a basic understanding of Latin and Greek etymologies enhances performance and comfort when learning and using medical terminology. © 2006 Wiley-Liss, Inc.","author":[{"dropping-particle":"","family":"Smith","given":"Sean B.","non-dropping-particle":"","parse-names":false,"suffix":""},{"dropping-particle":"","family":"Carmichael","given":"Stephen W.","non-dropping-particle":"","parse-names":false,"suffix":""},{"dropping-particle":"","family":"Pawlina","given":"Wojciech","non-dropping-particle":"","parse-names":false,"suffix":""},{"dropping-particle":"","family":"Spinner","given":"Robert J.","non-dropping-particle":"","parse-names":false,"suffix":""}],"container-title":"Clinical Anatomy","id":"ITEM-3","issue":"3","issued":{"date-parts":[["2007"]]},"page":"332-337","title":"Latin and Greek in gross anatomy","type":"article-journal","volume":"20"},"uris":["http://www.mendeley.com/documents/?uuid=03b66366-ab76-46e3-be4b-5cb990e70832"]},{"id":"ITEM-4","itemData":{"DOI":"10.1016/S1479-666X(05)80087-3","ISSN":"1479666X","abstract":"With the changing emphasis of the modern medical school curriculum, many senior doctors and authors are commenting on a decline in anatomical knowledge of trainees. This study was conceived to provide a snapshot of medical students' and junior doctors' knowledge of anatomy. The carpal bones were chosen as a benchmark for anatomical knowledge as they are easily objectively examined and have clinical relevance to junior doctors in a number of disciplines. Twenty five fourth and final year medical students, fifteen pre-registration house officers (PRHOs) and ten senior house officers (SHOs) were recruited and the questionnaires were completed in the presence of one author. Of all participants recruited only fifteen could correctly name all eight carpal bones. Seven of these were SHOs in Surgery or Accident and Emergency (A&amp;E). Seventeen medical students (68%) and nine PRHOs (60%) correctly identified less than five carpal bones. Most SHOs (90%) could name five or more bones; the proportion of PRHOs and medical students correctly naming more than five bones was similar (40% vs 32%). The scaphoid was the most frequently identified bone, with an accuracy of 92%. Only 15 candidates (30%) managed to name the triquetrum. The overall recognition scores obtained by medical students was poor, however the SHO's results were more reassuring. Anatomy teaching should be encouraged in undergraduate and postgraduate training. © 2005 Surgeon.","author":[{"dropping-particle":"","family":"Spielmann","given":"Pat M.","non-dropping-particle":"","parse-names":false,"suffix":""},{"dropping-particle":"","family":"Oliver","given":"C. W.","non-dropping-particle":"","parse-names":false,"suffix":""}],"container-title":"Surgeon","id":"ITEM-4","issue":"4","issued":{"date-parts":[["2005"]]},"page":"257-259","publisher":"Royal College of Surgeons of Edinburgh and Royal College of Surgeons in Ireland","title":"The carpal bones: A basic test of medical students' and junior doctors' knowledge of anatomy","type":"article-journal","volume":"3"},"uris":["http://www.mendeley.com/documents/?uuid=bd02cfee-b11b-4d96-9ad6-5ac78aff4ffa"]}],"mendeley":{"formattedCitation":"(Spielmann and Oliver, 2005; Smith &lt;i&gt;et al.&lt;/i&gt;, 2007; Pampush and Petto, 2011; Ebenezer and Mohanraj, 2020)","plainTextFormattedCitation":"(Spielmann and Oliver, 2005; Smith et al., 2007; Pampush and Petto, 2011; Ebenezer and Mohanraj, 2020)","previouslyFormattedCitation":"(Spielmann and Oliver, 2005; Smith &lt;i&gt;et al.&lt;/i&gt;, 2007; Pampush and Petto, 2011; Ebenezer and Mohanraj, 2020)"},"properties":{"noteIndex":0},"schema":"https://github.com/citation-style-language/schema/raw/master/csl-citation.json"}</w:instrText>
      </w:r>
      <w:r w:rsidRPr="00C91F40">
        <w:rPr>
          <w:rFonts w:ascii="Times New Roman" w:hAnsi="Times New Roman" w:cs="Times New Roman"/>
          <w:sz w:val="24"/>
          <w:szCs w:val="24"/>
        </w:rPr>
        <w:fldChar w:fldCharType="separate"/>
      </w:r>
      <w:r w:rsidRPr="00C91F40">
        <w:rPr>
          <w:rFonts w:ascii="Times New Roman" w:hAnsi="Times New Roman" w:cs="Times New Roman"/>
          <w:noProof/>
          <w:sz w:val="24"/>
          <w:szCs w:val="24"/>
        </w:rPr>
        <w:t xml:space="preserve">(Spielmann and Oliver, 2005; Smith </w:t>
      </w:r>
      <w:r w:rsidRPr="00C91F40">
        <w:rPr>
          <w:rFonts w:ascii="Times New Roman" w:hAnsi="Times New Roman" w:cs="Times New Roman"/>
          <w:i/>
          <w:noProof/>
          <w:sz w:val="24"/>
          <w:szCs w:val="24"/>
        </w:rPr>
        <w:t>et al.</w:t>
      </w:r>
      <w:r w:rsidRPr="00C91F40">
        <w:rPr>
          <w:rFonts w:ascii="Times New Roman" w:hAnsi="Times New Roman" w:cs="Times New Roman"/>
          <w:noProof/>
          <w:sz w:val="24"/>
          <w:szCs w:val="24"/>
        </w:rPr>
        <w:t>, 2007; Pampush and Petto, 2011; Ebenezer and Mohanraj, 2020)</w:t>
      </w:r>
      <w:r w:rsidRPr="00C91F40">
        <w:rPr>
          <w:rFonts w:ascii="Times New Roman" w:hAnsi="Times New Roman" w:cs="Times New Roman"/>
          <w:sz w:val="24"/>
          <w:szCs w:val="24"/>
        </w:rPr>
        <w:fldChar w:fldCharType="end"/>
      </w:r>
      <w:r w:rsidRPr="00C91F40">
        <w:rPr>
          <w:rFonts w:ascii="Times New Roman" w:hAnsi="Times New Roman" w:cs="Times New Roman"/>
          <w:sz w:val="24"/>
          <w:szCs w:val="24"/>
        </w:rPr>
        <w:t>. In order to understand this, one must first understand how the process of learning new information works.</w:t>
      </w:r>
    </w:p>
    <w:p w14:paraId="7208CF91" w14:textId="77777777" w:rsidR="000C4F5F" w:rsidRPr="00C91F40" w:rsidRDefault="000C4F5F" w:rsidP="009119A7">
      <w:pPr>
        <w:pStyle w:val="Heading3"/>
        <w:numPr>
          <w:ilvl w:val="2"/>
          <w:numId w:val="3"/>
        </w:numPr>
        <w:spacing w:line="360" w:lineRule="auto"/>
        <w:rPr>
          <w:rFonts w:ascii="Times New Roman" w:hAnsi="Times New Roman" w:cs="Times New Roman"/>
          <w:color w:val="auto"/>
        </w:rPr>
      </w:pPr>
      <w:r w:rsidRPr="00C91F40">
        <w:rPr>
          <w:rFonts w:ascii="Times New Roman" w:hAnsi="Times New Roman" w:cs="Times New Roman"/>
          <w:color w:val="auto"/>
        </w:rPr>
        <w:t>How Do We Learn? Three Learning Outcomes</w:t>
      </w:r>
    </w:p>
    <w:p w14:paraId="172E19EE" w14:textId="63D595B9" w:rsidR="000C4F5F" w:rsidRPr="00C91F40"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 xml:space="preserve">The different ways in which we approach new information being presented can be categorised into three groups: no learning, rote learning, and meaningful learning </w:t>
      </w:r>
      <w:r w:rsidRPr="00C91F40">
        <w:rPr>
          <w:rFonts w:ascii="Times New Roman" w:hAnsi="Times New Roman" w:cs="Times New Roman"/>
          <w:sz w:val="24"/>
          <w:szCs w:val="24"/>
        </w:rPr>
        <w:fldChar w:fldCharType="begin" w:fldLock="1"/>
      </w:r>
      <w:r w:rsidRPr="00C91F40">
        <w:rPr>
          <w:rFonts w:ascii="Times New Roman" w:hAnsi="Times New Roman" w:cs="Times New Roman"/>
          <w:sz w:val="24"/>
          <w:szCs w:val="24"/>
        </w:rPr>
        <w:instrText>ADDIN CSL_CITATION {"citationItems":[{"id":"ITEM-1","itemData":{"DOI":"10.1207/s15430421tip4104","ISBN":"0040-5841 U6 - ctx_ver=Z39.88-2004&amp;ctx_enc=info%3Aofi%2Fenc%3AUTF-8&amp;rfr_id=info:sid/summon.serialssolutions.com&amp;rft_val_fmt=info:ofi/fmt:kev:mtx:journal&amp;rft.genre=article&amp;rft.atitle=A+revision+of+Bloom%27s+taxonomy%3A+An+overview&amp;rft.jtitle=Theory+into+Pr","ISSN":"00029556","PMID":"19353930","abstract":"Recollection rejection is a memory editing mechanism in which related lures are rejected because of the recollection of the lure's instantiating target (e.g., \"I know it wasn't pretty because it was beautiful\"). According to one view, recollection rejection requires an assumption on the part of the participant that both a word and its related lure could not have been studied. We examined this view by manipulating the instructions that were given to participants (Experiment 1) and the nature of the study list (Experiment 2). Estimates of recollection rejection derived from the phantom receive operating characteristic model found evidence for the role of metacognitive assumptions, but only when metacognitive knowledge was manipulated by varying the nature of the study list.","author":[{"dropping-particle":"","family":"Mayer","given":"Richard E.","non-dropping-particle":"","parse-names":false,"suffix":""}],"container-title":"Theory Into Practice","id":"ITEM-1","issue":"4","issued":{"date-parts":[["2002"]]},"page":"219-225","title":"Rote Versus Meaningful Learning","type":"article-journal","volume":"41"},"uris":["http://www.mendeley.com/documents/?uuid=5f982855-b2c3-436c-a728-1936bc5a0b30"]}],"mendeley":{"formattedCitation":"(Mayer, 2002)","plainTextFormattedCitation":"(Mayer, 2002)","previouslyFormattedCitation":"(Mayer, 2002)"},"properties":{"noteIndex":0},"schema":"https://github.com/citation-style-language/schema/raw/master/csl-citation.json"}</w:instrText>
      </w:r>
      <w:r w:rsidRPr="00C91F40">
        <w:rPr>
          <w:rFonts w:ascii="Times New Roman" w:hAnsi="Times New Roman" w:cs="Times New Roman"/>
          <w:sz w:val="24"/>
          <w:szCs w:val="24"/>
        </w:rPr>
        <w:fldChar w:fldCharType="separate"/>
      </w:r>
      <w:r w:rsidRPr="00C91F40">
        <w:rPr>
          <w:rFonts w:ascii="Times New Roman" w:hAnsi="Times New Roman" w:cs="Times New Roman"/>
          <w:noProof/>
          <w:sz w:val="24"/>
          <w:szCs w:val="24"/>
        </w:rPr>
        <w:t>(Mayer, 2002)</w:t>
      </w:r>
      <w:r w:rsidRPr="00C91F40">
        <w:rPr>
          <w:rFonts w:ascii="Times New Roman" w:hAnsi="Times New Roman" w:cs="Times New Roman"/>
          <w:sz w:val="24"/>
          <w:szCs w:val="24"/>
        </w:rPr>
        <w:fldChar w:fldCharType="end"/>
      </w:r>
      <w:r w:rsidRPr="00C91F40">
        <w:rPr>
          <w:rFonts w:ascii="Times New Roman" w:hAnsi="Times New Roman" w:cs="Times New Roman"/>
          <w:sz w:val="24"/>
          <w:szCs w:val="24"/>
        </w:rPr>
        <w:t xml:space="preserve">. Each of these learning outcomes results in a difference in the way new knowledge is stored and </w:t>
      </w:r>
      <w:r w:rsidRPr="00C91F40">
        <w:rPr>
          <w:rFonts w:ascii="Times New Roman" w:hAnsi="Times New Roman" w:cs="Times New Roman"/>
          <w:sz w:val="24"/>
          <w:szCs w:val="24"/>
        </w:rPr>
        <w:lastRenderedPageBreak/>
        <w:t>used</w:t>
      </w:r>
      <w:r w:rsidR="00016D9B">
        <w:rPr>
          <w:rFonts w:ascii="Times New Roman" w:hAnsi="Times New Roman" w:cs="Times New Roman"/>
          <w:sz w:val="24"/>
          <w:szCs w:val="24"/>
        </w:rPr>
        <w:t xml:space="preserve">. </w:t>
      </w:r>
      <w:r w:rsidRPr="00C91F40">
        <w:rPr>
          <w:rFonts w:ascii="Times New Roman" w:hAnsi="Times New Roman" w:cs="Times New Roman"/>
          <w:sz w:val="24"/>
          <w:szCs w:val="24"/>
        </w:rPr>
        <w:t xml:space="preserve">Consider a scenario in which </w:t>
      </w:r>
      <w:r w:rsidR="00087C49">
        <w:rPr>
          <w:rFonts w:ascii="Times New Roman" w:hAnsi="Times New Roman" w:cs="Times New Roman"/>
          <w:sz w:val="24"/>
          <w:szCs w:val="24"/>
        </w:rPr>
        <w:t>new</w:t>
      </w:r>
      <w:r w:rsidRPr="00C91F40">
        <w:rPr>
          <w:rFonts w:ascii="Times New Roman" w:hAnsi="Times New Roman" w:cs="Times New Roman"/>
          <w:sz w:val="24"/>
          <w:szCs w:val="24"/>
        </w:rPr>
        <w:t xml:space="preserve"> information </w:t>
      </w:r>
      <w:r w:rsidR="00087C49">
        <w:rPr>
          <w:rFonts w:ascii="Times New Roman" w:hAnsi="Times New Roman" w:cs="Times New Roman"/>
          <w:sz w:val="24"/>
          <w:szCs w:val="24"/>
        </w:rPr>
        <w:t>is</w:t>
      </w:r>
      <w:r w:rsidRPr="00C91F40">
        <w:rPr>
          <w:rFonts w:ascii="Times New Roman" w:hAnsi="Times New Roman" w:cs="Times New Roman"/>
          <w:sz w:val="24"/>
          <w:szCs w:val="24"/>
        </w:rPr>
        <w:t xml:space="preserve"> ski</w:t>
      </w:r>
      <w:r w:rsidR="00900668">
        <w:rPr>
          <w:rFonts w:ascii="Times New Roman" w:hAnsi="Times New Roman" w:cs="Times New Roman"/>
          <w:sz w:val="24"/>
          <w:szCs w:val="24"/>
        </w:rPr>
        <w:t>m</w:t>
      </w:r>
      <w:r w:rsidRPr="00C91F40">
        <w:rPr>
          <w:rFonts w:ascii="Times New Roman" w:hAnsi="Times New Roman" w:cs="Times New Roman"/>
          <w:sz w:val="24"/>
          <w:szCs w:val="24"/>
        </w:rPr>
        <w:t>m</w:t>
      </w:r>
      <w:r w:rsidR="00087C49">
        <w:rPr>
          <w:rFonts w:ascii="Times New Roman" w:hAnsi="Times New Roman" w:cs="Times New Roman"/>
          <w:sz w:val="24"/>
          <w:szCs w:val="24"/>
        </w:rPr>
        <w:t>ed</w:t>
      </w:r>
      <w:r w:rsidRPr="00C91F40">
        <w:rPr>
          <w:rFonts w:ascii="Times New Roman" w:hAnsi="Times New Roman" w:cs="Times New Roman"/>
          <w:sz w:val="24"/>
          <w:szCs w:val="24"/>
        </w:rPr>
        <w:t xml:space="preserve"> over quickly, without taking time to analyse and understand the content. It would</w:t>
      </w:r>
      <w:r>
        <w:rPr>
          <w:rFonts w:ascii="Times New Roman" w:hAnsi="Times New Roman" w:cs="Times New Roman"/>
          <w:sz w:val="24"/>
          <w:szCs w:val="24"/>
        </w:rPr>
        <w:t xml:space="preserve"> likely </w:t>
      </w:r>
      <w:r w:rsidRPr="00C91F40">
        <w:rPr>
          <w:rFonts w:ascii="Times New Roman" w:hAnsi="Times New Roman" w:cs="Times New Roman"/>
          <w:sz w:val="24"/>
          <w:szCs w:val="24"/>
        </w:rPr>
        <w:t>be found that little to no information could later be recalled</w:t>
      </w:r>
      <w:r w:rsidR="00087C49">
        <w:rPr>
          <w:rFonts w:ascii="Times New Roman" w:hAnsi="Times New Roman" w:cs="Times New Roman"/>
          <w:sz w:val="24"/>
          <w:szCs w:val="24"/>
        </w:rPr>
        <w:t>, o</w:t>
      </w:r>
      <w:r w:rsidRPr="00C91F40">
        <w:rPr>
          <w:rFonts w:ascii="Times New Roman" w:hAnsi="Times New Roman" w:cs="Times New Roman"/>
          <w:sz w:val="24"/>
          <w:szCs w:val="24"/>
        </w:rPr>
        <w:t xml:space="preserve">nly few key points may be remembered, and the individual would not be able to use the information that had been provided to solve problems </w:t>
      </w:r>
      <w:r w:rsidRPr="00C91F40">
        <w:rPr>
          <w:rFonts w:ascii="Times New Roman" w:hAnsi="Times New Roman" w:cs="Times New Roman"/>
          <w:sz w:val="24"/>
          <w:szCs w:val="24"/>
        </w:rPr>
        <w:fldChar w:fldCharType="begin" w:fldLock="1"/>
      </w:r>
      <w:r w:rsidRPr="00C91F40">
        <w:rPr>
          <w:rFonts w:ascii="Times New Roman" w:hAnsi="Times New Roman" w:cs="Times New Roman"/>
          <w:sz w:val="24"/>
          <w:szCs w:val="24"/>
        </w:rPr>
        <w:instrText>ADDIN CSL_CITATION {"citationItems":[{"id":"ITEM-1","itemData":{"DOI":"10.1207/s15430421tip4104","ISBN":"0040-5841 U6 - ctx_ver=Z39.88-2004&amp;ctx_enc=info%3Aofi%2Fenc%3AUTF-8&amp;rfr_id=info:sid/summon.serialssolutions.com&amp;rft_val_fmt=info:ofi/fmt:kev:mtx:journal&amp;rft.genre=article&amp;rft.atitle=A+revision+of+Bloom%27s+taxonomy%3A+An+overview&amp;rft.jtitle=Theory+into+Pr","ISSN":"00029556","PMID":"19353930","abstract":"Recollection rejection is a memory editing mechanism in which related lures are rejected because of the recollection of the lure's instantiating target (e.g., \"I know it wasn't pretty because it was beautiful\"). According to one view, recollection rejection requires an assumption on the part of the participant that both a word and its related lure could not have been studied. We examined this view by manipulating the instructions that were given to participants (Experiment 1) and the nature of the study list (Experiment 2). Estimates of recollection rejection derived from the phantom receive operating characteristic model found evidence for the role of metacognitive assumptions, but only when metacognitive knowledge was manipulated by varying the nature of the study list.","author":[{"dropping-particle":"","family":"Mayer","given":"Richard E.","non-dropping-particle":"","parse-names":false,"suffix":""}],"container-title":"Theory Into Practice","id":"ITEM-1","issue":"4","issued":{"date-parts":[["2002"]]},"page":"219-225","title":"Rote Versus Meaningful Learning","type":"article-journal","volume":"41"},"uris":["http://www.mendeley.com/documents/?uuid=5f982855-b2c3-436c-a728-1936bc5a0b30"]}],"mendeley":{"formattedCitation":"(Mayer, 2002)","plainTextFormattedCitation":"(Mayer, 2002)","previouslyFormattedCitation":"(Mayer, 2002)"},"properties":{"noteIndex":0},"schema":"https://github.com/citation-style-language/schema/raw/master/csl-citation.json"}</w:instrText>
      </w:r>
      <w:r w:rsidRPr="00C91F40">
        <w:rPr>
          <w:rFonts w:ascii="Times New Roman" w:hAnsi="Times New Roman" w:cs="Times New Roman"/>
          <w:sz w:val="24"/>
          <w:szCs w:val="24"/>
        </w:rPr>
        <w:fldChar w:fldCharType="separate"/>
      </w:r>
      <w:r w:rsidRPr="00C91F40">
        <w:rPr>
          <w:rFonts w:ascii="Times New Roman" w:hAnsi="Times New Roman" w:cs="Times New Roman"/>
          <w:noProof/>
          <w:sz w:val="24"/>
          <w:szCs w:val="24"/>
        </w:rPr>
        <w:t>(Mayer, 2002)</w:t>
      </w:r>
      <w:r w:rsidRPr="00C91F40">
        <w:rPr>
          <w:rFonts w:ascii="Times New Roman" w:hAnsi="Times New Roman" w:cs="Times New Roman"/>
          <w:sz w:val="24"/>
          <w:szCs w:val="24"/>
        </w:rPr>
        <w:fldChar w:fldCharType="end"/>
      </w:r>
      <w:r w:rsidRPr="00C91F40">
        <w:rPr>
          <w:rFonts w:ascii="Times New Roman" w:hAnsi="Times New Roman" w:cs="Times New Roman"/>
          <w:sz w:val="24"/>
          <w:szCs w:val="24"/>
        </w:rPr>
        <w:t>. This would be categorised as “no learning”.</w:t>
      </w:r>
    </w:p>
    <w:p w14:paraId="5EA5891D" w14:textId="61F3BD06" w:rsidR="000C4F5F" w:rsidRPr="00C91F40"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 xml:space="preserve">Rote learning and meaningful learning are the second and third learning categories. They differ in the regard that individuals are able to recall most of the newly learned information, however, individuals that have achieved meaningful learning are also able to transfer and apply their knowledge to new learning scenarios and problems, unlike individuals whom have only achieved rote learning </w:t>
      </w:r>
      <w:r w:rsidRPr="00C91F40">
        <w:rPr>
          <w:rFonts w:ascii="Times New Roman" w:hAnsi="Times New Roman" w:cs="Times New Roman"/>
          <w:sz w:val="24"/>
          <w:szCs w:val="24"/>
        </w:rPr>
        <w:fldChar w:fldCharType="begin" w:fldLock="1"/>
      </w:r>
      <w:r w:rsidRPr="00C91F40">
        <w:rPr>
          <w:rFonts w:ascii="Times New Roman" w:hAnsi="Times New Roman" w:cs="Times New Roman"/>
          <w:sz w:val="24"/>
          <w:szCs w:val="24"/>
        </w:rPr>
        <w:instrText>ADDIN CSL_CITATION {"citationItems":[{"id":"ITEM-1","itemData":{"DOI":"10.1207/s15430421tip4104","ISBN":"0040-5841 U6 - ctx_ver=Z39.88-2004&amp;ctx_enc=info%3Aofi%2Fenc%3AUTF-8&amp;rfr_id=info:sid/summon.serialssolutions.com&amp;rft_val_fmt=info:ofi/fmt:kev:mtx:journal&amp;rft.genre=article&amp;rft.atitle=A+revision+of+Bloom%27s+taxonomy%3A+An+overview&amp;rft.jtitle=Theory+into+Pr","ISSN":"00029556","PMID":"19353930","abstract":"Recollection rejection is a memory editing mechanism in which related lures are rejected because of the recollection of the lure's instantiating target (e.g., \"I know it wasn't pretty because it was beautiful\"). According to one view, recollection rejection requires an assumption on the part of the participant that both a word and its related lure could not have been studied. We examined this view by manipulating the instructions that were given to participants (Experiment 1) and the nature of the study list (Experiment 2). Estimates of recollection rejection derived from the phantom receive operating characteristic model found evidence for the role of metacognitive assumptions, but only when metacognitive knowledge was manipulated by varying the nature of the study list.","author":[{"dropping-particle":"","family":"Mayer","given":"Richard E.","non-dropping-particle":"","parse-names":false,"suffix":""}],"container-title":"Theory Into Practice","id":"ITEM-1","issue":"4","issued":{"date-parts":[["2002"]]},"page":"219-225","title":"Rote Versus Meaningful Learning","type":"article-journal","volume":"41"},"uris":["http://www.mendeley.com/documents/?uuid=5f982855-b2c3-436c-a728-1936bc5a0b30"]}],"mendeley":{"formattedCitation":"(Mayer, 2002)","plainTextFormattedCitation":"(Mayer, 2002)","previouslyFormattedCitation":"(Mayer, 2002)"},"properties":{"noteIndex":0},"schema":"https://github.com/citation-style-language/schema/raw/master/csl-citation.json"}</w:instrText>
      </w:r>
      <w:r w:rsidRPr="00C91F40">
        <w:rPr>
          <w:rFonts w:ascii="Times New Roman" w:hAnsi="Times New Roman" w:cs="Times New Roman"/>
          <w:sz w:val="24"/>
          <w:szCs w:val="24"/>
        </w:rPr>
        <w:fldChar w:fldCharType="separate"/>
      </w:r>
      <w:r w:rsidRPr="00C91F40">
        <w:rPr>
          <w:rFonts w:ascii="Times New Roman" w:hAnsi="Times New Roman" w:cs="Times New Roman"/>
          <w:noProof/>
          <w:sz w:val="24"/>
          <w:szCs w:val="24"/>
        </w:rPr>
        <w:t>(Mayer, 2002)</w:t>
      </w:r>
      <w:r w:rsidRPr="00C91F40">
        <w:rPr>
          <w:rFonts w:ascii="Times New Roman" w:hAnsi="Times New Roman" w:cs="Times New Roman"/>
          <w:sz w:val="24"/>
          <w:szCs w:val="24"/>
        </w:rPr>
        <w:fldChar w:fldCharType="end"/>
      </w:r>
      <w:r w:rsidRPr="00C91F40">
        <w:rPr>
          <w:rFonts w:ascii="Times New Roman" w:hAnsi="Times New Roman" w:cs="Times New Roman"/>
          <w:sz w:val="24"/>
          <w:szCs w:val="24"/>
        </w:rPr>
        <w:t xml:space="preserve">. </w:t>
      </w:r>
      <w:r w:rsidR="00087C49">
        <w:rPr>
          <w:rFonts w:ascii="Times New Roman" w:hAnsi="Times New Roman" w:cs="Times New Roman"/>
          <w:sz w:val="24"/>
          <w:szCs w:val="24"/>
        </w:rPr>
        <w:t xml:space="preserve">In </w:t>
      </w:r>
      <w:r w:rsidRPr="00C91F40">
        <w:rPr>
          <w:rFonts w:ascii="Times New Roman" w:hAnsi="Times New Roman" w:cs="Times New Roman"/>
          <w:sz w:val="24"/>
          <w:szCs w:val="24"/>
        </w:rPr>
        <w:t xml:space="preserve">the case of learning the anatomy of carpal bones, the heavy reliance on </w:t>
      </w:r>
      <w:r w:rsidR="00087C49">
        <w:rPr>
          <w:rFonts w:ascii="Times New Roman" w:hAnsi="Times New Roman" w:cs="Times New Roman"/>
          <w:sz w:val="24"/>
          <w:szCs w:val="24"/>
        </w:rPr>
        <w:t xml:space="preserve">repetition-based memorisation </w:t>
      </w:r>
      <w:r w:rsidRPr="00C91F40">
        <w:rPr>
          <w:rFonts w:ascii="Times New Roman" w:hAnsi="Times New Roman" w:cs="Times New Roman"/>
          <w:sz w:val="24"/>
          <w:szCs w:val="24"/>
        </w:rPr>
        <w:t xml:space="preserve">rote learning </w:t>
      </w:r>
      <w:r w:rsidR="00087C49">
        <w:rPr>
          <w:rFonts w:ascii="Times New Roman" w:hAnsi="Times New Roman" w:cs="Times New Roman"/>
          <w:sz w:val="24"/>
          <w:szCs w:val="24"/>
        </w:rPr>
        <w:t xml:space="preserve">methods </w:t>
      </w:r>
      <w:r w:rsidRPr="00C91F40">
        <w:rPr>
          <w:rFonts w:ascii="Times New Roman" w:hAnsi="Times New Roman" w:cs="Times New Roman"/>
          <w:sz w:val="24"/>
          <w:szCs w:val="24"/>
        </w:rPr>
        <w:t xml:space="preserve">may be one of the reasons that medical students struggle. It </w:t>
      </w:r>
      <w:r w:rsidR="00087C49">
        <w:rPr>
          <w:rFonts w:ascii="Times New Roman" w:hAnsi="Times New Roman" w:cs="Times New Roman"/>
          <w:sz w:val="24"/>
          <w:szCs w:val="24"/>
        </w:rPr>
        <w:t>could</w:t>
      </w:r>
      <w:r w:rsidRPr="00C91F40">
        <w:rPr>
          <w:rFonts w:ascii="Times New Roman" w:hAnsi="Times New Roman" w:cs="Times New Roman"/>
          <w:sz w:val="24"/>
          <w:szCs w:val="24"/>
        </w:rPr>
        <w:t xml:space="preserve"> be helpful to use meaningful learning methods instead</w:t>
      </w:r>
      <w:r w:rsidR="00087C49">
        <w:rPr>
          <w:rFonts w:ascii="Times New Roman" w:hAnsi="Times New Roman" w:cs="Times New Roman"/>
          <w:sz w:val="24"/>
          <w:szCs w:val="24"/>
        </w:rPr>
        <w:t xml:space="preserve"> </w:t>
      </w:r>
      <w:r w:rsidRPr="00C91F40">
        <w:rPr>
          <w:rFonts w:ascii="Times New Roman" w:hAnsi="Times New Roman" w:cs="Times New Roman"/>
          <w:sz w:val="24"/>
          <w:szCs w:val="24"/>
        </w:rPr>
        <w:t xml:space="preserve">when it comes to the carpal bones, as students would be able to recall information about the structural anatomy, but also </w:t>
      </w:r>
      <w:r w:rsidRPr="00C91F40">
        <w:rPr>
          <w:rFonts w:ascii="Times New Roman" w:hAnsi="Times New Roman" w:cs="Times New Roman"/>
          <w:i/>
          <w:iCs/>
          <w:sz w:val="24"/>
          <w:szCs w:val="24"/>
        </w:rPr>
        <w:t xml:space="preserve">transfer </w:t>
      </w:r>
      <w:r w:rsidRPr="00C91F40">
        <w:rPr>
          <w:rFonts w:ascii="Times New Roman" w:hAnsi="Times New Roman" w:cs="Times New Roman"/>
          <w:sz w:val="24"/>
          <w:szCs w:val="24"/>
        </w:rPr>
        <w:t xml:space="preserve">and </w:t>
      </w:r>
      <w:r w:rsidRPr="00C91F40">
        <w:rPr>
          <w:rFonts w:ascii="Times New Roman" w:hAnsi="Times New Roman" w:cs="Times New Roman"/>
          <w:i/>
          <w:iCs/>
          <w:sz w:val="24"/>
          <w:szCs w:val="24"/>
        </w:rPr>
        <w:t xml:space="preserve">apply </w:t>
      </w:r>
      <w:r w:rsidRPr="00C91F40">
        <w:rPr>
          <w:rFonts w:ascii="Times New Roman" w:hAnsi="Times New Roman" w:cs="Times New Roman"/>
          <w:sz w:val="24"/>
          <w:szCs w:val="24"/>
        </w:rPr>
        <w:t>their knowledge of the etymology of the bones, in order to help them identify each bone correctly.</w:t>
      </w:r>
    </w:p>
    <w:p w14:paraId="0F8A0C95" w14:textId="77777777" w:rsidR="000C4F5F" w:rsidRPr="00C91F40" w:rsidRDefault="000C4F5F" w:rsidP="009119A7">
      <w:pPr>
        <w:pStyle w:val="Heading3"/>
        <w:spacing w:line="360" w:lineRule="auto"/>
        <w:rPr>
          <w:rFonts w:ascii="Times New Roman" w:hAnsi="Times New Roman" w:cs="Times New Roman"/>
          <w:color w:val="auto"/>
        </w:rPr>
      </w:pPr>
      <w:r w:rsidRPr="00C91F40">
        <w:rPr>
          <w:rFonts w:ascii="Times New Roman" w:hAnsi="Times New Roman" w:cs="Times New Roman"/>
          <w:color w:val="auto"/>
        </w:rPr>
        <w:t>1.4.3 How Etymological Understanding Aids Anatomical Learning in Medical Students</w:t>
      </w:r>
    </w:p>
    <w:p w14:paraId="3E116AF3" w14:textId="7666CE77" w:rsidR="000C4F5F" w:rsidRPr="00C91F40"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The influence of knowledge of etymology on how medical students learn human anatomy has been thoroughly studied over the years. One study looked at first year medical students who were given a basic etymology pre-test before taking a gross anatomy course to evaluate students’ familiarity with the roots, prefixes, and suffixes of anatomical terms rather than the anatomy itself (Smith et al., 2007). The course then defined etymologies during lectures and dissection laboratories, and explanations of etymologies were provided for each section of anatomy</w:t>
      </w:r>
      <w:r>
        <w:rPr>
          <w:rFonts w:ascii="Times New Roman" w:hAnsi="Times New Roman" w:cs="Times New Roman"/>
          <w:sz w:val="24"/>
          <w:szCs w:val="24"/>
        </w:rPr>
        <w:t xml:space="preserve">. </w:t>
      </w:r>
      <w:r w:rsidRPr="00C91F40">
        <w:rPr>
          <w:rFonts w:ascii="Times New Roman" w:hAnsi="Times New Roman" w:cs="Times New Roman"/>
          <w:sz w:val="24"/>
          <w:szCs w:val="24"/>
        </w:rPr>
        <w:t>After completing the course, the students were given the same etymology test used as the pre-test. The results were in line with the hypothesis, in that students scored significantly higher on the post-test than the pre-test, by an average of 6.2%</w:t>
      </w:r>
      <w:r>
        <w:rPr>
          <w:rFonts w:ascii="Times New Roman" w:hAnsi="Times New Roman" w:cs="Times New Roman"/>
          <w:sz w:val="24"/>
          <w:szCs w:val="24"/>
        </w:rPr>
        <w:t xml:space="preserve">. </w:t>
      </w:r>
      <w:r w:rsidRPr="00C91F40">
        <w:rPr>
          <w:rFonts w:ascii="Times New Roman" w:hAnsi="Times New Roman" w:cs="Times New Roman"/>
          <w:sz w:val="24"/>
          <w:szCs w:val="24"/>
        </w:rPr>
        <w:t>They also found that previous exposure to medical terminology enhances scores; students with exposure to medical terminology scored significantly higher on the pre-test than students with no exposure to medical terminology, by an average of 8.7%</w:t>
      </w:r>
      <w:r>
        <w:rPr>
          <w:rFonts w:ascii="Times New Roman" w:hAnsi="Times New Roman" w:cs="Times New Roman"/>
          <w:sz w:val="24"/>
          <w:szCs w:val="24"/>
        </w:rPr>
        <w:t xml:space="preserve">. </w:t>
      </w:r>
      <w:r w:rsidRPr="00C91F40">
        <w:rPr>
          <w:rFonts w:ascii="Times New Roman" w:hAnsi="Times New Roman" w:cs="Times New Roman"/>
          <w:sz w:val="24"/>
          <w:szCs w:val="24"/>
        </w:rPr>
        <w:t>Finally, they found that knowledge of etymology enhances gross anatomy learning and enjoyment, based on the</w:t>
      </w:r>
      <w:r w:rsidR="006812BC">
        <w:rPr>
          <w:rFonts w:ascii="Times New Roman" w:hAnsi="Times New Roman" w:cs="Times New Roman"/>
          <w:sz w:val="24"/>
          <w:szCs w:val="24"/>
        </w:rPr>
        <w:t xml:space="preserve"> result of</w:t>
      </w:r>
      <w:r w:rsidRPr="00C91F40">
        <w:rPr>
          <w:rFonts w:ascii="Times New Roman" w:hAnsi="Times New Roman" w:cs="Times New Roman"/>
          <w:sz w:val="24"/>
          <w:szCs w:val="24"/>
        </w:rPr>
        <w:t xml:space="preserve"> qualitative questionnaire</w:t>
      </w:r>
      <w:r w:rsidR="006812BC">
        <w:rPr>
          <w:rFonts w:ascii="Times New Roman" w:hAnsi="Times New Roman" w:cs="Times New Roman"/>
          <w:sz w:val="24"/>
          <w:szCs w:val="24"/>
        </w:rPr>
        <w:t>s</w:t>
      </w:r>
      <w:r w:rsidRPr="00C91F40">
        <w:rPr>
          <w:rFonts w:ascii="Times New Roman" w:hAnsi="Times New Roman" w:cs="Times New Roman"/>
          <w:sz w:val="24"/>
          <w:szCs w:val="24"/>
        </w:rPr>
        <w:t xml:space="preserve"> administered to the students</w:t>
      </w:r>
      <w:r>
        <w:rPr>
          <w:rFonts w:ascii="Times New Roman" w:hAnsi="Times New Roman" w:cs="Times New Roman"/>
          <w:sz w:val="24"/>
          <w:szCs w:val="24"/>
        </w:rPr>
        <w:t>.</w:t>
      </w:r>
    </w:p>
    <w:p w14:paraId="3D40B64F" w14:textId="03526D8A" w:rsidR="000C4F5F" w:rsidRPr="00C91F40"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lastRenderedPageBreak/>
        <w:t>Another study published in 2020 by Ebenezer and Mohanraj draws parallels to these results (Ebenezer and Mohanraj, 2020). In this cross-sectional study, 214 preclinical medical students were randomly separated into two groups. The first</w:t>
      </w:r>
      <w:r w:rsidR="0069448A">
        <w:rPr>
          <w:rFonts w:ascii="Times New Roman" w:hAnsi="Times New Roman" w:cs="Times New Roman"/>
          <w:sz w:val="24"/>
          <w:szCs w:val="24"/>
        </w:rPr>
        <w:t xml:space="preserve"> group</w:t>
      </w:r>
      <w:r w:rsidRPr="00C91F40">
        <w:rPr>
          <w:rFonts w:ascii="Times New Roman" w:hAnsi="Times New Roman" w:cs="Times New Roman"/>
          <w:sz w:val="24"/>
          <w:szCs w:val="24"/>
        </w:rPr>
        <w:t xml:space="preserve"> was taught osteology of the skull with etymology while the control group was taught the same topic without etymology, using the classical teaching method. The results mirrored the findings of the Smith et al. 2007 study: a positive correlation between learning etymology and higher test scores was found. The students taught osteology of the skull with the addition of etymology scored twice as high as the students taught without etymology. </w:t>
      </w:r>
    </w:p>
    <w:p w14:paraId="769EB9DB" w14:textId="77777777" w:rsidR="000C4F5F" w:rsidRPr="00C91F40" w:rsidRDefault="000C4F5F" w:rsidP="009119A7">
      <w:pPr>
        <w:pStyle w:val="Heading2"/>
        <w:numPr>
          <w:ilvl w:val="1"/>
          <w:numId w:val="3"/>
        </w:numPr>
        <w:spacing w:line="360" w:lineRule="auto"/>
        <w:rPr>
          <w:rFonts w:ascii="Times New Roman" w:hAnsi="Times New Roman" w:cs="Times New Roman"/>
          <w:color w:val="auto"/>
          <w:sz w:val="24"/>
          <w:szCs w:val="24"/>
        </w:rPr>
      </w:pPr>
      <w:r w:rsidRPr="00C91F40">
        <w:rPr>
          <w:rFonts w:ascii="Times New Roman" w:hAnsi="Times New Roman" w:cs="Times New Roman"/>
          <w:color w:val="auto"/>
          <w:sz w:val="24"/>
          <w:szCs w:val="24"/>
        </w:rPr>
        <w:t>Use of Digital Technology in Learning</w:t>
      </w:r>
    </w:p>
    <w:p w14:paraId="424CF980" w14:textId="77777777" w:rsidR="000C4F5F" w:rsidRPr="00C91F40" w:rsidRDefault="000C4F5F" w:rsidP="009119A7">
      <w:pPr>
        <w:pStyle w:val="Heading3"/>
        <w:spacing w:line="360" w:lineRule="auto"/>
        <w:rPr>
          <w:rFonts w:ascii="Times New Roman" w:hAnsi="Times New Roman" w:cs="Times New Roman"/>
          <w:color w:val="auto"/>
        </w:rPr>
      </w:pPr>
      <w:r w:rsidRPr="00C91F40">
        <w:rPr>
          <w:rFonts w:ascii="Times New Roman" w:hAnsi="Times New Roman" w:cs="Times New Roman"/>
          <w:color w:val="auto"/>
        </w:rPr>
        <w:t>1.5.1 Current Teaching Methods</w:t>
      </w:r>
    </w:p>
    <w:p w14:paraId="1E0C6F8E" w14:textId="7A9E005F" w:rsidR="000C4F5F" w:rsidRPr="00C91F40"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 xml:space="preserve">Traditionally, teaching methods for anatomy are based on gross dissection and group lectures with the help of 2D atlas images, anatomical models, and clinical cases (Murgitroyd et al., 2015). Various studies have explored the views that students hold on the different teaching methods teachers use during lectures, and an almost universal conclusion has been found that students are not engaging with </w:t>
      </w:r>
      <w:r w:rsidR="00BA69AF">
        <w:rPr>
          <w:rFonts w:ascii="Times New Roman" w:hAnsi="Times New Roman" w:cs="Times New Roman"/>
          <w:sz w:val="24"/>
          <w:szCs w:val="24"/>
        </w:rPr>
        <w:t>didactic lecture material</w:t>
      </w:r>
      <w:r w:rsidRPr="00C91F40">
        <w:rPr>
          <w:rFonts w:ascii="Times New Roman" w:hAnsi="Times New Roman" w:cs="Times New Roman"/>
          <w:sz w:val="24"/>
          <w:szCs w:val="24"/>
        </w:rPr>
        <w:t xml:space="preserve"> as much as they should be (Gilbert, 2004; Teoh and Neo, 2007). In their 2007 study, Teoh and Neo reported that their respondents had claimed it was boring to hear the lecturer talking in front of them, and that an integration of technologies in their lectures would aid them in their learning process. </w:t>
      </w:r>
    </w:p>
    <w:p w14:paraId="5E205C12" w14:textId="14A1F417" w:rsidR="000C4F5F" w:rsidRPr="00C91F40"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 xml:space="preserve">Students generally find subjects in the field of science to be abstract and require a depth of </w:t>
      </w:r>
      <w:r w:rsidR="00BA69AF">
        <w:rPr>
          <w:rFonts w:ascii="Times New Roman" w:hAnsi="Times New Roman" w:cs="Times New Roman"/>
          <w:sz w:val="24"/>
          <w:szCs w:val="24"/>
        </w:rPr>
        <w:t xml:space="preserve">prior </w:t>
      </w:r>
      <w:r w:rsidRPr="00C91F40">
        <w:rPr>
          <w:rFonts w:ascii="Times New Roman" w:hAnsi="Times New Roman" w:cs="Times New Roman"/>
          <w:sz w:val="24"/>
          <w:szCs w:val="24"/>
        </w:rPr>
        <w:t>understanding and visualisation skills (Gilbert, 2004). A large problem with the current teaching method of students attending lectures arises when disengagement in conjunction with the learning of new, difficult and abstract subject matter causes difficulty in understanding concepts well; this leads to the formation of misconceptions (Saidin, Halim and Yahaya, 2015). Misconception can then interfere with students’ learning of new concepts, as it goes on to cloud understanding and warp how new information is being retained. As students seem to struggle with carpal bone anatomy, it may be helpful to incorporate a digital learning aid into lessons and lectures to help engage students in the material to a higher degree. This, in turn, might yield higher retention of knowledge of the wrist anatomy.</w:t>
      </w:r>
    </w:p>
    <w:p w14:paraId="1A79154E" w14:textId="75399598" w:rsidR="000C4F5F" w:rsidRPr="00C91F40" w:rsidRDefault="000C4F5F" w:rsidP="009119A7">
      <w:pPr>
        <w:pStyle w:val="Heading3"/>
        <w:spacing w:line="360" w:lineRule="auto"/>
        <w:rPr>
          <w:rFonts w:ascii="Times New Roman" w:hAnsi="Times New Roman" w:cs="Times New Roman"/>
          <w:color w:val="auto"/>
        </w:rPr>
      </w:pPr>
      <w:r w:rsidRPr="00C91F40">
        <w:rPr>
          <w:rFonts w:ascii="Times New Roman" w:hAnsi="Times New Roman" w:cs="Times New Roman"/>
          <w:color w:val="auto"/>
        </w:rPr>
        <w:t xml:space="preserve">1.5.2 </w:t>
      </w:r>
      <w:bookmarkStart w:id="1" w:name="_Toc48310812"/>
      <w:r w:rsidRPr="00C91F40">
        <w:rPr>
          <w:rFonts w:ascii="Times New Roman" w:hAnsi="Times New Roman" w:cs="Times New Roman"/>
          <w:color w:val="auto"/>
        </w:rPr>
        <w:t>How Visualisation Techniques Aid in Student Learning</w:t>
      </w:r>
      <w:bookmarkEnd w:id="1"/>
      <w:r w:rsidRPr="00C91F40">
        <w:rPr>
          <w:rFonts w:ascii="Times New Roman" w:hAnsi="Times New Roman" w:cs="Times New Roman"/>
          <w:color w:val="auto"/>
        </w:rPr>
        <w:t xml:space="preserve"> </w:t>
      </w:r>
    </w:p>
    <w:p w14:paraId="323300FE" w14:textId="5C2674DE" w:rsidR="000C4F5F" w:rsidRPr="00C91F40"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lastRenderedPageBreak/>
        <w:t xml:space="preserve">A study conducted in 2016 explored the effect of etymological elaboration, pictorial elucidation, and </w:t>
      </w:r>
      <w:r w:rsidR="002E4D78">
        <w:rPr>
          <w:rFonts w:ascii="Times New Roman" w:hAnsi="Times New Roman" w:cs="Times New Roman"/>
          <w:sz w:val="24"/>
          <w:szCs w:val="24"/>
        </w:rPr>
        <w:t xml:space="preserve">a </w:t>
      </w:r>
      <w:r w:rsidR="00BA69AF">
        <w:rPr>
          <w:rFonts w:ascii="Times New Roman" w:hAnsi="Times New Roman" w:cs="Times New Roman"/>
          <w:sz w:val="24"/>
          <w:szCs w:val="24"/>
        </w:rPr>
        <w:t>combination</w:t>
      </w:r>
      <w:r w:rsidRPr="00C91F40">
        <w:rPr>
          <w:rFonts w:ascii="Times New Roman" w:hAnsi="Times New Roman" w:cs="Times New Roman"/>
          <w:sz w:val="24"/>
          <w:szCs w:val="24"/>
        </w:rPr>
        <w:t xml:space="preserve"> of these two strategies on </w:t>
      </w:r>
      <w:r w:rsidR="00BA69AF">
        <w:rPr>
          <w:rFonts w:ascii="Times New Roman" w:hAnsi="Times New Roman" w:cs="Times New Roman"/>
          <w:sz w:val="24"/>
          <w:szCs w:val="24"/>
        </w:rPr>
        <w:t xml:space="preserve">the learning of idioms, which </w:t>
      </w:r>
      <w:r w:rsidR="00BA69AF" w:rsidRPr="00BA69AF">
        <w:rPr>
          <w:rFonts w:ascii="Times New Roman" w:hAnsi="Times New Roman" w:cs="Times New Roman"/>
          <w:sz w:val="24"/>
          <w:szCs w:val="24"/>
        </w:rPr>
        <w:t>are words or phrases that aren't meant to be taken literally</w:t>
      </w:r>
      <w:r w:rsidR="00361265">
        <w:rPr>
          <w:rFonts w:ascii="Times New Roman" w:hAnsi="Times New Roman" w:cs="Times New Roman"/>
          <w:sz w:val="24"/>
          <w:szCs w:val="24"/>
        </w:rPr>
        <w:t>, like the expression “having cold feet</w:t>
      </w:r>
      <w:r w:rsidR="009F7293">
        <w:rPr>
          <w:rFonts w:ascii="Times New Roman" w:hAnsi="Times New Roman" w:cs="Times New Roman"/>
          <w:sz w:val="24"/>
          <w:szCs w:val="24"/>
        </w:rPr>
        <w:t>,</w:t>
      </w:r>
      <w:r w:rsidR="00361265">
        <w:rPr>
          <w:rFonts w:ascii="Times New Roman" w:hAnsi="Times New Roman" w:cs="Times New Roman"/>
          <w:sz w:val="24"/>
          <w:szCs w:val="24"/>
        </w:rPr>
        <w:t>”</w:t>
      </w:r>
      <w:r w:rsidR="009F7293">
        <w:rPr>
          <w:rFonts w:ascii="Times New Roman" w:hAnsi="Times New Roman" w:cs="Times New Roman"/>
          <w:sz w:val="24"/>
          <w:szCs w:val="24"/>
        </w:rPr>
        <w:t xml:space="preserve"> which refers to feeling nervous o</w:t>
      </w:r>
      <w:r w:rsidR="00362FB1">
        <w:rPr>
          <w:rFonts w:ascii="Times New Roman" w:hAnsi="Times New Roman" w:cs="Times New Roman"/>
          <w:sz w:val="24"/>
          <w:szCs w:val="24"/>
        </w:rPr>
        <w:t>r lacking confidence in a planned action</w:t>
      </w:r>
      <w:r w:rsidRPr="00C91F40">
        <w:rPr>
          <w:rFonts w:ascii="Times New Roman" w:hAnsi="Times New Roman" w:cs="Times New Roman"/>
          <w:sz w:val="24"/>
          <w:szCs w:val="24"/>
        </w:rPr>
        <w:t xml:space="preserve"> </w:t>
      </w:r>
      <w:r w:rsidRPr="00C91F40">
        <w:rPr>
          <w:rFonts w:ascii="Times New Roman" w:hAnsi="Times New Roman" w:cs="Times New Roman"/>
          <w:sz w:val="24"/>
          <w:szCs w:val="24"/>
        </w:rPr>
        <w:fldChar w:fldCharType="begin" w:fldLock="1"/>
      </w:r>
      <w:r w:rsidRPr="00C91F40">
        <w:rPr>
          <w:rFonts w:ascii="Times New Roman" w:hAnsi="Times New Roman" w:cs="Times New Roman"/>
          <w:sz w:val="24"/>
          <w:szCs w:val="24"/>
        </w:rPr>
        <w:instrText>ADDIN CSL_CITATION {"citationItems":[{"id":"ITEM-1","itemData":{"DOI":"10.5539/elt.v9n8p140","ISSN":"1916-4742","abstract":"&lt;p&gt;This study examined the effect of etymological elaboration, pictorial elucidation, and integration of these 2 strategies on idiom learning by L2 learners. A total number of 80 homogeneous intermediate learners studying English at 3 language institutes in Isfahan, Iran, were selected. The intermediate participants were selected as the result of administering an Oxford Placement Test (OPT) to them. Then, the participants were divided into 4 groups of equal size, that is, control, etymological, pictorial, and etymological/pictorial groups. Before the experiment, all the participants took a pretest to ensure their unfamiliarity with the idioms. The idioms that were known even by 1 participant were crossed out, and finally 30 idioms were chosen for instruction. Then, the experimental groups received their relevant treatments during 15 sessions, whereas the control group learners learned idioms through definitions and example sentences. After the implementation of the experiment, the 4 groups, once again, sat for a test (i.e., the immediate posttest) to see whether the treatments had improved idiom learning. Finally, the data were analyzed by an independent samples &lt;em&gt;t &lt;/em&gt;test and one-way between-groups ANOVA. Results showed that all the 3 strategies significantly improved the participants’ idiom learning. Results also pointed to the fact that the etymological elaboration/pictorial elucidation strategy was the most effective strategy on idiom learning.&lt;/p&gt;","author":[{"dropping-particle":"","family":"Haghshenas","given":"Mahsa Sadat Mousavi","non-dropping-particle":"","parse-names":false,"suffix":""},{"dropping-particle":"","family":"Hashemian","given":"Mahmood","non-dropping-particle":"","parse-names":false,"suffix":""}],"container-title":"English Language Teaching","id":"ITEM-1","issue":"8","issued":{"date-parts":[["2016"]]},"note":"study done that shows how using etymology and pictoral aids help people learn second language idioms \nTHEREFORE - etymology combined with visual aids is the most successful aid in helping learn new concepts","page":"140","title":"A Comparative Study of the Effectiveness of Two Strategies of Etymological Elaboration and Pictorial Elucidation on Idiom Learning: A Case of Young EFL Iranian Learners","type":"article-journal","volume":"9"},"uris":["http://www.mendeley.com/documents/?uuid=db3f06c5-61a5-4ef1-bdaf-e3e0eee28a57"]}],"mendeley":{"formattedCitation":"(Haghshenas and Hashemian, 2016)","plainTextFormattedCitation":"(Haghshenas and Hashemian, 2016)","previouslyFormattedCitation":"(Haghshenas and Hashemian, 2016)"},"properties":{"noteIndex":0},"schema":"https://github.com/citation-style-language/schema/raw/master/csl-citation.json"}</w:instrText>
      </w:r>
      <w:r w:rsidRPr="00C91F40">
        <w:rPr>
          <w:rFonts w:ascii="Times New Roman" w:hAnsi="Times New Roman" w:cs="Times New Roman"/>
          <w:sz w:val="24"/>
          <w:szCs w:val="24"/>
        </w:rPr>
        <w:fldChar w:fldCharType="separate"/>
      </w:r>
      <w:r w:rsidRPr="00C91F40">
        <w:rPr>
          <w:rFonts w:ascii="Times New Roman" w:hAnsi="Times New Roman" w:cs="Times New Roman"/>
          <w:noProof/>
          <w:sz w:val="24"/>
          <w:szCs w:val="24"/>
        </w:rPr>
        <w:t>(Haghshenas and Hashemian, 2016)</w:t>
      </w:r>
      <w:r w:rsidRPr="00C91F40">
        <w:rPr>
          <w:rFonts w:ascii="Times New Roman" w:hAnsi="Times New Roman" w:cs="Times New Roman"/>
          <w:sz w:val="24"/>
          <w:szCs w:val="24"/>
        </w:rPr>
        <w:fldChar w:fldCharType="end"/>
      </w:r>
      <w:r w:rsidRPr="00C91F40">
        <w:rPr>
          <w:rFonts w:ascii="Times New Roman" w:hAnsi="Times New Roman" w:cs="Times New Roman"/>
          <w:sz w:val="24"/>
          <w:szCs w:val="24"/>
        </w:rPr>
        <w:t xml:space="preserve">. </w:t>
      </w:r>
      <w:r w:rsidR="00BA69AF">
        <w:rPr>
          <w:rFonts w:ascii="Times New Roman" w:hAnsi="Times New Roman" w:cs="Times New Roman"/>
          <w:sz w:val="24"/>
          <w:szCs w:val="24"/>
        </w:rPr>
        <w:t xml:space="preserve">The </w:t>
      </w:r>
      <w:r w:rsidRPr="00C91F40">
        <w:rPr>
          <w:rFonts w:ascii="Times New Roman" w:hAnsi="Times New Roman" w:cs="Times New Roman"/>
          <w:sz w:val="24"/>
          <w:szCs w:val="24"/>
        </w:rPr>
        <w:t xml:space="preserve">researchers found that all three </w:t>
      </w:r>
      <w:r w:rsidR="0013078B">
        <w:rPr>
          <w:rFonts w:ascii="Times New Roman" w:hAnsi="Times New Roman" w:cs="Times New Roman"/>
          <w:sz w:val="24"/>
          <w:szCs w:val="24"/>
        </w:rPr>
        <w:t xml:space="preserve">strategies </w:t>
      </w:r>
      <w:r w:rsidRPr="00C91F40">
        <w:rPr>
          <w:rFonts w:ascii="Times New Roman" w:hAnsi="Times New Roman" w:cs="Times New Roman"/>
          <w:sz w:val="24"/>
          <w:szCs w:val="24"/>
        </w:rPr>
        <w:t>yielded significantly higher post-test results than the control</w:t>
      </w:r>
      <w:r w:rsidR="0013078B">
        <w:rPr>
          <w:rFonts w:ascii="Times New Roman" w:hAnsi="Times New Roman" w:cs="Times New Roman"/>
          <w:sz w:val="24"/>
          <w:szCs w:val="24"/>
        </w:rPr>
        <w:t>, and that</w:t>
      </w:r>
      <w:r w:rsidRPr="00C91F40">
        <w:rPr>
          <w:rFonts w:ascii="Times New Roman" w:hAnsi="Times New Roman" w:cs="Times New Roman"/>
          <w:sz w:val="24"/>
          <w:szCs w:val="24"/>
        </w:rPr>
        <w:t xml:space="preserve"> </w:t>
      </w:r>
      <w:r w:rsidR="0013078B">
        <w:rPr>
          <w:rFonts w:ascii="Times New Roman" w:hAnsi="Times New Roman" w:cs="Times New Roman"/>
          <w:sz w:val="24"/>
          <w:szCs w:val="24"/>
        </w:rPr>
        <w:t xml:space="preserve">combining etymology </w:t>
      </w:r>
      <w:r w:rsidR="006101F0">
        <w:rPr>
          <w:rFonts w:ascii="Times New Roman" w:hAnsi="Times New Roman" w:cs="Times New Roman"/>
          <w:sz w:val="24"/>
          <w:szCs w:val="24"/>
        </w:rPr>
        <w:t>and</w:t>
      </w:r>
      <w:r w:rsidR="0013078B">
        <w:rPr>
          <w:rFonts w:ascii="Times New Roman" w:hAnsi="Times New Roman" w:cs="Times New Roman"/>
          <w:sz w:val="24"/>
          <w:szCs w:val="24"/>
        </w:rPr>
        <w:t xml:space="preserve"> their corresponding explanations </w:t>
      </w:r>
      <w:r w:rsidR="006101F0">
        <w:rPr>
          <w:rFonts w:ascii="Times New Roman" w:hAnsi="Times New Roman" w:cs="Times New Roman"/>
          <w:sz w:val="24"/>
          <w:szCs w:val="24"/>
        </w:rPr>
        <w:t xml:space="preserve">with </w:t>
      </w:r>
      <w:r w:rsidR="0013078B">
        <w:rPr>
          <w:rFonts w:ascii="Times New Roman" w:hAnsi="Times New Roman" w:cs="Times New Roman"/>
          <w:sz w:val="24"/>
          <w:szCs w:val="24"/>
        </w:rPr>
        <w:t xml:space="preserve">visuals </w:t>
      </w:r>
      <w:r w:rsidRPr="00C91F40">
        <w:rPr>
          <w:rFonts w:ascii="Times New Roman" w:hAnsi="Times New Roman" w:cs="Times New Roman"/>
          <w:sz w:val="24"/>
          <w:szCs w:val="24"/>
        </w:rPr>
        <w:t xml:space="preserve">was most effective </w:t>
      </w:r>
      <w:r w:rsidR="0013078B">
        <w:rPr>
          <w:rFonts w:ascii="Times New Roman" w:hAnsi="Times New Roman" w:cs="Times New Roman"/>
          <w:sz w:val="24"/>
          <w:szCs w:val="24"/>
        </w:rPr>
        <w:t xml:space="preserve">in aiding </w:t>
      </w:r>
      <w:r w:rsidRPr="00C91F40">
        <w:rPr>
          <w:rFonts w:ascii="Times New Roman" w:hAnsi="Times New Roman" w:cs="Times New Roman"/>
          <w:sz w:val="24"/>
          <w:szCs w:val="24"/>
        </w:rPr>
        <w:t>idiom learning</w:t>
      </w:r>
      <w:r w:rsidR="0013078B">
        <w:rPr>
          <w:rFonts w:ascii="Times New Roman" w:hAnsi="Times New Roman" w:cs="Times New Roman"/>
          <w:sz w:val="24"/>
          <w:szCs w:val="24"/>
        </w:rPr>
        <w:t>. This</w:t>
      </w:r>
      <w:r w:rsidRPr="00C91F40">
        <w:rPr>
          <w:rFonts w:ascii="Times New Roman" w:hAnsi="Times New Roman" w:cs="Times New Roman"/>
          <w:sz w:val="24"/>
          <w:szCs w:val="24"/>
        </w:rPr>
        <w:t xml:space="preserve"> same principal can be applied to medical students in their efforts in learning the carpal bones. </w:t>
      </w:r>
    </w:p>
    <w:p w14:paraId="3C2AD952" w14:textId="350CCAD6" w:rsidR="000C4F5F" w:rsidRPr="00C91F40"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 xml:space="preserve">The use of 3D visualisation techniques in conjunction with anatomy learning has been explored in multiple studies, where the general consensus has been that they aid in student learning through enhanced acquisition of knowledge and increased learning enjoyment </w:t>
      </w:r>
      <w:r w:rsidRPr="00C91F40">
        <w:rPr>
          <w:rFonts w:ascii="Times New Roman" w:hAnsi="Times New Roman" w:cs="Times New Roman"/>
          <w:sz w:val="24"/>
          <w:szCs w:val="24"/>
        </w:rPr>
        <w:fldChar w:fldCharType="begin" w:fldLock="1"/>
      </w:r>
      <w:r w:rsidRPr="00C91F40">
        <w:rPr>
          <w:rFonts w:ascii="Times New Roman" w:hAnsi="Times New Roman" w:cs="Times New Roman"/>
          <w:sz w:val="24"/>
          <w:szCs w:val="24"/>
        </w:rPr>
        <w:instrText>ADDIN CSL_CITATION {"citationItems":[{"id":"ITEM-1","itemData":{"DOI":"10.3233/978-1-61499-022-2-85","ISBN":"9781614990215","ISSN":"18798365","PMID":"22356963","abstract":"As one of the more difficult components of any curricula, neuroanatomy poses many challenges to students - not only because of the numerous discrete structures, but also due to the complicated spatial relations between them, which must be learned. Traditional anatomical education uses 2D images with a focus on dissection. This approach tends to underestimate the cognitive leaps required between textbook, lecture, and dissection cases. With reduced anatomical teaching time available, and varying student spatial abilities, new techniques are needed for training. The goal of this study is to assess the improvement of trainee understanding of 3D brain anatomy, orientation, visualization, and navigation through the use of digital training regimes in comparison with current methods. Two subsets of health science and medical students were tested individually after being given a group lecture and either a pre- or post-dissection digital lab. Results suggest that exposure to a 3D digital lab may improve knowledge acquisition and understanding by the students, particularly for first time learners.© 2012 The authors and IOS Press. All rights reserved.","author":[{"dropping-particle":"","family":"Brewer","given":"Danielle N.","non-dropping-particle":"","parse-names":false,"suffix":""},{"dropping-particle":"","family":"Wilson","given":"Timothy D.","non-dropping-particle":"","parse-names":false,"suffix":""},{"dropping-particle":"","family":"Eagleson","given":"Roy","non-dropping-particle":"","parse-names":false,"suffix":""},{"dropping-particle":"","family":"Ribaupierre","given":"Sandrine","non-dropping-particle":"De","parse-names":false,"suffix":""}],"container-title":"Studies in Health Technology and Informatics","id":"ITEM-1","issued":{"date-parts":[["2012"]]},"page":"85-91","title":"Evaluation of neuroanatomical training using a 3D visual reality model","type":"article-journal","volume":"173"},"uris":["http://www.mendeley.com/documents/?uuid=bb388dd2-cc9c-48bb-826e-166d26031c60"]},{"id":"ITEM-2","itemData":{"DOI":"10.1016/j.surge.2014.10.007","ISSN":"1479666X","abstract":"Background: With an increasing move towards digitalisation of medical records and medical teaching, such as online exams and webinars, one of the questions that persists asks 'is there a place for digital anatomy teaching and can it effectively replace the traditional teaching methods such as cadaveric dissection?'. Cadaveric dissection has a number of benefits as a teaching method but it also has its limitations. Although these can be partially addressed by prosections and new more \"life-like\" fixatives, it does not address the lack of resources and the increasing pressure to be able to study and learn at home. Methods: This paper reviews the literature with regards to the suitability of digital models for teaching and the wider uses a 3D digital anatomy model could have, such as postgraduate teaching, patient education and surgical planning. It also looks briefly at the learning model that anatomy as art contributes. Results: The literature has scattered examples of digital models used for teaching at both undergraduate and postgraduate level, which demonstrate a number of positive outcomes, mostly surrounding user satisfaction and convenience. 3D modelling for patient education and operation planning has less exploration, and these papers generate a number of discussion points, mostly surrounding the practicality of digital models, which can be more time consuming and require the technology to be widely available and reliable. Conclusions: 3D digital anatomy is a useful adjunct to teaching and its use in patient education and operation planning have interesting possibilities still to be fully explored.","author":[{"dropping-particle":"","family":"Murgitroyd","given":"Ellen","non-dropping-particle":"","parse-names":false,"suffix":""},{"dropping-particle":"","family":"Madurska","given":"Marta","non-dropping-particle":"","parse-names":false,"suffix":""},{"dropping-particle":"","family":"Gonzalez","given":"Jasmina","non-dropping-particle":"","parse-names":false,"suffix":""},{"dropping-particle":"","family":"Watson","given":"Angus","non-dropping-particle":"","parse-names":false,"suffix":""}],"container-title":"Surgeon","id":"ITEM-2","issue":"3","issued":{"date-parts":[["2015"]]},"page":"177-180","publisher":"Elsevier Ltd","title":"3D digital anatomy modelling - Practical or pretty?","type":"article-journal","volume":"13"},"uris":["http://www.mendeley.com/documents/?uuid=89fd385a-82f5-4587-9561-d9ca23b5c31c"]},{"id":"ITEM-3","itemData":{"DOI":"10.1111/j.1365-2929.2006.02611.x","ISSN":"03080110","PMID":"17054617","abstract":"Introduction: The use of computer-generated 3-dimensional (3-D) anatomical models to teach anatomy has proliferated. However, there is little evidence that these models are educationally effective. The purpose of this study was to test the educational effectiveness of a computer-generated 3-D model of the middle and inner ear. Methods: We reconstructed a fully interactive model of the middle and inner ear from a magnetic resonance imaging scan of a human cadaver ear. To test the model's educational usefulness, we conducted a randomised controlled study in which 28 medical students completed a Web-based tutorial on ear anatomy that included the interactive model, while a control group of 29 students took the tutorial without exposure to the model. At the end of the tutorials, both groups were asked a series of 15 quiz questions to evaluate their knowledge of 3-D relationships within the ear. Results: The intervention group's mean score on the quiz was 83%, while that of the control group was 65%. This difference in means was highly significant (P &lt; 0.001). Discussion: Our findings stand in contrast to the handful of previous randomised controlled trials that evaluated the effects of computer-generated 3-D anatomical models on learning. The equivocal and negative results of these previous studies may be due to the limitations of these studies (such as small sample size) as well as the limitations of the models that were studied (such as a lack of full interactivity). Given our positive results, we believe that further research is warranted concerning the educational effectiveness of computer-generated anatomical models. © 2006 Blackwell Publishing Ltd.","author":[{"dropping-particle":"","family":"Nicholson","given":"Daren T.","non-dropping-particle":"","parse-names":false,"suffix":""},{"dropping-particle":"","family":"Chalk","given":"Colin","non-dropping-particle":"","parse-names":false,"suffix":""},{"dropping-particle":"","family":"Funnell","given":"W. Robert J.","non-dropping-particle":"","parse-names":false,"suffix":""},{"dropping-particle":"","family":"Daniel","given":"Sam J.","non-dropping-particle":"","parse-names":false,"suffix":""}],"container-title":"Medical Education","id":"ITEM-3","issue":"11","issued":{"date-parts":[["2006"]]},"page":"1081-1087","title":"Can virtual reality improve anatomy education? A randomised controlled study of a computer-generated three-dimensional anatomical ear model","type":"article-journal","volume":"40"},"uris":["http://www.mendeley.com/documents/?uuid=8d06f3f0-1c88-4a41-87f9-75d6416fd881"]},{"id":"ITEM-4","itemData":{"DOI":"10.1016/j.acra.2015.12.012","ISSN":"10766332","abstract":"Rationale and Objectives—Anatomy is an essential component of medical education as it is critical for the accurate diagnosis in organs and human systems. The mental representation of the shape and organization of different anatomical structures is a crucial step in the learning process. The purpose of this pilot study is to demonstrate the feasibility and benefits of developing innovative teaching modules for anatomy education of first-year medical students based on 3D reconstructions from actual patient data. Materials and Methods—A total of 196 models of anatomical structures from 16 anonymized CT datasets were generated using the 3D Slicer open-source software platform. The models focused on three anatomical areas: the mediastinum, the upper abdomen and the pelvis. Online optional quizzes were offered to first-year medical students to assess their comprehension in the areas of interest. Specific tasks were designed for students to complete using the 3D models. Results—Scores of the quizzes confirmed a lack of understanding of 3D spatial relationships of anatomical structures despite standard instruction including dissection. Written task material and qualitative review by students suggested that interaction with 3D models led to a better understanding of the shape and spatial relationships among structures, and helped illustrate anatomical variations from one body to another. Conclusion—The study demonstrates the feasibility of one possible approach to the generation of 3D models of the anatomy from actual patient data. The educational materials developed have the potential to supplement the teaching of complex anatomical regions and help demonstrate the anatomic variation among patie</w:instrText>
      </w:r>
      <w:r w:rsidRPr="003E20CB">
        <w:rPr>
          <w:rFonts w:ascii="Times New Roman" w:hAnsi="Times New Roman" w:cs="Times New Roman"/>
          <w:sz w:val="24"/>
          <w:szCs w:val="24"/>
          <w:lang w:val="fr-FR"/>
        </w:rPr>
        <w:instrText>nts.","author":[{"dropping-particle":"","family":"Pujol","given":"Sonia","non-dropping-particle":"","parse-names":false,"suffix":""},{"dropping-particle":"","family":"Baldwin","given":"Michael","non-dropping-particle":"","parse-names":false,"suffix":""},{"dropping-particle":"","family":"Nassiri","given":"Joshua","non-dropping-particle":"","parse-names":false,"suffix":""},{"dropping-particle":"","family":"Kikinis","given":"Ron","non-dropping-particle":"","parse-names":false,"suffix":""},{"dropping-particle":"","family":"Shaffer","given":"Kitt","non-dropping-particle":"","parse-names":false,"suffix":""}],"container-title":"Academic Radiology","id":"ITEM-4","issue":"4","issued":{"date-parts":[["2016","4"]]},"page":"507-516","title":"Using 3D Modeling Techniques to Enhance Teaching of Difficult Anatomical Concepts","type":"article-journal","volume":"23"},"uris":["http://www.mendeley.com/documents/?uuid=4c91d202-5897-4c8a-97a0-0f8a7363c6d4"]}],"mendeley":{"formattedCitation":"(Nicholson &lt;i&gt;et al.&lt;/i&gt;, 2006; Brewer &lt;i&gt;et al.&lt;/i&gt;, 2012; Murgitroyd &lt;i&gt;et al.&lt;/i&gt;, 2015; Pujol &lt;i&gt;et al.&lt;/i&gt;, 2016)","plainTextFormattedCitation":"(Nicholson et al., 2006; Brewer et al., 2012; Murgitroyd et al., 2015; Pujol et al., 2016)","previouslyFormattedCitation":"(Nicholson &lt;i&gt;et al.&lt;/i&gt;, 2006; Brewer &lt;i&gt;et al.&lt;/i&gt;, 2012; Murgitroyd &lt;i&gt;et al.&lt;/i&gt;, 2015; Pujol &lt;i&gt;et al.&lt;/i&gt;, 2016)"},"properties":{"noteIndex":0},"schema":"https://github.com/citation-style-language/schema/raw/master/csl-citation.json"}</w:instrText>
      </w:r>
      <w:r w:rsidRPr="00C91F40">
        <w:rPr>
          <w:rFonts w:ascii="Times New Roman" w:hAnsi="Times New Roman" w:cs="Times New Roman"/>
          <w:sz w:val="24"/>
          <w:szCs w:val="24"/>
        </w:rPr>
        <w:fldChar w:fldCharType="separate"/>
      </w:r>
      <w:r w:rsidRPr="003E20CB">
        <w:rPr>
          <w:rFonts w:ascii="Times New Roman" w:hAnsi="Times New Roman" w:cs="Times New Roman"/>
          <w:noProof/>
          <w:sz w:val="24"/>
          <w:szCs w:val="24"/>
          <w:lang w:val="fr-FR"/>
        </w:rPr>
        <w:t xml:space="preserve">(Nicholson </w:t>
      </w:r>
      <w:r w:rsidRPr="003E20CB">
        <w:rPr>
          <w:rFonts w:ascii="Times New Roman" w:hAnsi="Times New Roman" w:cs="Times New Roman"/>
          <w:i/>
          <w:noProof/>
          <w:sz w:val="24"/>
          <w:szCs w:val="24"/>
          <w:lang w:val="fr-FR"/>
        </w:rPr>
        <w:t>et al.</w:t>
      </w:r>
      <w:r w:rsidRPr="003E20CB">
        <w:rPr>
          <w:rFonts w:ascii="Times New Roman" w:hAnsi="Times New Roman" w:cs="Times New Roman"/>
          <w:noProof/>
          <w:sz w:val="24"/>
          <w:szCs w:val="24"/>
          <w:lang w:val="fr-FR"/>
        </w:rPr>
        <w:t xml:space="preserve">, 2006; Brewer </w:t>
      </w:r>
      <w:r w:rsidRPr="003E20CB">
        <w:rPr>
          <w:rFonts w:ascii="Times New Roman" w:hAnsi="Times New Roman" w:cs="Times New Roman"/>
          <w:i/>
          <w:noProof/>
          <w:sz w:val="24"/>
          <w:szCs w:val="24"/>
          <w:lang w:val="fr-FR"/>
        </w:rPr>
        <w:t>et al.</w:t>
      </w:r>
      <w:r w:rsidRPr="003E20CB">
        <w:rPr>
          <w:rFonts w:ascii="Times New Roman" w:hAnsi="Times New Roman" w:cs="Times New Roman"/>
          <w:noProof/>
          <w:sz w:val="24"/>
          <w:szCs w:val="24"/>
          <w:lang w:val="fr-FR"/>
        </w:rPr>
        <w:t xml:space="preserve">, 2012; Murgitroyd </w:t>
      </w:r>
      <w:r w:rsidRPr="003E20CB">
        <w:rPr>
          <w:rFonts w:ascii="Times New Roman" w:hAnsi="Times New Roman" w:cs="Times New Roman"/>
          <w:i/>
          <w:noProof/>
          <w:sz w:val="24"/>
          <w:szCs w:val="24"/>
          <w:lang w:val="fr-FR"/>
        </w:rPr>
        <w:t>et al.</w:t>
      </w:r>
      <w:r w:rsidRPr="003E20CB">
        <w:rPr>
          <w:rFonts w:ascii="Times New Roman" w:hAnsi="Times New Roman" w:cs="Times New Roman"/>
          <w:noProof/>
          <w:sz w:val="24"/>
          <w:szCs w:val="24"/>
          <w:lang w:val="fr-FR"/>
        </w:rPr>
        <w:t xml:space="preserve">, 2015; Pujol </w:t>
      </w:r>
      <w:r w:rsidRPr="003E20CB">
        <w:rPr>
          <w:rFonts w:ascii="Times New Roman" w:hAnsi="Times New Roman" w:cs="Times New Roman"/>
          <w:i/>
          <w:noProof/>
          <w:sz w:val="24"/>
          <w:szCs w:val="24"/>
          <w:lang w:val="fr-FR"/>
        </w:rPr>
        <w:t>et al.</w:t>
      </w:r>
      <w:r w:rsidRPr="003E20CB">
        <w:rPr>
          <w:rFonts w:ascii="Times New Roman" w:hAnsi="Times New Roman" w:cs="Times New Roman"/>
          <w:noProof/>
          <w:sz w:val="24"/>
          <w:szCs w:val="24"/>
          <w:lang w:val="fr-FR"/>
        </w:rPr>
        <w:t>, 2016)</w:t>
      </w:r>
      <w:r w:rsidRPr="00C91F40">
        <w:rPr>
          <w:rFonts w:ascii="Times New Roman" w:hAnsi="Times New Roman" w:cs="Times New Roman"/>
          <w:sz w:val="24"/>
          <w:szCs w:val="24"/>
        </w:rPr>
        <w:fldChar w:fldCharType="end"/>
      </w:r>
      <w:r w:rsidRPr="003E20CB">
        <w:rPr>
          <w:rFonts w:ascii="Times New Roman" w:hAnsi="Times New Roman" w:cs="Times New Roman"/>
          <w:sz w:val="24"/>
          <w:szCs w:val="24"/>
          <w:lang w:val="fr-FR"/>
        </w:rPr>
        <w:t xml:space="preserve">. </w:t>
      </w:r>
      <w:r w:rsidRPr="00C91F40">
        <w:rPr>
          <w:rFonts w:ascii="Times New Roman" w:hAnsi="Times New Roman" w:cs="Times New Roman"/>
          <w:sz w:val="24"/>
          <w:szCs w:val="24"/>
        </w:rPr>
        <w:t xml:space="preserve">In 2012, a study tested whether the use of 3D visualisation techniques would improve trainee understanding of brain anatomy, orientation, visualisation, and navigation, in comparison with current teaching methods </w:t>
      </w:r>
      <w:r w:rsidRPr="00C91F40">
        <w:rPr>
          <w:rFonts w:ascii="Times New Roman" w:hAnsi="Times New Roman" w:cs="Times New Roman"/>
          <w:sz w:val="24"/>
          <w:szCs w:val="24"/>
        </w:rPr>
        <w:fldChar w:fldCharType="begin" w:fldLock="1"/>
      </w:r>
      <w:r w:rsidRPr="00C91F40">
        <w:rPr>
          <w:rFonts w:ascii="Times New Roman" w:hAnsi="Times New Roman" w:cs="Times New Roman"/>
          <w:sz w:val="24"/>
          <w:szCs w:val="24"/>
        </w:rPr>
        <w:instrText>ADDIN CSL_CITATION {"citationItems":[{"id":"ITEM-1","itemData":{"DOI":"10.3233/978-1-61499-022-2-85","ISBN":"9781614990215","ISSN":"18798365","PMID":"22356963","abstract":"As one of the more difficult components of any curricula, neuroanatomy poses many challenges to students - not only because of the numerous discrete structures, but also due to the complicated spatial relations between them, which must be learned. Traditional anatomical education uses 2D images with a focus on dissection. This approach tends to underestimate the cognitive leaps required between textbook, lecture, and dissection cases. With reduced anatomical teaching time available, and varying student spatial abilities, new techniques are needed for training. The goal of this study is to assess the improvement of trainee understanding of 3D brain anatomy, orientation, visualization, and navigation through the use of digital training regimes in comparison with current methods. Two subsets of health science and medical students were tested individually after being given a group lecture and either a pre- or post-dissection digital lab. Results suggest that exposure to a 3D digital lab may improve knowledge acquisition and understanding by the students, particularly for first time learners.© 2012 The authors and IOS Press. All rights reserved.","author":[{"dropping-particle":"","family":"Brewer","given":"Danielle N.","non-dropping-particle":"","parse-names":false,"suffix":""},{"dropping-particle":"","family":"Wilson","given":"Timothy D.","non-dropping-particle":"","parse-names":false,"suffix":""},{"dropping-particle":"","family":"Eagleson","given":"Roy","non-dropping-particle":"","parse-names":false,"suffix":""},{"dropping-particle":"","family":"Ribaupierre","given":"Sandrine","non-dropping-particle":"De","parse-names":false,"suffix":""}],"container-title":"Studies in Health Technology and Informatics","id":"ITEM-1","issued":{"date-parts":[["2012"]]},"page":"85-91","title":"Evaluation of neuroanatomical training using a 3D visual reality model","type":"article-journal","volume":"173"},"uris":["http://www.mendeley.com/documents/?uuid=bb388dd2-cc9c-48bb-826e-166d26031c60"]}],"mendeley":{"formattedCitation":"(Brewer &lt;i&gt;et al.&lt;/i&gt;, 2012)","plainTextFormattedCitation":"(Brewer et al., 2012)","previouslyFormattedCitation":"(Brewer &lt;i&gt;et al.&lt;/i&gt;, 2012)"},"properties":{"noteIndex":0},"schema":"https://github.com/citation-style-language/schema/raw/master/csl-citation.json"}</w:instrText>
      </w:r>
      <w:r w:rsidRPr="00C91F40">
        <w:rPr>
          <w:rFonts w:ascii="Times New Roman" w:hAnsi="Times New Roman" w:cs="Times New Roman"/>
          <w:sz w:val="24"/>
          <w:szCs w:val="24"/>
        </w:rPr>
        <w:fldChar w:fldCharType="separate"/>
      </w:r>
      <w:r w:rsidRPr="00C91F40">
        <w:rPr>
          <w:rFonts w:ascii="Times New Roman" w:hAnsi="Times New Roman" w:cs="Times New Roman"/>
          <w:noProof/>
          <w:sz w:val="24"/>
          <w:szCs w:val="24"/>
        </w:rPr>
        <w:t xml:space="preserve">(Brewer </w:t>
      </w:r>
      <w:r w:rsidRPr="00C91F40">
        <w:rPr>
          <w:rFonts w:ascii="Times New Roman" w:hAnsi="Times New Roman" w:cs="Times New Roman"/>
          <w:i/>
          <w:noProof/>
          <w:sz w:val="24"/>
          <w:szCs w:val="24"/>
        </w:rPr>
        <w:t>et al.</w:t>
      </w:r>
      <w:r w:rsidRPr="00C91F40">
        <w:rPr>
          <w:rFonts w:ascii="Times New Roman" w:hAnsi="Times New Roman" w:cs="Times New Roman"/>
          <w:noProof/>
          <w:sz w:val="24"/>
          <w:szCs w:val="24"/>
        </w:rPr>
        <w:t>, 2012)</w:t>
      </w:r>
      <w:r w:rsidRPr="00C91F40">
        <w:rPr>
          <w:rFonts w:ascii="Times New Roman" w:hAnsi="Times New Roman" w:cs="Times New Roman"/>
          <w:sz w:val="24"/>
          <w:szCs w:val="24"/>
        </w:rPr>
        <w:fldChar w:fldCharType="end"/>
      </w:r>
      <w:r w:rsidRPr="00C91F40">
        <w:rPr>
          <w:rFonts w:ascii="Times New Roman" w:hAnsi="Times New Roman" w:cs="Times New Roman"/>
          <w:sz w:val="24"/>
          <w:szCs w:val="24"/>
        </w:rPr>
        <w:t xml:space="preserve">. The study found that a 3D digital lab in addition to traditional dissection can improve learning for new students in the field of neuroanatomy </w:t>
      </w:r>
      <w:r w:rsidRPr="00C91F40">
        <w:rPr>
          <w:rFonts w:ascii="Times New Roman" w:hAnsi="Times New Roman" w:cs="Times New Roman"/>
          <w:sz w:val="24"/>
          <w:szCs w:val="24"/>
        </w:rPr>
        <w:fldChar w:fldCharType="begin" w:fldLock="1"/>
      </w:r>
      <w:r w:rsidRPr="00C91F40">
        <w:rPr>
          <w:rFonts w:ascii="Times New Roman" w:hAnsi="Times New Roman" w:cs="Times New Roman"/>
          <w:sz w:val="24"/>
          <w:szCs w:val="24"/>
        </w:rPr>
        <w:instrText>ADDIN CSL_CITATION {"citationItems":[{"id":"ITEM-1","itemData":{"DOI":"10.1016/j.surge.2014.10.007","ISSN":"1479666X","abstract":"Background: With an increasing move towards digitalisation of medical records and medical teaching, such as online exams and webinars, one of the questions that persists asks 'is there a place for digital anatomy teaching and can it effectively replace the traditional teaching methods such as cadaveric dissection?'. Cadaveric dissection has a number of benefits as a teaching method but it also has its limitations. Although these can be partially addressed by prosections and new more \"life-like\" fixatives, it does not address the lack of resources and the increasing pressure to be able to study and learn at home. Methods: This paper reviews the literature with regards to the suitability of digital models for teaching and the wider uses a 3D digital anatomy model could have, such as postgraduate teaching, patient education and surgical planning. It also looks briefly at the learning model that anatomy as art contributes. Results: The literature has scattered examples of digital models used for teaching at both undergraduate and postgraduate level, which demonstrate a number of positive outcomes, mostly surrounding user satisfaction and convenience. 3D modelling for patient education and operation planning has less exploration, and these papers generate a number of discussion points, mostly surrounding the practicality of digital models, which can be more time consuming and require the technology to be widely available and reliable. Conclusions: 3D digital anatomy is a useful adjunct to teaching and its use in patient education and operation planning have interesting possibilities still to be fully explored.","author":[{"dropping-particle":"","family":"Murgitroyd","given":"Ellen","non-dropping-particle":"","parse-names":false,"suffix":""},{"dropping-particle":"","family":"Madurska","given":"Marta","non-dropping-particle":"","parse-names":false,"suffix":""},{"dropping-particle":"","family":"Gonzalez","given":"Jasmina","non-dropping-particle":"","parse-names":false,"suffix":""},{"dropping-particle":"","family":"Watson","given":"Angus","non-dropping-particle":"","parse-names":false,"suffix":""}],"container-title":"Surgeon","id":"ITEM-1","issue":"3","issued":{"date-parts":[["2015"]]},"page":"177-180","publisher":"Elsevier Ltd","title":"3D digital anatomy modelling - Practical or pretty?","type":"article-journal","volume":"13"},"uris":["http://www.mendeley.com/documents/?uuid=89fd385a-82f5-4587-9561-d9ca23b5c31c"]}],"mendeley":{"formattedCitation":"(Murgitroyd &lt;i&gt;et al.&lt;/i&gt;, 2015)","plainTextFormattedCitation":"(Murgitroyd et al., 2015)","previouslyFormattedCitation":"(Murgitroyd &lt;i&gt;et al.&lt;/i&gt;, 2015)"},"properties":{"noteIndex":0},"schema":"https://github.com/citation-style-language/schema/raw/master/csl-citation.json"}</w:instrText>
      </w:r>
      <w:r w:rsidRPr="00C91F40">
        <w:rPr>
          <w:rFonts w:ascii="Times New Roman" w:hAnsi="Times New Roman" w:cs="Times New Roman"/>
          <w:sz w:val="24"/>
          <w:szCs w:val="24"/>
        </w:rPr>
        <w:fldChar w:fldCharType="separate"/>
      </w:r>
      <w:r w:rsidRPr="00C91F40">
        <w:rPr>
          <w:rFonts w:ascii="Times New Roman" w:hAnsi="Times New Roman" w:cs="Times New Roman"/>
          <w:noProof/>
          <w:sz w:val="24"/>
          <w:szCs w:val="24"/>
        </w:rPr>
        <w:t xml:space="preserve">(Murgitroyd </w:t>
      </w:r>
      <w:r w:rsidRPr="00C91F40">
        <w:rPr>
          <w:rFonts w:ascii="Times New Roman" w:hAnsi="Times New Roman" w:cs="Times New Roman"/>
          <w:i/>
          <w:noProof/>
          <w:sz w:val="24"/>
          <w:szCs w:val="24"/>
        </w:rPr>
        <w:t>et al.</w:t>
      </w:r>
      <w:r w:rsidRPr="00C91F40">
        <w:rPr>
          <w:rFonts w:ascii="Times New Roman" w:hAnsi="Times New Roman" w:cs="Times New Roman"/>
          <w:noProof/>
          <w:sz w:val="24"/>
          <w:szCs w:val="24"/>
        </w:rPr>
        <w:t>, 2015)</w:t>
      </w:r>
      <w:r w:rsidRPr="00C91F40">
        <w:rPr>
          <w:rFonts w:ascii="Times New Roman" w:hAnsi="Times New Roman" w:cs="Times New Roman"/>
          <w:sz w:val="24"/>
          <w:szCs w:val="24"/>
        </w:rPr>
        <w:fldChar w:fldCharType="end"/>
      </w:r>
      <w:r w:rsidRPr="00C91F40">
        <w:rPr>
          <w:rFonts w:ascii="Times New Roman" w:hAnsi="Times New Roman" w:cs="Times New Roman"/>
          <w:sz w:val="24"/>
          <w:szCs w:val="24"/>
        </w:rPr>
        <w:t xml:space="preserve">. In 2006, Nicholson </w:t>
      </w:r>
      <w:r w:rsidRPr="00C91F40">
        <w:rPr>
          <w:rFonts w:ascii="Times New Roman" w:hAnsi="Times New Roman" w:cs="Times New Roman"/>
          <w:i/>
          <w:iCs/>
          <w:sz w:val="24"/>
          <w:szCs w:val="24"/>
        </w:rPr>
        <w:t xml:space="preserve">et al. </w:t>
      </w:r>
      <w:r w:rsidRPr="00C91F40">
        <w:rPr>
          <w:rFonts w:ascii="Times New Roman" w:hAnsi="Times New Roman" w:cs="Times New Roman"/>
          <w:sz w:val="24"/>
          <w:szCs w:val="24"/>
        </w:rPr>
        <w:t xml:space="preserve">carried out a study to test the educational effectiveness of a computer-generated 3D model of the middle and inner ear </w:t>
      </w:r>
      <w:r w:rsidRPr="00C91F40">
        <w:rPr>
          <w:rFonts w:ascii="Times New Roman" w:hAnsi="Times New Roman" w:cs="Times New Roman"/>
          <w:sz w:val="24"/>
          <w:szCs w:val="24"/>
        </w:rPr>
        <w:fldChar w:fldCharType="begin" w:fldLock="1"/>
      </w:r>
      <w:r w:rsidRPr="00C91F40">
        <w:rPr>
          <w:rFonts w:ascii="Times New Roman" w:hAnsi="Times New Roman" w:cs="Times New Roman"/>
          <w:sz w:val="24"/>
          <w:szCs w:val="24"/>
        </w:rPr>
        <w:instrText>ADDIN CSL_CITATION {"citationItems":[{"id":"ITEM-1","itemData":{"DOI":"10.1111/j.1365-2929.2006.02611.x","ISSN":"03080110","PMID":"17054617","abstract":"Introduction: The use of computer-generated 3-dimensional (3-D) anatomical models to teach anatomy has proliferated. However, there is little evidence that these models are educationally effective. The purpose of this study was to test the educational effectiveness of a computer-generated 3-D model of the middle and inner ear. Methods: We reconstructed a fully interactive model of the middle and inner ear from a magnetic resonance imaging scan of a human cadaver ear. To test the model's educational usefulness, we conducted a randomised controlled study in which 28 medical students completed a Web-based tutorial on ear anatomy that included the interactive model, while a control group of 29 students took the tutorial without exposure to the model. At the end of the tutorials, both groups were asked a series of 15 quiz questions to evaluate their knowledge of 3-D relationships within the ear. Results: The intervention group's mean score on the quiz was 83%, while that of the control group was 65%. This difference in means was highly significant (P &lt; 0.001). Discussion: Our findings stand in contrast to the handful of previous randomised controlled trials that evaluated the effects of computer-generated 3-D anatomical models on learning. The equivocal and negative results of these previous studies may be due to the limitations of these studies (such as small sample size) as well as the limitations of the models that were studied (such as a lack of full interactivity). Given our positive results, we believe that further research is warranted concerning the educational effectiveness of computer-generated anatomical models. © 2006 Blackwell Publishing Ltd.","author":[{"dropping-particle":"","family":"Nicholson","given":"Daren T.","non-dropping-particle":"","parse-names":false,"suffix":""},{"dropping-particle":"","family":"Chalk","given":"Colin","non-dropping-particle":"","parse-names":false,"suffix":""},{"dropping-particle":"","family":"Funnell","given":"W. Robert J.","non-dropping-particle":"","parse-names":false,"suffix":""},{"dropping-particle":"","family":"Daniel","given":"Sam J.","non-dropping-particle":"","parse-names":false,"suffix":""}],"container-title":"Medical Education","id":"ITEM-1","issue":"11","issued":{"date-parts":[["2006"]]},"page":"1081-1087","title":"Can virtual reality improve anatomy education? A randomised controlled study of a computer-generated three-dimensional anatomical ear model","type":"article-journal","volume":"40"},"uris":["http://www.mendeley.com/documents/?uuid=8d06f3f0-1c88-4a41-87f9-75d6416fd881"]}],"mendeley":{"formattedCitation":"(Nicholson &lt;i&gt;et al.&lt;/i&gt;, 2006)","plainTextFormattedCitation":"(Nicholson et al., 2006)","previouslyFormattedCitation":"(Nicholson &lt;i&gt;et al.&lt;/i&gt;, 2006)"},"properties":{"noteIndex":0},"schema":"https://github.com/citation-style-language/schema/raw/master/csl-citation.json"}</w:instrText>
      </w:r>
      <w:r w:rsidRPr="00C91F40">
        <w:rPr>
          <w:rFonts w:ascii="Times New Roman" w:hAnsi="Times New Roman" w:cs="Times New Roman"/>
          <w:sz w:val="24"/>
          <w:szCs w:val="24"/>
        </w:rPr>
        <w:fldChar w:fldCharType="separate"/>
      </w:r>
      <w:r w:rsidRPr="00C91F40">
        <w:rPr>
          <w:rFonts w:ascii="Times New Roman" w:hAnsi="Times New Roman" w:cs="Times New Roman"/>
          <w:noProof/>
          <w:sz w:val="24"/>
          <w:szCs w:val="24"/>
        </w:rPr>
        <w:t xml:space="preserve">(Nicholson </w:t>
      </w:r>
      <w:r w:rsidRPr="00C91F40">
        <w:rPr>
          <w:rFonts w:ascii="Times New Roman" w:hAnsi="Times New Roman" w:cs="Times New Roman"/>
          <w:i/>
          <w:noProof/>
          <w:sz w:val="24"/>
          <w:szCs w:val="24"/>
        </w:rPr>
        <w:t>et al.</w:t>
      </w:r>
      <w:r w:rsidRPr="00C91F40">
        <w:rPr>
          <w:rFonts w:ascii="Times New Roman" w:hAnsi="Times New Roman" w:cs="Times New Roman"/>
          <w:noProof/>
          <w:sz w:val="24"/>
          <w:szCs w:val="24"/>
        </w:rPr>
        <w:t>, 2006)</w:t>
      </w:r>
      <w:r w:rsidRPr="00C91F40">
        <w:rPr>
          <w:rFonts w:ascii="Times New Roman" w:hAnsi="Times New Roman" w:cs="Times New Roman"/>
          <w:sz w:val="24"/>
          <w:szCs w:val="24"/>
        </w:rPr>
        <w:fldChar w:fldCharType="end"/>
      </w:r>
      <w:r w:rsidRPr="00C91F40">
        <w:rPr>
          <w:rFonts w:ascii="Times New Roman" w:hAnsi="Times New Roman" w:cs="Times New Roman"/>
          <w:sz w:val="24"/>
          <w:szCs w:val="24"/>
        </w:rPr>
        <w:t>. The post-test scores of the intervention group were significantly higher than that of the control group (83% vs 65%), showing that the use of 3D visualisation techniques enhanced students’ anatomy learning. In a more recent study, experiments were conducted to demonstrate the feasibility and benefits of developing innovative teaching modules for anatomy education of first-year medical students</w:t>
      </w:r>
      <w:r w:rsidR="00390367">
        <w:rPr>
          <w:rFonts w:ascii="Times New Roman" w:hAnsi="Times New Roman" w:cs="Times New Roman"/>
          <w:sz w:val="24"/>
          <w:szCs w:val="24"/>
        </w:rPr>
        <w:t>,</w:t>
      </w:r>
      <w:r w:rsidRPr="00C91F40">
        <w:rPr>
          <w:rFonts w:ascii="Times New Roman" w:hAnsi="Times New Roman" w:cs="Times New Roman"/>
          <w:sz w:val="24"/>
          <w:szCs w:val="24"/>
        </w:rPr>
        <w:t xml:space="preserve"> </w:t>
      </w:r>
      <w:r w:rsidR="00B628B9">
        <w:rPr>
          <w:rFonts w:ascii="Times New Roman" w:hAnsi="Times New Roman" w:cs="Times New Roman"/>
          <w:sz w:val="24"/>
          <w:szCs w:val="24"/>
        </w:rPr>
        <w:t xml:space="preserve">by using </w:t>
      </w:r>
      <w:r w:rsidRPr="00C91F40">
        <w:rPr>
          <w:rFonts w:ascii="Times New Roman" w:hAnsi="Times New Roman" w:cs="Times New Roman"/>
          <w:sz w:val="24"/>
          <w:szCs w:val="24"/>
        </w:rPr>
        <w:t xml:space="preserve">3D </w:t>
      </w:r>
      <w:r w:rsidR="00B628B9">
        <w:rPr>
          <w:rFonts w:ascii="Times New Roman" w:hAnsi="Times New Roman" w:cs="Times New Roman"/>
          <w:sz w:val="24"/>
          <w:szCs w:val="24"/>
        </w:rPr>
        <w:t>models</w:t>
      </w:r>
      <w:r w:rsidRPr="00C91F40">
        <w:rPr>
          <w:rFonts w:ascii="Times New Roman" w:hAnsi="Times New Roman" w:cs="Times New Roman"/>
          <w:sz w:val="24"/>
          <w:szCs w:val="24"/>
        </w:rPr>
        <w:t xml:space="preserve"> </w:t>
      </w:r>
      <w:r w:rsidR="00B628B9">
        <w:rPr>
          <w:rFonts w:ascii="Times New Roman" w:hAnsi="Times New Roman" w:cs="Times New Roman"/>
          <w:sz w:val="24"/>
          <w:szCs w:val="24"/>
        </w:rPr>
        <w:t xml:space="preserve">of anatomical structures </w:t>
      </w:r>
      <w:r w:rsidRPr="00C91F40">
        <w:rPr>
          <w:rFonts w:ascii="Times New Roman" w:hAnsi="Times New Roman" w:cs="Times New Roman"/>
          <w:sz w:val="24"/>
          <w:szCs w:val="24"/>
        </w:rPr>
        <w:fldChar w:fldCharType="begin" w:fldLock="1"/>
      </w:r>
      <w:r w:rsidRPr="00C91F40">
        <w:rPr>
          <w:rFonts w:ascii="Times New Roman" w:hAnsi="Times New Roman" w:cs="Times New Roman"/>
          <w:sz w:val="24"/>
          <w:szCs w:val="24"/>
        </w:rPr>
        <w:instrText>ADDIN CSL_CITATION {"citationItems":[{"id":"ITEM-1","itemData":{"DOI":"10.1016/j.acra.2015.12.012","ISSN":"10766332","abstract":"Rationale and Objectives—Anatomy is an essential component of medical education as it is critical for the accurate diagnosis in organs and human systems. The mental representation of the shape and organization of different anatomical structures is a crucial step in the learning process. The purpose of this pilot study is to demonstrate the feasibility and benefits of developing innovative teaching modules for anatomy education of first-year medical students based on 3D reconstructions from actual patient data. Materials and Methods—A total of 196 models of anatomical structures from 16 anonymized CT datasets were generated using the 3D Slicer open-source software platform. The models focused on three anatomical areas: the mediastinum, the upper abdomen and the pelvis. Online optional quizzes were offered to first-year medical students to assess their comprehension in the areas of interest. Specific tasks were designed for students to complete using the 3D models. Results—Scores of the quizzes confirmed a lack of understanding of 3D spatial relationships of anatomical structures despite standard instruction including dissection. Written task material and qualitative review by students suggested that interaction with 3D models led to a better understanding of the shape and spatial relationships among structures, and helped illustrate anatomical variations from one body to another. Conclusion—The study demonstrates the feasibility of one possible approach to the generation of 3D models of the anatomy from actual patient data. The educational materials developed have the potential to supplement the teaching of complex anatomical regions and help demonstrate the anatomic variation among patients.","author":[{"dropping-particle":"","family":"Pujol","given":"Sonia","non-dropping-particle":"","parse-names":false,"suffix":""},{"dropping-particle":"","family":"Baldwin","given":"Michael","non-dropping-particle":"","parse-names":false,"suffix":""},{"dropping-particle":"","family":"Nassiri","given":"Joshua","non-dropping-particle":"","parse-names":false,"suffix":""},{"dropping-particle":"","family":"Kikinis","given":"Ron","non-dropping-particle":"","parse-names":false,"suffix":""},{"dropping-particle":"","family":"Shaffer","given":"Kitt","non-dropping-particle":"","parse-names":false,"suffix":""}],"container-title":"Academic Radiology","id":"ITEM-1","issue":"4","issued":{"date-parts":[["2016","4"]]},"page":"507-516","title":"Using 3D Modeling Techniques to Enhance Teaching of Difficult Anatomical Concepts","type":"article-journal","volume":"23"},"uris":["http://www.mendeley.com/documents/?uuid=4c91d202-5897-4c8a-97a0-0f8a7363c6d4"]}],"mendeley":{"formattedCitation":"(Pujol &lt;i&gt;et al.&lt;/i&gt;, 2016)","plainTextFormattedCitation":"(Pujol et al., 2016)","previouslyFormattedCitation":"(Pujol &lt;i&gt;et al.&lt;/i&gt;, 2016)"},"properties":{"noteIndex":0},"schema":"https://github.com/citation-style-language/schema/raw/master/csl-citation.json"}</w:instrText>
      </w:r>
      <w:r w:rsidRPr="00C91F40">
        <w:rPr>
          <w:rFonts w:ascii="Times New Roman" w:hAnsi="Times New Roman" w:cs="Times New Roman"/>
          <w:sz w:val="24"/>
          <w:szCs w:val="24"/>
        </w:rPr>
        <w:fldChar w:fldCharType="separate"/>
      </w:r>
      <w:r w:rsidRPr="00C91F40">
        <w:rPr>
          <w:rFonts w:ascii="Times New Roman" w:hAnsi="Times New Roman" w:cs="Times New Roman"/>
          <w:noProof/>
          <w:sz w:val="24"/>
          <w:szCs w:val="24"/>
        </w:rPr>
        <w:t xml:space="preserve">(Pujol </w:t>
      </w:r>
      <w:r w:rsidRPr="00C91F40">
        <w:rPr>
          <w:rFonts w:ascii="Times New Roman" w:hAnsi="Times New Roman" w:cs="Times New Roman"/>
          <w:i/>
          <w:noProof/>
          <w:sz w:val="24"/>
          <w:szCs w:val="24"/>
        </w:rPr>
        <w:t>et al.</w:t>
      </w:r>
      <w:r w:rsidRPr="00C91F40">
        <w:rPr>
          <w:rFonts w:ascii="Times New Roman" w:hAnsi="Times New Roman" w:cs="Times New Roman"/>
          <w:noProof/>
          <w:sz w:val="24"/>
          <w:szCs w:val="24"/>
        </w:rPr>
        <w:t>, 2016)</w:t>
      </w:r>
      <w:r w:rsidRPr="00C91F40">
        <w:rPr>
          <w:rFonts w:ascii="Times New Roman" w:hAnsi="Times New Roman" w:cs="Times New Roman"/>
          <w:sz w:val="24"/>
          <w:szCs w:val="24"/>
        </w:rPr>
        <w:fldChar w:fldCharType="end"/>
      </w:r>
      <w:r w:rsidRPr="00C91F40">
        <w:rPr>
          <w:rFonts w:ascii="Times New Roman" w:hAnsi="Times New Roman" w:cs="Times New Roman"/>
          <w:sz w:val="24"/>
          <w:szCs w:val="24"/>
        </w:rPr>
        <w:t>. Written task material and qualitative review by students suggested that the use of the 3D models led to a better understanding of the shape and spatial relationships among anatomical structures and helped illustrate variations in structural anatomy from one body to another. Th</w:t>
      </w:r>
      <w:r w:rsidR="00390367">
        <w:rPr>
          <w:rFonts w:ascii="Times New Roman" w:hAnsi="Times New Roman" w:cs="Times New Roman"/>
          <w:sz w:val="24"/>
          <w:szCs w:val="24"/>
        </w:rPr>
        <w:t>e</w:t>
      </w:r>
      <w:r w:rsidRPr="00C91F40">
        <w:rPr>
          <w:rFonts w:ascii="Times New Roman" w:hAnsi="Times New Roman" w:cs="Times New Roman"/>
          <w:sz w:val="24"/>
          <w:szCs w:val="24"/>
        </w:rPr>
        <w:t xml:space="preserve"> study showed that using 3D visualisation techniques, such as 3D models of anatomy, aids first-year medical students in learning human anatomy</w:t>
      </w:r>
      <w:r w:rsidR="00BA341D">
        <w:rPr>
          <w:rFonts w:ascii="Times New Roman" w:hAnsi="Times New Roman" w:cs="Times New Roman"/>
          <w:sz w:val="24"/>
          <w:szCs w:val="24"/>
        </w:rPr>
        <w:t xml:space="preserve"> (add in Pujol ref here – just to make it clear you are still referring to the same study)</w:t>
      </w:r>
      <w:r w:rsidRPr="00C91F40">
        <w:rPr>
          <w:rFonts w:ascii="Times New Roman" w:hAnsi="Times New Roman" w:cs="Times New Roman"/>
          <w:sz w:val="24"/>
          <w:szCs w:val="24"/>
        </w:rPr>
        <w:t>.</w:t>
      </w:r>
    </w:p>
    <w:p w14:paraId="52E004B1" w14:textId="77777777" w:rsidR="000C4F5F" w:rsidRPr="00C91F40" w:rsidRDefault="000C4F5F" w:rsidP="009119A7">
      <w:pPr>
        <w:pStyle w:val="Heading3"/>
        <w:spacing w:line="360" w:lineRule="auto"/>
        <w:rPr>
          <w:rFonts w:ascii="Times New Roman" w:hAnsi="Times New Roman" w:cs="Times New Roman"/>
          <w:color w:val="auto"/>
        </w:rPr>
      </w:pPr>
      <w:r w:rsidRPr="00C91F40">
        <w:rPr>
          <w:rFonts w:ascii="Times New Roman" w:hAnsi="Times New Roman" w:cs="Times New Roman"/>
          <w:color w:val="auto"/>
        </w:rPr>
        <w:t>1.5.3</w:t>
      </w:r>
      <w:bookmarkStart w:id="2" w:name="_Toc48310813"/>
      <w:r w:rsidRPr="00C91F40">
        <w:rPr>
          <w:rFonts w:ascii="Times New Roman" w:hAnsi="Times New Roman" w:cs="Times New Roman"/>
          <w:color w:val="auto"/>
        </w:rPr>
        <w:t xml:space="preserve"> Benefits of E-Learning and Digital Technology Use in Learning</w:t>
      </w:r>
      <w:bookmarkEnd w:id="2"/>
    </w:p>
    <w:p w14:paraId="7720D556" w14:textId="77777777" w:rsidR="000C4F5F" w:rsidRPr="00C91F40"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lastRenderedPageBreak/>
        <w:t>In addition to 3D visualisation techniques enhancing student learning through improving knowledge acquisition and student enjoyment, digital technologies are playing a key role in the evolution of learning methods in the ever-advancing world. With the arrival of Covid-19, a global pandemic has rocked life as it has always been known. With the introduction of nation-wide lockdowns, educational facilities across the globe were urged to close, forcing many institutions to move their curriculum online in place of in-person learning. E-learning has now taken over as the main teaching method on a global scale; lessons are being taught by educators over digital meeting applications like Zoom, and whole curriculums have been converted into PDF, PowerPoint, and web-module formats. While there are inconveniences with not being able to learn in face-to-face settings, digital learning has brought many benefits as well.</w:t>
      </w:r>
    </w:p>
    <w:p w14:paraId="41A538AE" w14:textId="2AF0A6CA" w:rsidR="000C4F5F" w:rsidRPr="00C91F40"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 xml:space="preserve">The current generation of students have been surrounded by technology at home and in the classroom from an early age and are more competent with technology use than previous generations </w:t>
      </w:r>
      <w:r w:rsidRPr="00C91F40">
        <w:rPr>
          <w:rFonts w:ascii="Times New Roman" w:hAnsi="Times New Roman" w:cs="Times New Roman"/>
          <w:sz w:val="24"/>
          <w:szCs w:val="24"/>
        </w:rPr>
        <w:fldChar w:fldCharType="begin" w:fldLock="1"/>
      </w:r>
      <w:r w:rsidRPr="00C91F40">
        <w:rPr>
          <w:rFonts w:ascii="Times New Roman" w:hAnsi="Times New Roman" w:cs="Times New Roman"/>
          <w:sz w:val="24"/>
          <w:szCs w:val="24"/>
        </w:rPr>
        <w:instrText>ADDIN CSL_CITATION {"citationItems":[{"id":"ITEM-1","itemData":{"ISBN":"0321267974","abstract":"Presents the table of contents/splash page of the proceedings record.","author":[{"dropping-particle":"","family":"Bice","given":"Matthew R.","non-dropping-particle":"","parse-names":false,"suffix":""},{"dropping-particle":"","family":"Carey","given":"Jon","non-dropping-particle":"","parse-names":false,"suffix":""},{"dropping-particle":"","family":"Brown","given":"Gregory A.","non-dropping-particle":"","parse-names":false,"suffix":""},{"dropping-particle":"","family":"Adkins","given":"Megan","non-dropping-particle":"","parse-names":false,"suffix":""},{"dropping-particle":"","family":"Ball","given":"James W.","non-dropping-particle":"","parse-names":false,"suffix":""}],"id":"ITEM-1","issue":"1","issued":{"date-parts":[["2016"]]},"page":"16-22","title":"The Use of Mobile Application to Enhance Learning of the Skeletal System in Introductory Anatomy &amp; Physiology Students","type":"article-journal","volume":"27"},"uris":["http://www.mendeley.com/documents/?uuid=0ef081f2-7da8-4574-b342-4dd033a5a4af"]}],"mendeley":{"formattedCitation":"(Bice &lt;i&gt;et al.&lt;/i&gt;, 2016)","plainTextFormattedCitation":"(Bice et al., 2016)","previouslyFormattedCitation":"(Bice &lt;i&gt;et al.&lt;/i&gt;, 2016)"},"properties":{"noteIndex":0},"schema":"https://github.com/citation-style-language/schema/raw/master/csl-citation.json"}</w:instrText>
      </w:r>
      <w:r w:rsidRPr="00C91F40">
        <w:rPr>
          <w:rFonts w:ascii="Times New Roman" w:hAnsi="Times New Roman" w:cs="Times New Roman"/>
          <w:sz w:val="24"/>
          <w:szCs w:val="24"/>
        </w:rPr>
        <w:fldChar w:fldCharType="separate"/>
      </w:r>
      <w:r w:rsidRPr="00C91F40">
        <w:rPr>
          <w:rFonts w:ascii="Times New Roman" w:hAnsi="Times New Roman" w:cs="Times New Roman"/>
          <w:noProof/>
          <w:sz w:val="24"/>
          <w:szCs w:val="24"/>
        </w:rPr>
        <w:t xml:space="preserve">(Bice </w:t>
      </w:r>
      <w:r w:rsidRPr="00C91F40">
        <w:rPr>
          <w:rFonts w:ascii="Times New Roman" w:hAnsi="Times New Roman" w:cs="Times New Roman"/>
          <w:i/>
          <w:noProof/>
          <w:sz w:val="24"/>
          <w:szCs w:val="24"/>
        </w:rPr>
        <w:t>et al.</w:t>
      </w:r>
      <w:r w:rsidRPr="00C91F40">
        <w:rPr>
          <w:rFonts w:ascii="Times New Roman" w:hAnsi="Times New Roman" w:cs="Times New Roman"/>
          <w:noProof/>
          <w:sz w:val="24"/>
          <w:szCs w:val="24"/>
        </w:rPr>
        <w:t>, 2016)</w:t>
      </w:r>
      <w:r w:rsidRPr="00C91F40">
        <w:rPr>
          <w:rFonts w:ascii="Times New Roman" w:hAnsi="Times New Roman" w:cs="Times New Roman"/>
          <w:sz w:val="24"/>
          <w:szCs w:val="24"/>
        </w:rPr>
        <w:fldChar w:fldCharType="end"/>
      </w:r>
      <w:r w:rsidRPr="00C91F40">
        <w:rPr>
          <w:rFonts w:ascii="Times New Roman" w:hAnsi="Times New Roman" w:cs="Times New Roman"/>
          <w:sz w:val="24"/>
          <w:szCs w:val="24"/>
        </w:rPr>
        <w:t xml:space="preserve">. There is a plethora of digital learning tools, like mobile applications, that are now widely available and cater to enhancing student learning and engagement. A 2016 study looked at whether the use of a general learning assistance mobile application focusing on the skeletal system improved student performance on examinations </w:t>
      </w:r>
      <w:r w:rsidRPr="00C91F40">
        <w:rPr>
          <w:rFonts w:ascii="Times New Roman" w:hAnsi="Times New Roman" w:cs="Times New Roman"/>
          <w:sz w:val="24"/>
          <w:szCs w:val="24"/>
        </w:rPr>
        <w:fldChar w:fldCharType="begin" w:fldLock="1"/>
      </w:r>
      <w:r w:rsidRPr="00C91F40">
        <w:rPr>
          <w:rFonts w:ascii="Times New Roman" w:hAnsi="Times New Roman" w:cs="Times New Roman"/>
          <w:sz w:val="24"/>
          <w:szCs w:val="24"/>
        </w:rPr>
        <w:instrText>ADDIN CSL_CITATION {"citationItems":[{"id":"ITEM-1","itemData":{"ISBN":"0321267974","abstract":"Presents the table of contents/splash page of the proceedings record.","author":[{"dropping-particle":"","family":"Bice","given":"Matthew R.","non-dropping-particle":"","parse-names":false,"suffix":""},{"dropping-particle":"","family":"Carey","given":"Jon","non-dropping-particle":"","parse-names":false,"suffix":""},{"dropping-particle":"","family":"Brown","given":"Gregory A.","non-dropping-particle":"","parse-names":false,"suffix":""},{"dropping-particle":"","family":"Adkins","given":"Megan","non-dropping-particle":"","parse-names":false,"suffix":""},{"dropping-particle":"","family":"Ball","given":"James W.","non-dropping-particle":"","parse-names":false,"suffix":""}],"id":"ITEM-1","issue":"1","issued":{"date-parts":[["2016"]]},"page":"16-22","title":"The Use of Mobile Application to Enhance Learning of the Skeletal System in Introductory Anatomy &amp; Physiology Students","type":"article-journal","volume":"27"},"uris":["http://www.mendeley.com/documents/?uuid=0ef081f2-7da8-4574-b342-4dd033a5a4af"]}],"mendeley":{"formattedCitation":"(Bice &lt;i&gt;et al.&lt;/i&gt;, 2016)","plainTextFormattedCitation":"(Bice et al., 2016)","previouslyFormattedCitation":"(Bice &lt;i&gt;et al.&lt;/i&gt;, 2016)"},"properties":{"noteIndex":0},"schema":"https://github.com/citation-style-language/schema/raw/master/csl-citation.json"}</w:instrText>
      </w:r>
      <w:r w:rsidRPr="00C91F40">
        <w:rPr>
          <w:rFonts w:ascii="Times New Roman" w:hAnsi="Times New Roman" w:cs="Times New Roman"/>
          <w:sz w:val="24"/>
          <w:szCs w:val="24"/>
        </w:rPr>
        <w:fldChar w:fldCharType="separate"/>
      </w:r>
      <w:r w:rsidRPr="00C91F40">
        <w:rPr>
          <w:rFonts w:ascii="Times New Roman" w:hAnsi="Times New Roman" w:cs="Times New Roman"/>
          <w:noProof/>
          <w:sz w:val="24"/>
          <w:szCs w:val="24"/>
        </w:rPr>
        <w:t xml:space="preserve">(Bice </w:t>
      </w:r>
      <w:r w:rsidRPr="00C91F40">
        <w:rPr>
          <w:rFonts w:ascii="Times New Roman" w:hAnsi="Times New Roman" w:cs="Times New Roman"/>
          <w:i/>
          <w:noProof/>
          <w:sz w:val="24"/>
          <w:szCs w:val="24"/>
        </w:rPr>
        <w:t>et al.</w:t>
      </w:r>
      <w:r w:rsidRPr="00C91F40">
        <w:rPr>
          <w:rFonts w:ascii="Times New Roman" w:hAnsi="Times New Roman" w:cs="Times New Roman"/>
          <w:noProof/>
          <w:sz w:val="24"/>
          <w:szCs w:val="24"/>
        </w:rPr>
        <w:t>, 2016)</w:t>
      </w:r>
      <w:r w:rsidRPr="00C91F40">
        <w:rPr>
          <w:rFonts w:ascii="Times New Roman" w:hAnsi="Times New Roman" w:cs="Times New Roman"/>
          <w:sz w:val="24"/>
          <w:szCs w:val="24"/>
        </w:rPr>
        <w:fldChar w:fldCharType="end"/>
      </w:r>
      <w:r w:rsidRPr="00C91F40">
        <w:rPr>
          <w:rFonts w:ascii="Times New Roman" w:hAnsi="Times New Roman" w:cs="Times New Roman"/>
          <w:sz w:val="24"/>
          <w:szCs w:val="24"/>
        </w:rPr>
        <w:t>. The results of the study found a positive correlation between mobile application use and high test scores; student test scores were significantly higher with the application use compared to test scores with no application use, by an average of 6.65%. These results demonstrate that the use of a form of digital learning technology in addition to normal teaching methods enhances student learning and their abilities to remember and recall correct anatomical information, more than current teaching methods alone.</w:t>
      </w:r>
    </w:p>
    <w:p w14:paraId="7A7C4F89" w14:textId="77777777" w:rsidR="000C4F5F" w:rsidRPr="00C91F40" w:rsidRDefault="000C4F5F" w:rsidP="009119A7">
      <w:pPr>
        <w:pStyle w:val="Heading2"/>
        <w:spacing w:line="360" w:lineRule="auto"/>
        <w:rPr>
          <w:rFonts w:ascii="Times New Roman" w:hAnsi="Times New Roman" w:cs="Times New Roman"/>
          <w:color w:val="auto"/>
          <w:sz w:val="24"/>
          <w:szCs w:val="24"/>
        </w:rPr>
      </w:pPr>
      <w:bookmarkStart w:id="3" w:name="_Toc48310814"/>
      <w:r w:rsidRPr="00C91F40">
        <w:rPr>
          <w:rFonts w:ascii="Times New Roman" w:hAnsi="Times New Roman" w:cs="Times New Roman"/>
          <w:color w:val="auto"/>
          <w:sz w:val="24"/>
          <w:szCs w:val="24"/>
        </w:rPr>
        <w:t>1.6 Conclusion</w:t>
      </w:r>
      <w:bookmarkEnd w:id="3"/>
    </w:p>
    <w:p w14:paraId="0E04434B" w14:textId="77777777" w:rsidR="000C4F5F" w:rsidRPr="00C91F40"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 xml:space="preserve">It has been established by published studies as well as observation from anatomy lecturers, that medical students struggle to learn the anatomy of carpal bones. However, with the supplementation of etymology and digital learning technologies, such as web-modules and mobile applications, learning, remembering and recollection can be enhanced in students. There have not yet been studies conducted exploring whether a digital learning aid focused on visualising the link between carpal bones and their etymologies will aid medical students’ learning and retention of knowledge of wrist anatomy; this study will aim to answer this research </w:t>
      </w:r>
      <w:r w:rsidRPr="00C91F40">
        <w:rPr>
          <w:rFonts w:ascii="Times New Roman" w:hAnsi="Times New Roman" w:cs="Times New Roman"/>
          <w:sz w:val="24"/>
          <w:szCs w:val="24"/>
        </w:rPr>
        <w:lastRenderedPageBreak/>
        <w:t xml:space="preserve">question. It is hypothesized that the use of a digital learning aid that visualises the link between carpal bones and their etymologies will improve learning and retention of carpal bone anatomy in medical students. </w:t>
      </w:r>
    </w:p>
    <w:p w14:paraId="0A41FB51" w14:textId="6D904AE6" w:rsidR="009119A7" w:rsidRPr="009119A7" w:rsidRDefault="00FD0DD9" w:rsidP="009119A7">
      <w:pPr>
        <w:pStyle w:val="Heading1"/>
        <w:numPr>
          <w:ilvl w:val="0"/>
          <w:numId w:val="3"/>
        </w:num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Aims and Hypothesis</w:t>
      </w:r>
    </w:p>
    <w:p w14:paraId="384B4077" w14:textId="53C540E1" w:rsidR="009119A7" w:rsidRPr="009119A7" w:rsidRDefault="009119A7" w:rsidP="009119A7">
      <w:pPr>
        <w:keepNext/>
        <w:spacing w:line="360" w:lineRule="auto"/>
        <w:ind w:firstLine="720"/>
        <w:rPr>
          <w:rFonts w:ascii="Times New Roman" w:eastAsia="Times New Roman" w:hAnsi="Times New Roman" w:cs="Times New Roman"/>
          <w:sz w:val="24"/>
          <w:szCs w:val="24"/>
          <w:lang w:eastAsia="en-CA"/>
        </w:rPr>
      </w:pPr>
      <w:r w:rsidRPr="009119A7">
        <w:rPr>
          <w:rFonts w:ascii="Times New Roman" w:eastAsia="Times New Roman" w:hAnsi="Times New Roman" w:cs="Times New Roman"/>
          <w:sz w:val="24"/>
          <w:szCs w:val="24"/>
          <w:lang w:eastAsia="en-CA"/>
        </w:rPr>
        <w:t>This project aim</w:t>
      </w:r>
      <w:r>
        <w:rPr>
          <w:rFonts w:ascii="Times New Roman" w:eastAsia="Times New Roman" w:hAnsi="Times New Roman" w:cs="Times New Roman"/>
          <w:sz w:val="24"/>
          <w:szCs w:val="24"/>
          <w:lang w:eastAsia="en-CA"/>
        </w:rPr>
        <w:t>ed</w:t>
      </w:r>
      <w:r w:rsidRPr="009119A7">
        <w:rPr>
          <w:rFonts w:ascii="Times New Roman" w:eastAsia="Times New Roman" w:hAnsi="Times New Roman" w:cs="Times New Roman"/>
          <w:sz w:val="24"/>
          <w:szCs w:val="24"/>
          <w:lang w:eastAsia="en-CA"/>
        </w:rPr>
        <w:t xml:space="preserve"> to </w:t>
      </w:r>
      <w:r w:rsidRPr="009119A7">
        <w:rPr>
          <w:rFonts w:ascii="Times New Roman" w:hAnsi="Times New Roman" w:cs="Times New Roman"/>
          <w:sz w:val="24"/>
          <w:szCs w:val="24"/>
        </w:rPr>
        <w:t>effectively</w:t>
      </w:r>
      <w:r w:rsidRPr="009119A7">
        <w:rPr>
          <w:rFonts w:ascii="Times New Roman" w:eastAsia="Times New Roman" w:hAnsi="Times New Roman" w:cs="Times New Roman"/>
          <w:sz w:val="24"/>
          <w:szCs w:val="24"/>
          <w:lang w:eastAsia="en-CA"/>
        </w:rPr>
        <w:t xml:space="preserve"> bridge the gap between the origins of the names of the carpal bones </w:t>
      </w:r>
      <w:r w:rsidRPr="009119A7">
        <w:rPr>
          <w:rFonts w:ascii="Times New Roman" w:hAnsi="Times New Roman" w:cs="Times New Roman"/>
        </w:rPr>
        <w:t>and</w:t>
      </w:r>
      <w:r w:rsidRPr="009119A7">
        <w:rPr>
          <w:rFonts w:ascii="Times New Roman" w:eastAsia="Times New Roman" w:hAnsi="Times New Roman" w:cs="Times New Roman"/>
          <w:sz w:val="24"/>
          <w:szCs w:val="24"/>
          <w:lang w:eastAsia="en-CA"/>
        </w:rPr>
        <w:t xml:space="preserve"> their structural anatom</w:t>
      </w:r>
      <w:r w:rsidR="00FA1E2D">
        <w:rPr>
          <w:rFonts w:ascii="Times New Roman" w:eastAsia="Times New Roman" w:hAnsi="Times New Roman" w:cs="Times New Roman"/>
          <w:sz w:val="24"/>
          <w:szCs w:val="24"/>
          <w:lang w:eastAsia="en-CA"/>
        </w:rPr>
        <w:t>ies</w:t>
      </w:r>
      <w:r w:rsidRPr="009119A7">
        <w:rPr>
          <w:rFonts w:ascii="Times New Roman" w:eastAsia="Times New Roman" w:hAnsi="Times New Roman" w:cs="Times New Roman"/>
          <w:sz w:val="24"/>
          <w:szCs w:val="24"/>
          <w:lang w:eastAsia="en-CA"/>
        </w:rPr>
        <w:t xml:space="preserve"> using a mobile application</w:t>
      </w:r>
      <w:r>
        <w:rPr>
          <w:rFonts w:ascii="Times New Roman" w:eastAsia="Times New Roman" w:hAnsi="Times New Roman" w:cs="Times New Roman"/>
          <w:sz w:val="24"/>
          <w:szCs w:val="24"/>
          <w:lang w:eastAsia="en-CA"/>
        </w:rPr>
        <w:t xml:space="preserve">, and </w:t>
      </w:r>
      <w:r w:rsidRPr="009119A7">
        <w:rPr>
          <w:rFonts w:ascii="Times New Roman" w:eastAsia="Times New Roman" w:hAnsi="Times New Roman" w:cs="Times New Roman"/>
          <w:sz w:val="24"/>
          <w:szCs w:val="24"/>
          <w:lang w:eastAsia="en-CA"/>
        </w:rPr>
        <w:t xml:space="preserve">to test whether the application will improve learning in medical students. It </w:t>
      </w:r>
      <w:r>
        <w:rPr>
          <w:rFonts w:ascii="Times New Roman" w:eastAsia="Times New Roman" w:hAnsi="Times New Roman" w:cs="Times New Roman"/>
          <w:sz w:val="24"/>
          <w:szCs w:val="24"/>
          <w:lang w:eastAsia="en-CA"/>
        </w:rPr>
        <w:t>wa</w:t>
      </w:r>
      <w:r w:rsidRPr="009119A7">
        <w:rPr>
          <w:rFonts w:ascii="Times New Roman" w:eastAsia="Times New Roman" w:hAnsi="Times New Roman" w:cs="Times New Roman"/>
          <w:sz w:val="24"/>
          <w:szCs w:val="24"/>
          <w:lang w:eastAsia="en-CA"/>
        </w:rPr>
        <w:t>s hypothesi</w:t>
      </w:r>
      <w:r>
        <w:rPr>
          <w:rFonts w:ascii="Times New Roman" w:eastAsia="Times New Roman" w:hAnsi="Times New Roman" w:cs="Times New Roman"/>
          <w:sz w:val="24"/>
          <w:szCs w:val="24"/>
          <w:lang w:eastAsia="en-CA"/>
        </w:rPr>
        <w:t>s</w:t>
      </w:r>
      <w:r w:rsidRPr="009119A7">
        <w:rPr>
          <w:rFonts w:ascii="Times New Roman" w:eastAsia="Times New Roman" w:hAnsi="Times New Roman" w:cs="Times New Roman"/>
          <w:sz w:val="24"/>
          <w:szCs w:val="24"/>
          <w:lang w:eastAsia="en-CA"/>
        </w:rPr>
        <w:t>ed that the creation of an application that provide</w:t>
      </w:r>
      <w:r>
        <w:rPr>
          <w:rFonts w:ascii="Times New Roman" w:eastAsia="Times New Roman" w:hAnsi="Times New Roman" w:cs="Times New Roman"/>
          <w:sz w:val="24"/>
          <w:szCs w:val="24"/>
          <w:lang w:eastAsia="en-CA"/>
        </w:rPr>
        <w:t>s</w:t>
      </w:r>
      <w:r w:rsidRPr="009119A7">
        <w:rPr>
          <w:rFonts w:ascii="Times New Roman" w:eastAsia="Times New Roman" w:hAnsi="Times New Roman" w:cs="Times New Roman"/>
          <w:sz w:val="24"/>
          <w:szCs w:val="24"/>
          <w:lang w:eastAsia="en-CA"/>
        </w:rPr>
        <w:t xml:space="preserve"> a visual link between the carpal bones and their etymologies w</w:t>
      </w:r>
      <w:r>
        <w:rPr>
          <w:rFonts w:ascii="Times New Roman" w:eastAsia="Times New Roman" w:hAnsi="Times New Roman" w:cs="Times New Roman"/>
          <w:sz w:val="24"/>
          <w:szCs w:val="24"/>
          <w:lang w:eastAsia="en-CA"/>
        </w:rPr>
        <w:t>ould</w:t>
      </w:r>
      <w:r w:rsidRPr="009119A7">
        <w:rPr>
          <w:rFonts w:ascii="Times New Roman" w:eastAsia="Times New Roman" w:hAnsi="Times New Roman" w:cs="Times New Roman"/>
          <w:sz w:val="24"/>
          <w:szCs w:val="24"/>
          <w:lang w:eastAsia="en-CA"/>
        </w:rPr>
        <w:t xml:space="preserve"> have a positive impact on learning and retention of knowledge of carpal bone anatomy. </w:t>
      </w:r>
    </w:p>
    <w:p w14:paraId="36B33FBE" w14:textId="6DC1A105" w:rsidR="00FD0DD9" w:rsidRPr="00C91F40" w:rsidRDefault="00FD0DD9" w:rsidP="009119A7">
      <w:pPr>
        <w:pStyle w:val="ListParagraph"/>
        <w:numPr>
          <w:ilvl w:val="1"/>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t>Research Questions</w:t>
      </w:r>
    </w:p>
    <w:p w14:paraId="15A123E2" w14:textId="0F3E23AB" w:rsidR="00FD0DD9" w:rsidRPr="00C91F40" w:rsidRDefault="00FD0DD9" w:rsidP="009119A7">
      <w:pPr>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The following questions were proposed prior to the start of testing, based on two main aspects: mobile application usability and usefulness.</w:t>
      </w:r>
    </w:p>
    <w:p w14:paraId="61EA4FFE" w14:textId="77777777" w:rsidR="00FD0DD9" w:rsidRPr="00C91F40" w:rsidRDefault="00FD0DD9" w:rsidP="009119A7">
      <w:pPr>
        <w:spacing w:line="360" w:lineRule="auto"/>
        <w:rPr>
          <w:rFonts w:ascii="Times New Roman" w:hAnsi="Times New Roman" w:cs="Times New Roman"/>
          <w:sz w:val="24"/>
          <w:szCs w:val="24"/>
        </w:rPr>
      </w:pPr>
      <w:r w:rsidRPr="00C91F40">
        <w:rPr>
          <w:rFonts w:ascii="Times New Roman" w:hAnsi="Times New Roman" w:cs="Times New Roman"/>
          <w:sz w:val="24"/>
          <w:szCs w:val="24"/>
        </w:rPr>
        <w:t>1.</w:t>
      </w:r>
      <w:r w:rsidRPr="00C91F40">
        <w:rPr>
          <w:rFonts w:ascii="Times New Roman" w:hAnsi="Times New Roman" w:cs="Times New Roman"/>
          <w:sz w:val="24"/>
          <w:szCs w:val="24"/>
        </w:rPr>
        <w:tab/>
        <w:t>Is the mobile application entertaining and easy to use?</w:t>
      </w:r>
    </w:p>
    <w:p w14:paraId="1E481D9B" w14:textId="1B98318D" w:rsidR="00FD0DD9" w:rsidRPr="009119A7" w:rsidRDefault="00FD0DD9" w:rsidP="009119A7">
      <w:pPr>
        <w:spacing w:line="360" w:lineRule="auto"/>
        <w:rPr>
          <w:rFonts w:ascii="Times New Roman" w:hAnsi="Times New Roman" w:cs="Times New Roman"/>
          <w:sz w:val="24"/>
          <w:szCs w:val="24"/>
        </w:rPr>
      </w:pPr>
      <w:r w:rsidRPr="00C91F40">
        <w:rPr>
          <w:rFonts w:ascii="Times New Roman" w:hAnsi="Times New Roman" w:cs="Times New Roman"/>
          <w:sz w:val="24"/>
          <w:szCs w:val="24"/>
        </w:rPr>
        <w:t>2.</w:t>
      </w:r>
      <w:r w:rsidRPr="00C91F40">
        <w:rPr>
          <w:rFonts w:ascii="Times New Roman" w:hAnsi="Times New Roman" w:cs="Times New Roman"/>
          <w:sz w:val="24"/>
          <w:szCs w:val="24"/>
        </w:rPr>
        <w:tab/>
        <w:t>Does the mobile application help medical students learn carpal bone anatomy?</w:t>
      </w:r>
    </w:p>
    <w:p w14:paraId="549645EC" w14:textId="7DDA6EB2" w:rsidR="000C4F5F" w:rsidRPr="00C91F40" w:rsidRDefault="000C4F5F" w:rsidP="009119A7">
      <w:pPr>
        <w:pStyle w:val="Heading1"/>
        <w:numPr>
          <w:ilvl w:val="0"/>
          <w:numId w:val="3"/>
        </w:numPr>
        <w:spacing w:line="360" w:lineRule="auto"/>
        <w:rPr>
          <w:rFonts w:ascii="Times New Roman" w:hAnsi="Times New Roman" w:cs="Times New Roman"/>
          <w:color w:val="auto"/>
          <w:sz w:val="24"/>
          <w:szCs w:val="24"/>
        </w:rPr>
      </w:pPr>
      <w:r w:rsidRPr="00C91F40">
        <w:rPr>
          <w:rFonts w:ascii="Times New Roman" w:hAnsi="Times New Roman" w:cs="Times New Roman"/>
          <w:color w:val="auto"/>
          <w:sz w:val="24"/>
          <w:szCs w:val="24"/>
        </w:rPr>
        <w:t>Materials and Methods</w:t>
      </w:r>
    </w:p>
    <w:p w14:paraId="240558FC" w14:textId="77777777" w:rsidR="000C4F5F" w:rsidRPr="00C91F40" w:rsidRDefault="000C4F5F" w:rsidP="009119A7">
      <w:pPr>
        <w:pStyle w:val="ListParagraph"/>
        <w:numPr>
          <w:ilvl w:val="1"/>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t>Materials</w:t>
      </w:r>
    </w:p>
    <w:commentRangeStart w:id="4"/>
    <w:commentRangeEnd w:id="4"/>
    <w:p w14:paraId="7C3384C0" w14:textId="4D2C1BB1" w:rsidR="000C4F5F" w:rsidRDefault="001743CD" w:rsidP="009119A7">
      <w:pPr>
        <w:keepNext/>
        <w:spacing w:line="360" w:lineRule="auto"/>
        <w:ind w:firstLine="72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_Ref63936425 \h </w:instrText>
      </w:r>
      <w:r>
        <w:rPr>
          <w:rFonts w:ascii="Times New Roman" w:hAnsi="Times New Roman" w:cs="Times New Roman"/>
          <w:sz w:val="24"/>
          <w:szCs w:val="24"/>
        </w:rPr>
      </w:r>
      <w:r>
        <w:rPr>
          <w:rFonts w:ascii="Times New Roman" w:hAnsi="Times New Roman" w:cs="Times New Roman"/>
          <w:sz w:val="24"/>
          <w:szCs w:val="24"/>
        </w:rPr>
        <w:fldChar w:fldCharType="separate"/>
      </w:r>
      <w:r>
        <w:t xml:space="preserve">Table </w:t>
      </w:r>
      <w:r>
        <w:rPr>
          <w:noProof/>
        </w:rPr>
        <w:t>1</w:t>
      </w:r>
      <w:r>
        <w:rPr>
          <w:rFonts w:ascii="Times New Roman" w:hAnsi="Times New Roman" w:cs="Times New Roman"/>
          <w:sz w:val="24"/>
          <w:szCs w:val="24"/>
        </w:rPr>
        <w:fldChar w:fldCharType="end"/>
      </w:r>
      <w:r w:rsidRPr="00C91F40">
        <w:rPr>
          <w:rFonts w:ascii="Times New Roman" w:hAnsi="Times New Roman" w:cs="Times New Roman"/>
          <w:sz w:val="24"/>
          <w:szCs w:val="24"/>
        </w:rPr>
        <w:t xml:space="preserve"> </w:t>
      </w:r>
      <w:r w:rsidR="000C4F5F" w:rsidRPr="00C91F40">
        <w:rPr>
          <w:rFonts w:ascii="Times New Roman" w:hAnsi="Times New Roman" w:cs="Times New Roman"/>
          <w:sz w:val="24"/>
          <w:szCs w:val="24"/>
        </w:rPr>
        <w:t>lists all the software, hardware, data and resources used to create and develop the mobile application used in this research study. The purpose of use for each, and the publishers or source of each, are provided in the corresponding columns and rows.</w:t>
      </w:r>
    </w:p>
    <w:p w14:paraId="5F78A558" w14:textId="4ECAC7F6" w:rsidR="000C4F5F" w:rsidRDefault="000C4F5F" w:rsidP="009119A7">
      <w:pPr>
        <w:pStyle w:val="Caption"/>
        <w:keepNext/>
        <w:spacing w:line="360" w:lineRule="auto"/>
      </w:pPr>
      <w:bookmarkStart w:id="5" w:name="_Ref63936425"/>
      <w:bookmarkStart w:id="6" w:name="_Ref63936386"/>
      <w:r>
        <w:t xml:space="preserve">Table </w:t>
      </w:r>
      <w:fldSimple w:instr=" SEQ Table \* ARABIC ">
        <w:r w:rsidR="001D38D7">
          <w:rPr>
            <w:noProof/>
          </w:rPr>
          <w:t>1</w:t>
        </w:r>
      </w:fldSimple>
      <w:bookmarkEnd w:id="5"/>
      <w:r w:rsidRPr="00070598">
        <w:t xml:space="preserve">: List of </w:t>
      </w:r>
      <w:r>
        <w:t>s</w:t>
      </w:r>
      <w:r w:rsidRPr="00070598">
        <w:t xml:space="preserve">oftware, </w:t>
      </w:r>
      <w:r>
        <w:t>h</w:t>
      </w:r>
      <w:r w:rsidRPr="00070598">
        <w:t xml:space="preserve">ardware, and </w:t>
      </w:r>
      <w:r>
        <w:t>d</w:t>
      </w:r>
      <w:r w:rsidRPr="00070598">
        <w:t xml:space="preserve">ata </w:t>
      </w:r>
      <w:r>
        <w:t>u</w:t>
      </w:r>
      <w:r w:rsidRPr="00070598">
        <w:t xml:space="preserve">sed for this </w:t>
      </w:r>
      <w:r>
        <w:t>research project</w:t>
      </w:r>
      <w:bookmarkEnd w:id="6"/>
    </w:p>
    <w:tbl>
      <w:tblPr>
        <w:tblStyle w:val="TableGrid"/>
        <w:tblW w:w="8633" w:type="dxa"/>
        <w:tblInd w:w="576" w:type="dxa"/>
        <w:tblLayout w:type="fixed"/>
        <w:tblLook w:val="04A0" w:firstRow="1" w:lastRow="0" w:firstColumn="1" w:lastColumn="0" w:noHBand="0" w:noVBand="1"/>
      </w:tblPr>
      <w:tblGrid>
        <w:gridCol w:w="2419"/>
        <w:gridCol w:w="3237"/>
        <w:gridCol w:w="2977"/>
      </w:tblGrid>
      <w:tr w:rsidR="000C4F5F" w:rsidRPr="00F559A0" w14:paraId="1E6DF081" w14:textId="77777777" w:rsidTr="003E20CB">
        <w:tc>
          <w:tcPr>
            <w:tcW w:w="2419" w:type="dxa"/>
            <w:tcBorders>
              <w:top w:val="nil"/>
              <w:left w:val="nil"/>
              <w:bottom w:val="nil"/>
              <w:right w:val="nil"/>
            </w:tcBorders>
            <w:shd w:val="clear" w:color="auto" w:fill="88BAFF"/>
          </w:tcPr>
          <w:p w14:paraId="326C1AE1" w14:textId="77777777" w:rsidR="000C4F5F" w:rsidRPr="00F559A0" w:rsidRDefault="000C4F5F" w:rsidP="009119A7">
            <w:pPr>
              <w:spacing w:line="360" w:lineRule="auto"/>
              <w:jc w:val="center"/>
              <w:rPr>
                <w:sz w:val="28"/>
                <w:szCs w:val="28"/>
              </w:rPr>
            </w:pPr>
            <w:r w:rsidRPr="00F559A0">
              <w:rPr>
                <w:sz w:val="28"/>
                <w:szCs w:val="28"/>
              </w:rPr>
              <w:t>Software</w:t>
            </w:r>
          </w:p>
        </w:tc>
        <w:tc>
          <w:tcPr>
            <w:tcW w:w="3237" w:type="dxa"/>
            <w:tcBorders>
              <w:top w:val="nil"/>
              <w:left w:val="nil"/>
              <w:bottom w:val="nil"/>
              <w:right w:val="nil"/>
            </w:tcBorders>
            <w:shd w:val="clear" w:color="auto" w:fill="88BAFF"/>
          </w:tcPr>
          <w:p w14:paraId="784FF184" w14:textId="77777777" w:rsidR="000C4F5F" w:rsidRPr="00F559A0" w:rsidRDefault="000C4F5F" w:rsidP="009119A7">
            <w:pPr>
              <w:spacing w:line="360" w:lineRule="auto"/>
              <w:rPr>
                <w:sz w:val="28"/>
                <w:szCs w:val="28"/>
              </w:rPr>
            </w:pPr>
            <w:r w:rsidRPr="00F559A0">
              <w:rPr>
                <w:sz w:val="28"/>
                <w:szCs w:val="28"/>
              </w:rPr>
              <w:t xml:space="preserve">Purpose </w:t>
            </w:r>
          </w:p>
        </w:tc>
        <w:tc>
          <w:tcPr>
            <w:tcW w:w="2977" w:type="dxa"/>
            <w:tcBorders>
              <w:top w:val="nil"/>
              <w:left w:val="nil"/>
              <w:bottom w:val="nil"/>
              <w:right w:val="nil"/>
            </w:tcBorders>
            <w:shd w:val="clear" w:color="auto" w:fill="88BAFF"/>
          </w:tcPr>
          <w:p w14:paraId="2DF1559B" w14:textId="77777777" w:rsidR="000C4F5F" w:rsidRPr="00F559A0" w:rsidRDefault="000C4F5F" w:rsidP="009119A7">
            <w:pPr>
              <w:spacing w:line="360" w:lineRule="auto"/>
              <w:rPr>
                <w:sz w:val="28"/>
                <w:szCs w:val="28"/>
              </w:rPr>
            </w:pPr>
            <w:r w:rsidRPr="00F559A0">
              <w:rPr>
                <w:sz w:val="28"/>
                <w:szCs w:val="28"/>
              </w:rPr>
              <w:t>Publisher</w:t>
            </w:r>
          </w:p>
        </w:tc>
      </w:tr>
      <w:tr w:rsidR="000C4F5F" w:rsidRPr="00F559A0" w14:paraId="748606DF" w14:textId="77777777" w:rsidTr="003E20CB">
        <w:tc>
          <w:tcPr>
            <w:tcW w:w="2419" w:type="dxa"/>
            <w:tcBorders>
              <w:top w:val="nil"/>
              <w:left w:val="nil"/>
              <w:bottom w:val="single" w:sz="4" w:space="0" w:color="auto"/>
              <w:right w:val="nil"/>
            </w:tcBorders>
            <w:shd w:val="clear" w:color="auto" w:fill="auto"/>
          </w:tcPr>
          <w:p w14:paraId="7AB04C7E" w14:textId="77777777" w:rsidR="000C4F5F" w:rsidRPr="00F559A0" w:rsidRDefault="000C4F5F" w:rsidP="009119A7">
            <w:pPr>
              <w:spacing w:line="360" w:lineRule="auto"/>
              <w:jc w:val="center"/>
            </w:pPr>
            <w:r w:rsidRPr="00F559A0">
              <w:t>Slicer</w:t>
            </w:r>
          </w:p>
          <w:p w14:paraId="5873707D" w14:textId="77777777" w:rsidR="000C4F5F" w:rsidRPr="00F559A0" w:rsidRDefault="000C4F5F" w:rsidP="009119A7">
            <w:pPr>
              <w:spacing w:line="360" w:lineRule="auto"/>
              <w:jc w:val="center"/>
            </w:pPr>
            <w:r w:rsidRPr="00F559A0">
              <w:rPr>
                <w:rFonts w:cstheme="minorHAnsi"/>
                <w:noProof/>
                <w:lang w:val="en-GB" w:eastAsia="en-GB"/>
              </w:rPr>
              <w:drawing>
                <wp:inline distT="0" distB="0" distL="0" distR="0" wp14:anchorId="1306651A" wp14:editId="776153E2">
                  <wp:extent cx="1216478" cy="1165409"/>
                  <wp:effectExtent l="0" t="0" r="3175" b="3175"/>
                  <wp:docPr id="9" name="Picture 9" descr="A picture containing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DSlicerLogo-V-Color-2300x25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6478" cy="1165409"/>
                          </a:xfrm>
                          <a:prstGeom prst="rect">
                            <a:avLst/>
                          </a:prstGeom>
                        </pic:spPr>
                      </pic:pic>
                    </a:graphicData>
                  </a:graphic>
                </wp:inline>
              </w:drawing>
            </w:r>
          </w:p>
        </w:tc>
        <w:tc>
          <w:tcPr>
            <w:tcW w:w="3237" w:type="dxa"/>
            <w:tcBorders>
              <w:top w:val="nil"/>
              <w:left w:val="nil"/>
              <w:bottom w:val="single" w:sz="4" w:space="0" w:color="auto"/>
              <w:right w:val="nil"/>
            </w:tcBorders>
            <w:shd w:val="clear" w:color="auto" w:fill="auto"/>
          </w:tcPr>
          <w:p w14:paraId="5FAF48D8" w14:textId="77777777" w:rsidR="000C4F5F" w:rsidRPr="00F559A0" w:rsidRDefault="000C4F5F" w:rsidP="009119A7">
            <w:pPr>
              <w:spacing w:line="360" w:lineRule="auto"/>
            </w:pPr>
            <w:r w:rsidRPr="00F559A0">
              <w:t>3D visualisation and manual segmentation of medical imaging data</w:t>
            </w:r>
          </w:p>
        </w:tc>
        <w:tc>
          <w:tcPr>
            <w:tcW w:w="2977" w:type="dxa"/>
            <w:tcBorders>
              <w:top w:val="nil"/>
              <w:left w:val="nil"/>
              <w:bottom w:val="single" w:sz="4" w:space="0" w:color="auto"/>
              <w:right w:val="nil"/>
            </w:tcBorders>
            <w:shd w:val="clear" w:color="auto" w:fill="auto"/>
          </w:tcPr>
          <w:p w14:paraId="628A73B6" w14:textId="77777777" w:rsidR="000C4F5F" w:rsidRPr="00F559A0" w:rsidRDefault="000C4F5F" w:rsidP="009119A7">
            <w:pPr>
              <w:spacing w:line="360" w:lineRule="auto"/>
            </w:pPr>
            <w:r w:rsidRPr="00F559A0">
              <w:t>Open source platform from BWH and 3D Slicer contributors (BWH, 2019) Available at: www.slicer.org</w:t>
            </w:r>
          </w:p>
        </w:tc>
      </w:tr>
      <w:tr w:rsidR="000C4F5F" w:rsidRPr="00F559A0" w14:paraId="3CA007F7" w14:textId="77777777" w:rsidTr="003E20CB">
        <w:tc>
          <w:tcPr>
            <w:tcW w:w="2419" w:type="dxa"/>
            <w:tcBorders>
              <w:top w:val="single" w:sz="4" w:space="0" w:color="auto"/>
              <w:left w:val="nil"/>
              <w:bottom w:val="single" w:sz="4" w:space="0" w:color="auto"/>
              <w:right w:val="nil"/>
            </w:tcBorders>
            <w:shd w:val="clear" w:color="auto" w:fill="auto"/>
          </w:tcPr>
          <w:p w14:paraId="54C29F95" w14:textId="77777777" w:rsidR="000C4F5F" w:rsidRPr="00F559A0" w:rsidRDefault="000C4F5F" w:rsidP="009119A7">
            <w:pPr>
              <w:spacing w:line="360" w:lineRule="auto"/>
              <w:jc w:val="center"/>
            </w:pPr>
            <w:r w:rsidRPr="00F559A0">
              <w:lastRenderedPageBreak/>
              <w:t>Autodesk 3DS Max</w:t>
            </w:r>
          </w:p>
          <w:p w14:paraId="4970F9A9" w14:textId="77777777" w:rsidR="000C4F5F" w:rsidRPr="00F559A0" w:rsidRDefault="000C4F5F" w:rsidP="009119A7">
            <w:pPr>
              <w:spacing w:line="360" w:lineRule="auto"/>
              <w:jc w:val="center"/>
            </w:pPr>
            <w:r w:rsidRPr="00F559A0">
              <w:rPr>
                <w:rFonts w:cstheme="minorHAnsi"/>
                <w:noProof/>
                <w:lang w:val="en-GB" w:eastAsia="en-GB"/>
              </w:rPr>
              <w:drawing>
                <wp:inline distT="0" distB="0" distL="0" distR="0" wp14:anchorId="6BDC0334" wp14:editId="7273D6B3">
                  <wp:extent cx="700405" cy="700405"/>
                  <wp:effectExtent l="0" t="0" r="4445" b="4445"/>
                  <wp:docPr id="17" name="Picture 17" descr="A close up of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ds_max_ic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9841" cy="709841"/>
                          </a:xfrm>
                          <a:prstGeom prst="rect">
                            <a:avLst/>
                          </a:prstGeom>
                        </pic:spPr>
                      </pic:pic>
                    </a:graphicData>
                  </a:graphic>
                </wp:inline>
              </w:drawing>
            </w:r>
          </w:p>
        </w:tc>
        <w:tc>
          <w:tcPr>
            <w:tcW w:w="3237" w:type="dxa"/>
            <w:tcBorders>
              <w:top w:val="single" w:sz="4" w:space="0" w:color="auto"/>
              <w:left w:val="nil"/>
              <w:bottom w:val="single" w:sz="4" w:space="0" w:color="auto"/>
              <w:right w:val="nil"/>
            </w:tcBorders>
            <w:shd w:val="clear" w:color="auto" w:fill="auto"/>
          </w:tcPr>
          <w:p w14:paraId="0E269CC4" w14:textId="77777777" w:rsidR="000C4F5F" w:rsidRPr="00F559A0" w:rsidRDefault="000C4F5F" w:rsidP="009119A7">
            <w:pPr>
              <w:spacing w:line="360" w:lineRule="auto"/>
            </w:pPr>
            <w:r w:rsidRPr="00F559A0">
              <w:t>3D modelling software used to cap holes in mesh after retopologizing in Mudbox</w:t>
            </w:r>
          </w:p>
        </w:tc>
        <w:tc>
          <w:tcPr>
            <w:tcW w:w="2977" w:type="dxa"/>
            <w:tcBorders>
              <w:top w:val="single" w:sz="4" w:space="0" w:color="auto"/>
              <w:left w:val="nil"/>
              <w:bottom w:val="single" w:sz="4" w:space="0" w:color="auto"/>
              <w:right w:val="nil"/>
            </w:tcBorders>
            <w:shd w:val="clear" w:color="auto" w:fill="auto"/>
          </w:tcPr>
          <w:p w14:paraId="7A58D2E8" w14:textId="77777777" w:rsidR="000C4F5F" w:rsidRPr="00F559A0" w:rsidRDefault="000C4F5F" w:rsidP="009119A7">
            <w:pPr>
              <w:spacing w:line="360" w:lineRule="auto"/>
            </w:pPr>
            <w:r w:rsidRPr="00F559A0">
              <w:t>Autodesk, Inc., New York, USA (Autodesk, 2019)</w:t>
            </w:r>
          </w:p>
        </w:tc>
      </w:tr>
      <w:tr w:rsidR="000C4F5F" w:rsidRPr="00F559A0" w14:paraId="41B3B0F1" w14:textId="77777777" w:rsidTr="003E20CB">
        <w:tc>
          <w:tcPr>
            <w:tcW w:w="2419" w:type="dxa"/>
            <w:tcBorders>
              <w:top w:val="single" w:sz="4" w:space="0" w:color="auto"/>
              <w:left w:val="nil"/>
              <w:bottom w:val="single" w:sz="4" w:space="0" w:color="auto"/>
              <w:right w:val="nil"/>
            </w:tcBorders>
            <w:shd w:val="clear" w:color="auto" w:fill="auto"/>
          </w:tcPr>
          <w:p w14:paraId="625E67F8" w14:textId="77777777" w:rsidR="000C4F5F" w:rsidRPr="00F559A0" w:rsidRDefault="000C4F5F" w:rsidP="009119A7">
            <w:pPr>
              <w:spacing w:line="360" w:lineRule="auto"/>
              <w:jc w:val="center"/>
            </w:pPr>
            <w:r w:rsidRPr="00F559A0">
              <w:t>Autodesk Mudbox</w:t>
            </w:r>
          </w:p>
          <w:p w14:paraId="5AC77BBF" w14:textId="77777777" w:rsidR="000C4F5F" w:rsidRPr="00F559A0" w:rsidRDefault="000C4F5F" w:rsidP="009119A7">
            <w:pPr>
              <w:spacing w:line="360" w:lineRule="auto"/>
              <w:jc w:val="center"/>
            </w:pPr>
            <w:r w:rsidRPr="00F559A0">
              <w:rPr>
                <w:noProof/>
                <w:lang w:val="en-GB" w:eastAsia="en-GB"/>
              </w:rPr>
              <w:drawing>
                <wp:inline distT="0" distB="0" distL="0" distR="0" wp14:anchorId="6100981F" wp14:editId="6ED8CA48">
                  <wp:extent cx="681355" cy="681355"/>
                  <wp:effectExtent l="0" t="0" r="4445" b="4445"/>
                  <wp:docPr id="11" name="Picture 11" descr="Autodesk Mudbox (@AutodeskMudbox)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desk Mudbox (@AutodeskMudbox) | Twitt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1355" cy="681355"/>
                          </a:xfrm>
                          <a:prstGeom prst="rect">
                            <a:avLst/>
                          </a:prstGeom>
                          <a:noFill/>
                          <a:ln>
                            <a:noFill/>
                          </a:ln>
                        </pic:spPr>
                      </pic:pic>
                    </a:graphicData>
                  </a:graphic>
                </wp:inline>
              </w:drawing>
            </w:r>
          </w:p>
        </w:tc>
        <w:tc>
          <w:tcPr>
            <w:tcW w:w="3237" w:type="dxa"/>
            <w:tcBorders>
              <w:top w:val="single" w:sz="4" w:space="0" w:color="auto"/>
              <w:left w:val="nil"/>
              <w:bottom w:val="single" w:sz="4" w:space="0" w:color="auto"/>
              <w:right w:val="nil"/>
            </w:tcBorders>
            <w:shd w:val="clear" w:color="auto" w:fill="auto"/>
          </w:tcPr>
          <w:p w14:paraId="31E32262" w14:textId="77777777" w:rsidR="000C4F5F" w:rsidRPr="00F559A0" w:rsidRDefault="000C4F5F" w:rsidP="009119A7">
            <w:pPr>
              <w:spacing w:line="360" w:lineRule="auto"/>
            </w:pPr>
            <w:r w:rsidRPr="00F559A0">
              <w:t xml:space="preserve">Organic 3D sculpting software used for separating imported bones from Slicer, model refinement, capping holes in mesh, and retopologizing models </w:t>
            </w:r>
          </w:p>
        </w:tc>
        <w:tc>
          <w:tcPr>
            <w:tcW w:w="2977" w:type="dxa"/>
            <w:tcBorders>
              <w:top w:val="single" w:sz="4" w:space="0" w:color="auto"/>
              <w:left w:val="nil"/>
              <w:bottom w:val="single" w:sz="4" w:space="0" w:color="auto"/>
              <w:right w:val="nil"/>
            </w:tcBorders>
            <w:shd w:val="clear" w:color="auto" w:fill="auto"/>
          </w:tcPr>
          <w:p w14:paraId="71AAD4D4" w14:textId="77777777" w:rsidR="000C4F5F" w:rsidRPr="00F559A0" w:rsidRDefault="000C4F5F" w:rsidP="009119A7">
            <w:pPr>
              <w:spacing w:line="360" w:lineRule="auto"/>
            </w:pPr>
            <w:r w:rsidRPr="00F559A0">
              <w:t>Autodesk, Inc., New York, USA (Autodesk, 2019)</w:t>
            </w:r>
          </w:p>
        </w:tc>
      </w:tr>
      <w:tr w:rsidR="000C4F5F" w:rsidRPr="00F559A0" w14:paraId="19D68789" w14:textId="77777777" w:rsidTr="003E20CB">
        <w:tc>
          <w:tcPr>
            <w:tcW w:w="2419" w:type="dxa"/>
            <w:tcBorders>
              <w:top w:val="single" w:sz="4" w:space="0" w:color="auto"/>
              <w:left w:val="nil"/>
              <w:bottom w:val="single" w:sz="4" w:space="0" w:color="auto"/>
              <w:right w:val="nil"/>
            </w:tcBorders>
            <w:shd w:val="clear" w:color="auto" w:fill="auto"/>
          </w:tcPr>
          <w:p w14:paraId="2597E4FE" w14:textId="77777777" w:rsidR="000C4F5F" w:rsidRPr="00F559A0" w:rsidRDefault="000C4F5F" w:rsidP="009119A7">
            <w:pPr>
              <w:spacing w:line="360" w:lineRule="auto"/>
              <w:jc w:val="center"/>
            </w:pPr>
            <w:r w:rsidRPr="00F559A0">
              <w:t>Unity</w:t>
            </w:r>
          </w:p>
          <w:p w14:paraId="4F38BD23" w14:textId="77777777" w:rsidR="000C4F5F" w:rsidRPr="00F559A0" w:rsidRDefault="000C4F5F" w:rsidP="009119A7">
            <w:pPr>
              <w:spacing w:line="360" w:lineRule="auto"/>
              <w:jc w:val="center"/>
            </w:pPr>
            <w:r w:rsidRPr="00F559A0">
              <w:rPr>
                <w:rFonts w:cstheme="minorHAnsi"/>
                <w:noProof/>
                <w:lang w:val="en-GB" w:eastAsia="en-GB"/>
              </w:rPr>
              <w:drawing>
                <wp:inline distT="0" distB="0" distL="0" distR="0" wp14:anchorId="0DD51103" wp14:editId="41FA6673">
                  <wp:extent cx="1372087" cy="497393"/>
                  <wp:effectExtent l="0" t="0" r="0" b="0"/>
                  <wp:docPr id="2" name="Picture 2" descr="A sign lit up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80px-Unity_Technologies_logo.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4736" cy="523729"/>
                          </a:xfrm>
                          <a:prstGeom prst="rect">
                            <a:avLst/>
                          </a:prstGeom>
                        </pic:spPr>
                      </pic:pic>
                    </a:graphicData>
                  </a:graphic>
                </wp:inline>
              </w:drawing>
            </w:r>
          </w:p>
        </w:tc>
        <w:tc>
          <w:tcPr>
            <w:tcW w:w="3237" w:type="dxa"/>
            <w:tcBorders>
              <w:top w:val="single" w:sz="4" w:space="0" w:color="auto"/>
              <w:left w:val="nil"/>
              <w:bottom w:val="single" w:sz="4" w:space="0" w:color="auto"/>
              <w:right w:val="nil"/>
            </w:tcBorders>
            <w:shd w:val="clear" w:color="auto" w:fill="auto"/>
          </w:tcPr>
          <w:p w14:paraId="4EBCD1E3" w14:textId="77777777" w:rsidR="000C4F5F" w:rsidRPr="00F559A0" w:rsidRDefault="000C4F5F" w:rsidP="009119A7">
            <w:pPr>
              <w:spacing w:line="360" w:lineRule="auto"/>
            </w:pPr>
            <w:r w:rsidRPr="00F559A0">
              <w:t>Games and app development engine</w:t>
            </w:r>
          </w:p>
        </w:tc>
        <w:tc>
          <w:tcPr>
            <w:tcW w:w="2977" w:type="dxa"/>
            <w:tcBorders>
              <w:top w:val="single" w:sz="4" w:space="0" w:color="auto"/>
              <w:left w:val="nil"/>
              <w:bottom w:val="single" w:sz="4" w:space="0" w:color="auto"/>
              <w:right w:val="nil"/>
            </w:tcBorders>
            <w:shd w:val="clear" w:color="auto" w:fill="auto"/>
          </w:tcPr>
          <w:p w14:paraId="3CCCDA11" w14:textId="77777777" w:rsidR="000C4F5F" w:rsidRPr="00F559A0" w:rsidRDefault="000C4F5F" w:rsidP="009119A7">
            <w:pPr>
              <w:spacing w:line="360" w:lineRule="auto"/>
            </w:pPr>
            <w:r w:rsidRPr="00F559A0">
              <w:t>Unity Technologies, California, USA (UnityTechnologies, 2019) Available at: unity3d.com</w:t>
            </w:r>
          </w:p>
        </w:tc>
      </w:tr>
      <w:tr w:rsidR="000C4F5F" w:rsidRPr="00F559A0" w14:paraId="7F80214A" w14:textId="77777777" w:rsidTr="003E20CB">
        <w:tc>
          <w:tcPr>
            <w:tcW w:w="2419" w:type="dxa"/>
            <w:tcBorders>
              <w:top w:val="single" w:sz="4" w:space="0" w:color="auto"/>
              <w:left w:val="nil"/>
              <w:bottom w:val="single" w:sz="4" w:space="0" w:color="auto"/>
              <w:right w:val="nil"/>
            </w:tcBorders>
            <w:shd w:val="clear" w:color="auto" w:fill="auto"/>
          </w:tcPr>
          <w:p w14:paraId="561A3F93" w14:textId="77777777" w:rsidR="000C4F5F" w:rsidRPr="00F559A0" w:rsidRDefault="000C4F5F" w:rsidP="009119A7">
            <w:pPr>
              <w:spacing w:line="360" w:lineRule="auto"/>
              <w:jc w:val="center"/>
            </w:pPr>
            <w:r w:rsidRPr="00F559A0">
              <w:t>Visual Studio</w:t>
            </w:r>
            <w:r w:rsidRPr="00F559A0">
              <w:rPr>
                <w:rFonts w:cstheme="minorHAnsi"/>
                <w:noProof/>
                <w:lang w:val="en-GB" w:eastAsia="en-GB"/>
              </w:rPr>
              <w:drawing>
                <wp:inline distT="0" distB="0" distL="0" distR="0" wp14:anchorId="3E3912C2" wp14:editId="2E91732C">
                  <wp:extent cx="1328980" cy="559240"/>
                  <wp:effectExtent l="0" t="0" r="5080" b="0"/>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27 at 6.49.57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5956" cy="579008"/>
                          </a:xfrm>
                          <a:prstGeom prst="rect">
                            <a:avLst/>
                          </a:prstGeom>
                        </pic:spPr>
                      </pic:pic>
                    </a:graphicData>
                  </a:graphic>
                </wp:inline>
              </w:drawing>
            </w:r>
          </w:p>
        </w:tc>
        <w:tc>
          <w:tcPr>
            <w:tcW w:w="3237" w:type="dxa"/>
            <w:tcBorders>
              <w:top w:val="single" w:sz="4" w:space="0" w:color="auto"/>
              <w:left w:val="nil"/>
              <w:bottom w:val="single" w:sz="4" w:space="0" w:color="auto"/>
              <w:right w:val="nil"/>
            </w:tcBorders>
            <w:shd w:val="clear" w:color="auto" w:fill="auto"/>
          </w:tcPr>
          <w:p w14:paraId="4805DC12" w14:textId="77777777" w:rsidR="000C4F5F" w:rsidRPr="00F559A0" w:rsidRDefault="000C4F5F" w:rsidP="009119A7">
            <w:pPr>
              <w:spacing w:line="360" w:lineRule="auto"/>
            </w:pPr>
            <w:r w:rsidRPr="00F559A0">
              <w:t>C# scripting platform in collaboration with the Unity game engine</w:t>
            </w:r>
          </w:p>
        </w:tc>
        <w:tc>
          <w:tcPr>
            <w:tcW w:w="2977" w:type="dxa"/>
            <w:tcBorders>
              <w:top w:val="single" w:sz="4" w:space="0" w:color="auto"/>
              <w:left w:val="nil"/>
              <w:bottom w:val="single" w:sz="4" w:space="0" w:color="auto"/>
              <w:right w:val="nil"/>
            </w:tcBorders>
            <w:shd w:val="clear" w:color="auto" w:fill="auto"/>
          </w:tcPr>
          <w:p w14:paraId="23D86712" w14:textId="77777777" w:rsidR="000C4F5F" w:rsidRPr="00F559A0" w:rsidRDefault="000C4F5F" w:rsidP="009119A7">
            <w:pPr>
              <w:spacing w:line="360" w:lineRule="auto"/>
            </w:pPr>
            <w:r w:rsidRPr="00F559A0">
              <w:t>Microsoft; California, USA (Microsoft, 2019)</w:t>
            </w:r>
          </w:p>
          <w:p w14:paraId="3FF6F0C9" w14:textId="77777777" w:rsidR="000C4F5F" w:rsidRPr="00F559A0" w:rsidRDefault="000C4F5F" w:rsidP="009119A7">
            <w:pPr>
              <w:spacing w:line="360" w:lineRule="auto"/>
            </w:pPr>
            <w:r w:rsidRPr="00F559A0">
              <w:t xml:space="preserve">Available at:  </w:t>
            </w:r>
            <w:r w:rsidRPr="00F559A0">
              <w:rPr>
                <w:rFonts w:cstheme="minorHAnsi"/>
              </w:rPr>
              <w:t>https://visualstudio.microsoft.com</w:t>
            </w:r>
          </w:p>
        </w:tc>
      </w:tr>
      <w:tr w:rsidR="000C4F5F" w:rsidRPr="000D0DB1" w14:paraId="07C5AD39" w14:textId="77777777" w:rsidTr="003E20CB">
        <w:tc>
          <w:tcPr>
            <w:tcW w:w="2419" w:type="dxa"/>
            <w:tcBorders>
              <w:top w:val="single" w:sz="4" w:space="0" w:color="auto"/>
              <w:left w:val="nil"/>
              <w:bottom w:val="single" w:sz="4" w:space="0" w:color="auto"/>
              <w:right w:val="nil"/>
            </w:tcBorders>
            <w:shd w:val="clear" w:color="auto" w:fill="auto"/>
          </w:tcPr>
          <w:p w14:paraId="7189FEA7" w14:textId="77777777" w:rsidR="000C4F5F" w:rsidRPr="00F559A0" w:rsidRDefault="000C4F5F" w:rsidP="009119A7">
            <w:pPr>
              <w:spacing w:line="360" w:lineRule="auto"/>
              <w:jc w:val="center"/>
            </w:pPr>
            <w:r w:rsidRPr="00F559A0">
              <w:t>Adobe Photoshop</w:t>
            </w:r>
          </w:p>
          <w:p w14:paraId="55FB46BA" w14:textId="77777777" w:rsidR="000C4F5F" w:rsidRPr="00F559A0" w:rsidRDefault="000C4F5F" w:rsidP="009119A7">
            <w:pPr>
              <w:spacing w:line="360" w:lineRule="auto"/>
              <w:jc w:val="center"/>
            </w:pPr>
            <w:r w:rsidRPr="00F559A0">
              <w:rPr>
                <w:rFonts w:cstheme="minorHAnsi"/>
                <w:noProof/>
                <w:lang w:val="en-GB" w:eastAsia="en-GB"/>
              </w:rPr>
              <w:drawing>
                <wp:inline distT="0" distB="0" distL="0" distR="0" wp14:anchorId="1CFC1888" wp14:editId="0E45E011">
                  <wp:extent cx="811098" cy="790575"/>
                  <wp:effectExtent l="0" t="0" r="8255"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shop-logo-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3742" cy="822393"/>
                          </a:xfrm>
                          <a:prstGeom prst="rect">
                            <a:avLst/>
                          </a:prstGeom>
                        </pic:spPr>
                      </pic:pic>
                    </a:graphicData>
                  </a:graphic>
                </wp:inline>
              </w:drawing>
            </w:r>
          </w:p>
        </w:tc>
        <w:tc>
          <w:tcPr>
            <w:tcW w:w="3237" w:type="dxa"/>
            <w:tcBorders>
              <w:top w:val="single" w:sz="4" w:space="0" w:color="auto"/>
              <w:left w:val="nil"/>
              <w:bottom w:val="single" w:sz="4" w:space="0" w:color="auto"/>
              <w:right w:val="nil"/>
            </w:tcBorders>
            <w:shd w:val="clear" w:color="auto" w:fill="auto"/>
          </w:tcPr>
          <w:p w14:paraId="23D5235E" w14:textId="77777777" w:rsidR="000C4F5F" w:rsidRPr="00F559A0" w:rsidRDefault="000C4F5F" w:rsidP="009119A7">
            <w:pPr>
              <w:spacing w:line="360" w:lineRule="auto"/>
            </w:pPr>
            <w:r w:rsidRPr="00F559A0">
              <w:t>Digitisation of illustrations and graphic design of the user interface components and mood board</w:t>
            </w:r>
          </w:p>
        </w:tc>
        <w:tc>
          <w:tcPr>
            <w:tcW w:w="2977" w:type="dxa"/>
            <w:tcBorders>
              <w:top w:val="single" w:sz="4" w:space="0" w:color="auto"/>
              <w:left w:val="nil"/>
              <w:bottom w:val="single" w:sz="4" w:space="0" w:color="auto"/>
              <w:right w:val="nil"/>
            </w:tcBorders>
            <w:shd w:val="clear" w:color="auto" w:fill="auto"/>
          </w:tcPr>
          <w:p w14:paraId="42BA7FCD" w14:textId="77777777" w:rsidR="000C4F5F" w:rsidRPr="003E20CB" w:rsidRDefault="000C4F5F" w:rsidP="009119A7">
            <w:pPr>
              <w:spacing w:line="360" w:lineRule="auto"/>
              <w:rPr>
                <w:lang w:val="it-IT"/>
              </w:rPr>
            </w:pPr>
            <w:r w:rsidRPr="003E20CB">
              <w:rPr>
                <w:lang w:val="it-IT"/>
              </w:rPr>
              <w:t>Adobe Systems, Inc., California, USA (Adobe, 2019)</w:t>
            </w:r>
          </w:p>
        </w:tc>
      </w:tr>
      <w:tr w:rsidR="000C4F5F" w:rsidRPr="00F559A0" w14:paraId="41C7562C" w14:textId="77777777" w:rsidTr="003E20CB">
        <w:tc>
          <w:tcPr>
            <w:tcW w:w="2419" w:type="dxa"/>
            <w:tcBorders>
              <w:top w:val="single" w:sz="4" w:space="0" w:color="auto"/>
              <w:left w:val="nil"/>
              <w:bottom w:val="nil"/>
              <w:right w:val="nil"/>
            </w:tcBorders>
            <w:shd w:val="clear" w:color="auto" w:fill="auto"/>
          </w:tcPr>
          <w:p w14:paraId="45931DB4" w14:textId="77777777" w:rsidR="000C4F5F" w:rsidRPr="00F559A0" w:rsidRDefault="000C4F5F" w:rsidP="009119A7">
            <w:pPr>
              <w:spacing w:line="360" w:lineRule="auto"/>
              <w:jc w:val="center"/>
            </w:pPr>
            <w:r w:rsidRPr="00F559A0">
              <w:t>Android SDK</w:t>
            </w:r>
          </w:p>
          <w:p w14:paraId="37E74C7F" w14:textId="77777777" w:rsidR="000C4F5F" w:rsidRPr="00F559A0" w:rsidRDefault="000C4F5F" w:rsidP="009119A7">
            <w:pPr>
              <w:spacing w:line="360" w:lineRule="auto"/>
              <w:jc w:val="center"/>
            </w:pPr>
            <w:r w:rsidRPr="00F559A0">
              <w:rPr>
                <w:rFonts w:cstheme="minorHAnsi"/>
                <w:noProof/>
                <w:lang w:val="en-GB" w:eastAsia="en-GB"/>
              </w:rPr>
              <w:drawing>
                <wp:inline distT="0" distB="0" distL="0" distR="0" wp14:anchorId="29B1AAAB" wp14:editId="1FED2855">
                  <wp:extent cx="952500" cy="1116379"/>
                  <wp:effectExtent l="0" t="0" r="0" b="1270"/>
                  <wp:docPr id="31" name="Picture 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72px-Android_robot.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9352" cy="1124409"/>
                          </a:xfrm>
                          <a:prstGeom prst="rect">
                            <a:avLst/>
                          </a:prstGeom>
                        </pic:spPr>
                      </pic:pic>
                    </a:graphicData>
                  </a:graphic>
                </wp:inline>
              </w:drawing>
            </w:r>
          </w:p>
        </w:tc>
        <w:tc>
          <w:tcPr>
            <w:tcW w:w="3237" w:type="dxa"/>
            <w:tcBorders>
              <w:top w:val="single" w:sz="4" w:space="0" w:color="auto"/>
              <w:left w:val="nil"/>
              <w:bottom w:val="nil"/>
              <w:right w:val="nil"/>
            </w:tcBorders>
            <w:shd w:val="clear" w:color="auto" w:fill="auto"/>
          </w:tcPr>
          <w:p w14:paraId="3F6E7044" w14:textId="77777777" w:rsidR="000C4F5F" w:rsidRPr="00F559A0" w:rsidRDefault="000C4F5F" w:rsidP="009119A7">
            <w:pPr>
              <w:spacing w:line="360" w:lineRule="auto"/>
            </w:pPr>
            <w:r w:rsidRPr="00F559A0">
              <w:t>Android Studio Software Development Kit (SDK) used to build an executable application to Android device</w:t>
            </w:r>
          </w:p>
        </w:tc>
        <w:tc>
          <w:tcPr>
            <w:tcW w:w="2977" w:type="dxa"/>
            <w:tcBorders>
              <w:top w:val="single" w:sz="4" w:space="0" w:color="auto"/>
              <w:left w:val="nil"/>
              <w:bottom w:val="nil"/>
              <w:right w:val="nil"/>
            </w:tcBorders>
            <w:shd w:val="clear" w:color="auto" w:fill="auto"/>
          </w:tcPr>
          <w:p w14:paraId="0AD5A92A" w14:textId="77777777" w:rsidR="000C4F5F" w:rsidRPr="00F559A0" w:rsidRDefault="000C4F5F" w:rsidP="009119A7">
            <w:pPr>
              <w:spacing w:line="360" w:lineRule="auto"/>
            </w:pPr>
            <w:r w:rsidRPr="00F559A0">
              <w:t>Google, Inc., California, USA (Google, 2019) Available at: developer.Android.com/studio/index.html</w:t>
            </w:r>
          </w:p>
        </w:tc>
      </w:tr>
      <w:tr w:rsidR="000C4F5F" w:rsidRPr="00F559A0" w14:paraId="53051965" w14:textId="77777777" w:rsidTr="003E20CB">
        <w:tc>
          <w:tcPr>
            <w:tcW w:w="2419" w:type="dxa"/>
            <w:tcBorders>
              <w:top w:val="nil"/>
              <w:left w:val="nil"/>
              <w:bottom w:val="nil"/>
              <w:right w:val="nil"/>
            </w:tcBorders>
            <w:shd w:val="clear" w:color="auto" w:fill="88BAFF"/>
          </w:tcPr>
          <w:p w14:paraId="1741AC61" w14:textId="77777777" w:rsidR="000C4F5F" w:rsidRPr="00F559A0" w:rsidRDefault="000C4F5F" w:rsidP="009119A7">
            <w:pPr>
              <w:spacing w:line="360" w:lineRule="auto"/>
              <w:jc w:val="center"/>
              <w:rPr>
                <w:sz w:val="28"/>
                <w:szCs w:val="28"/>
              </w:rPr>
            </w:pPr>
            <w:r w:rsidRPr="00F559A0">
              <w:rPr>
                <w:sz w:val="28"/>
                <w:szCs w:val="28"/>
              </w:rPr>
              <w:t>Hardware</w:t>
            </w:r>
          </w:p>
        </w:tc>
        <w:tc>
          <w:tcPr>
            <w:tcW w:w="3237" w:type="dxa"/>
            <w:tcBorders>
              <w:top w:val="nil"/>
              <w:left w:val="nil"/>
              <w:bottom w:val="nil"/>
              <w:right w:val="nil"/>
            </w:tcBorders>
            <w:shd w:val="clear" w:color="auto" w:fill="88BAFF"/>
          </w:tcPr>
          <w:p w14:paraId="4D7EC946" w14:textId="77777777" w:rsidR="000C4F5F" w:rsidRPr="00F559A0" w:rsidRDefault="000C4F5F" w:rsidP="009119A7">
            <w:pPr>
              <w:spacing w:line="360" w:lineRule="auto"/>
              <w:rPr>
                <w:sz w:val="28"/>
                <w:szCs w:val="28"/>
              </w:rPr>
            </w:pPr>
            <w:r w:rsidRPr="00F559A0">
              <w:rPr>
                <w:sz w:val="28"/>
                <w:szCs w:val="28"/>
              </w:rPr>
              <w:t xml:space="preserve">Use </w:t>
            </w:r>
          </w:p>
        </w:tc>
        <w:tc>
          <w:tcPr>
            <w:tcW w:w="2977" w:type="dxa"/>
            <w:tcBorders>
              <w:top w:val="nil"/>
              <w:left w:val="nil"/>
              <w:bottom w:val="nil"/>
              <w:right w:val="nil"/>
            </w:tcBorders>
            <w:shd w:val="clear" w:color="auto" w:fill="88BAFF"/>
          </w:tcPr>
          <w:p w14:paraId="13FC5993" w14:textId="77777777" w:rsidR="000C4F5F" w:rsidRPr="00F559A0" w:rsidRDefault="000C4F5F" w:rsidP="009119A7">
            <w:pPr>
              <w:spacing w:line="360" w:lineRule="auto"/>
              <w:rPr>
                <w:sz w:val="28"/>
                <w:szCs w:val="28"/>
              </w:rPr>
            </w:pPr>
            <w:r w:rsidRPr="00F559A0">
              <w:rPr>
                <w:sz w:val="28"/>
                <w:szCs w:val="28"/>
              </w:rPr>
              <w:t>Publisher</w:t>
            </w:r>
          </w:p>
        </w:tc>
      </w:tr>
      <w:tr w:rsidR="000C4F5F" w:rsidRPr="00F559A0" w14:paraId="475E156C" w14:textId="77777777" w:rsidTr="003E20CB">
        <w:tc>
          <w:tcPr>
            <w:tcW w:w="2419" w:type="dxa"/>
            <w:tcBorders>
              <w:top w:val="nil"/>
              <w:left w:val="nil"/>
              <w:bottom w:val="nil"/>
              <w:right w:val="nil"/>
            </w:tcBorders>
          </w:tcPr>
          <w:p w14:paraId="05AC0BFD" w14:textId="77777777" w:rsidR="000C4F5F" w:rsidRPr="00F559A0" w:rsidRDefault="000C4F5F" w:rsidP="009119A7">
            <w:pPr>
              <w:spacing w:line="360" w:lineRule="auto"/>
              <w:jc w:val="center"/>
            </w:pPr>
            <w:r w:rsidRPr="00F559A0">
              <w:t>Samsung Galaxy Tablet S2</w:t>
            </w:r>
          </w:p>
          <w:p w14:paraId="3454A9A6" w14:textId="77777777" w:rsidR="000C4F5F" w:rsidRPr="00F559A0" w:rsidRDefault="000C4F5F" w:rsidP="009119A7">
            <w:pPr>
              <w:spacing w:line="360" w:lineRule="auto"/>
              <w:jc w:val="center"/>
            </w:pPr>
            <w:r w:rsidRPr="00F559A0">
              <w:rPr>
                <w:rFonts w:cstheme="minorHAnsi"/>
                <w:noProof/>
                <w:lang w:val="en-GB" w:eastAsia="en-GB"/>
              </w:rPr>
              <w:lastRenderedPageBreak/>
              <w:drawing>
                <wp:inline distT="0" distB="0" distL="0" distR="0" wp14:anchorId="6830FFEC" wp14:editId="3AD6DFAB">
                  <wp:extent cx="1069665" cy="353812"/>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72px-Android_robot.sv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9665" cy="353812"/>
                          </a:xfrm>
                          <a:prstGeom prst="rect">
                            <a:avLst/>
                          </a:prstGeom>
                        </pic:spPr>
                      </pic:pic>
                    </a:graphicData>
                  </a:graphic>
                </wp:inline>
              </w:drawing>
            </w:r>
          </w:p>
        </w:tc>
        <w:tc>
          <w:tcPr>
            <w:tcW w:w="3237" w:type="dxa"/>
            <w:tcBorders>
              <w:top w:val="nil"/>
              <w:left w:val="nil"/>
              <w:bottom w:val="nil"/>
              <w:right w:val="nil"/>
            </w:tcBorders>
          </w:tcPr>
          <w:p w14:paraId="2EFD1CBF" w14:textId="77777777" w:rsidR="000C4F5F" w:rsidRPr="00F559A0" w:rsidRDefault="000C4F5F" w:rsidP="009119A7">
            <w:pPr>
              <w:spacing w:line="360" w:lineRule="auto"/>
            </w:pPr>
            <w:r w:rsidRPr="00F559A0">
              <w:lastRenderedPageBreak/>
              <w:t xml:space="preserve">Tablet device to test the application during development and evaluation stages. Running </w:t>
            </w:r>
            <w:r w:rsidRPr="00F559A0">
              <w:lastRenderedPageBreak/>
              <w:t>Android OS, v6.0.1 (Marshmallow) operating system with an aspect ratio and screen resolution of 2048x1536</w:t>
            </w:r>
          </w:p>
        </w:tc>
        <w:tc>
          <w:tcPr>
            <w:tcW w:w="2977" w:type="dxa"/>
            <w:tcBorders>
              <w:top w:val="nil"/>
              <w:left w:val="nil"/>
              <w:bottom w:val="nil"/>
              <w:right w:val="nil"/>
            </w:tcBorders>
          </w:tcPr>
          <w:p w14:paraId="3F44A441" w14:textId="77777777" w:rsidR="000C4F5F" w:rsidRPr="00F559A0" w:rsidRDefault="000C4F5F" w:rsidP="009119A7">
            <w:pPr>
              <w:spacing w:line="360" w:lineRule="auto"/>
            </w:pPr>
            <w:r w:rsidRPr="00F559A0">
              <w:lastRenderedPageBreak/>
              <w:t>Samsung Group, Seoul, South Korea (Samsung, 2019)</w:t>
            </w:r>
          </w:p>
        </w:tc>
      </w:tr>
      <w:tr w:rsidR="000C4F5F" w:rsidRPr="00F559A0" w14:paraId="337CFDDD" w14:textId="77777777" w:rsidTr="003E20CB">
        <w:tc>
          <w:tcPr>
            <w:tcW w:w="2419" w:type="dxa"/>
            <w:tcBorders>
              <w:top w:val="nil"/>
              <w:left w:val="nil"/>
              <w:bottom w:val="nil"/>
              <w:right w:val="nil"/>
            </w:tcBorders>
            <w:shd w:val="clear" w:color="auto" w:fill="88BAFF"/>
          </w:tcPr>
          <w:p w14:paraId="7F68B8D5" w14:textId="77777777" w:rsidR="000C4F5F" w:rsidRPr="00F559A0" w:rsidRDefault="000C4F5F" w:rsidP="009119A7">
            <w:pPr>
              <w:spacing w:line="360" w:lineRule="auto"/>
              <w:rPr>
                <w:sz w:val="28"/>
                <w:szCs w:val="28"/>
              </w:rPr>
            </w:pPr>
            <w:r w:rsidRPr="00F559A0">
              <w:rPr>
                <w:sz w:val="28"/>
                <w:szCs w:val="28"/>
              </w:rPr>
              <w:lastRenderedPageBreak/>
              <w:t>Data &amp; Resources</w:t>
            </w:r>
          </w:p>
        </w:tc>
        <w:tc>
          <w:tcPr>
            <w:tcW w:w="3237" w:type="dxa"/>
            <w:tcBorders>
              <w:top w:val="nil"/>
              <w:left w:val="nil"/>
              <w:bottom w:val="nil"/>
              <w:right w:val="nil"/>
            </w:tcBorders>
            <w:shd w:val="clear" w:color="auto" w:fill="88BAFF"/>
          </w:tcPr>
          <w:p w14:paraId="6F87B318" w14:textId="77777777" w:rsidR="000C4F5F" w:rsidRPr="00F559A0" w:rsidRDefault="000C4F5F" w:rsidP="009119A7">
            <w:pPr>
              <w:spacing w:line="360" w:lineRule="auto"/>
              <w:rPr>
                <w:sz w:val="28"/>
                <w:szCs w:val="28"/>
              </w:rPr>
            </w:pPr>
            <w:r w:rsidRPr="00F559A0">
              <w:rPr>
                <w:sz w:val="28"/>
                <w:szCs w:val="28"/>
              </w:rPr>
              <w:t>Use</w:t>
            </w:r>
          </w:p>
        </w:tc>
        <w:tc>
          <w:tcPr>
            <w:tcW w:w="2977" w:type="dxa"/>
            <w:tcBorders>
              <w:top w:val="nil"/>
              <w:left w:val="nil"/>
              <w:bottom w:val="nil"/>
              <w:right w:val="nil"/>
            </w:tcBorders>
            <w:shd w:val="clear" w:color="auto" w:fill="88BAFF"/>
          </w:tcPr>
          <w:p w14:paraId="43EE9954" w14:textId="77777777" w:rsidR="000C4F5F" w:rsidRPr="00F559A0" w:rsidRDefault="000C4F5F" w:rsidP="009119A7">
            <w:pPr>
              <w:spacing w:line="360" w:lineRule="auto"/>
              <w:rPr>
                <w:sz w:val="28"/>
                <w:szCs w:val="28"/>
              </w:rPr>
            </w:pPr>
            <w:r w:rsidRPr="00F559A0">
              <w:rPr>
                <w:sz w:val="28"/>
                <w:szCs w:val="28"/>
              </w:rPr>
              <w:t>Source</w:t>
            </w:r>
          </w:p>
        </w:tc>
      </w:tr>
      <w:tr w:rsidR="000C4F5F" w:rsidRPr="00F559A0" w14:paraId="40992A17" w14:textId="77777777" w:rsidTr="003E20CB">
        <w:tc>
          <w:tcPr>
            <w:tcW w:w="2419" w:type="dxa"/>
            <w:tcBorders>
              <w:top w:val="nil"/>
              <w:left w:val="nil"/>
              <w:bottom w:val="single" w:sz="4" w:space="0" w:color="auto"/>
              <w:right w:val="nil"/>
            </w:tcBorders>
            <w:shd w:val="clear" w:color="auto" w:fill="auto"/>
          </w:tcPr>
          <w:p w14:paraId="5D23D2A9" w14:textId="7B0E88F9" w:rsidR="000C4F5F" w:rsidRPr="00F559A0" w:rsidRDefault="00F315DD" w:rsidP="009119A7">
            <w:pPr>
              <w:spacing w:line="360" w:lineRule="auto"/>
            </w:pPr>
            <w:r w:rsidRPr="00F315DD">
              <w:t>Visible Human Project CT Datasets</w:t>
            </w:r>
          </w:p>
        </w:tc>
        <w:tc>
          <w:tcPr>
            <w:tcW w:w="3237" w:type="dxa"/>
            <w:tcBorders>
              <w:top w:val="nil"/>
              <w:left w:val="nil"/>
              <w:bottom w:val="single" w:sz="4" w:space="0" w:color="auto"/>
              <w:right w:val="nil"/>
            </w:tcBorders>
            <w:shd w:val="clear" w:color="auto" w:fill="auto"/>
          </w:tcPr>
          <w:p w14:paraId="42559342" w14:textId="77777777" w:rsidR="000C4F5F" w:rsidRPr="00F559A0" w:rsidRDefault="000C4F5F" w:rsidP="009119A7">
            <w:pPr>
              <w:spacing w:line="360" w:lineRule="auto"/>
            </w:pPr>
            <w:r w:rsidRPr="00F559A0">
              <w:t>Used pelvic scans to segment wrist bones in order to create the carpal bone models</w:t>
            </w:r>
          </w:p>
        </w:tc>
        <w:tc>
          <w:tcPr>
            <w:tcW w:w="2977" w:type="dxa"/>
            <w:tcBorders>
              <w:top w:val="nil"/>
              <w:left w:val="nil"/>
              <w:bottom w:val="single" w:sz="4" w:space="0" w:color="auto"/>
              <w:right w:val="nil"/>
            </w:tcBorders>
            <w:shd w:val="clear" w:color="auto" w:fill="auto"/>
          </w:tcPr>
          <w:p w14:paraId="67FF1A19" w14:textId="77A9BB34" w:rsidR="000C4F5F" w:rsidRPr="00F559A0" w:rsidRDefault="00F315DD" w:rsidP="009119A7">
            <w:pPr>
              <w:spacing w:line="360" w:lineRule="auto"/>
            </w:pPr>
            <w:r w:rsidRPr="00F315DD">
              <w:t>Visible Human Project</w:t>
            </w:r>
            <w:r>
              <w:t xml:space="preserve"> (</w:t>
            </w:r>
            <w:r w:rsidRPr="00F315DD">
              <w:t>https://mri.radiology.uiowa.edu/visible_human_datasets.html</w:t>
            </w:r>
            <w:r>
              <w:t>)</w:t>
            </w:r>
          </w:p>
        </w:tc>
      </w:tr>
      <w:tr w:rsidR="000C4F5F" w:rsidRPr="00F559A0" w14:paraId="298926E0" w14:textId="77777777" w:rsidTr="003E20CB">
        <w:tc>
          <w:tcPr>
            <w:tcW w:w="2419" w:type="dxa"/>
            <w:tcBorders>
              <w:top w:val="single" w:sz="4" w:space="0" w:color="auto"/>
              <w:left w:val="nil"/>
              <w:bottom w:val="single" w:sz="4" w:space="0" w:color="auto"/>
              <w:right w:val="nil"/>
            </w:tcBorders>
            <w:shd w:val="clear" w:color="auto" w:fill="auto"/>
          </w:tcPr>
          <w:p w14:paraId="4EF09B9B" w14:textId="77777777" w:rsidR="000C4F5F" w:rsidRPr="00F559A0" w:rsidRDefault="000C4F5F" w:rsidP="009119A7">
            <w:pPr>
              <w:spacing w:line="360" w:lineRule="auto"/>
            </w:pPr>
            <w:r w:rsidRPr="00F559A0">
              <w:t>All forms and quizzes</w:t>
            </w:r>
          </w:p>
        </w:tc>
        <w:tc>
          <w:tcPr>
            <w:tcW w:w="3237" w:type="dxa"/>
            <w:tcBorders>
              <w:top w:val="single" w:sz="4" w:space="0" w:color="auto"/>
              <w:left w:val="nil"/>
              <w:bottom w:val="single" w:sz="4" w:space="0" w:color="auto"/>
              <w:right w:val="nil"/>
            </w:tcBorders>
            <w:shd w:val="clear" w:color="auto" w:fill="auto"/>
          </w:tcPr>
          <w:p w14:paraId="7F8E6EAF" w14:textId="77777777" w:rsidR="000C4F5F" w:rsidRPr="00F559A0" w:rsidRDefault="000C4F5F" w:rsidP="009119A7">
            <w:pPr>
              <w:spacing w:line="360" w:lineRule="auto"/>
            </w:pPr>
            <w:r w:rsidRPr="00F559A0">
              <w:t>Created and distributed quizzes, participant information and consent forms, and questionnaires, and collected data</w:t>
            </w:r>
          </w:p>
        </w:tc>
        <w:tc>
          <w:tcPr>
            <w:tcW w:w="2977" w:type="dxa"/>
            <w:tcBorders>
              <w:top w:val="single" w:sz="4" w:space="0" w:color="auto"/>
              <w:left w:val="nil"/>
              <w:bottom w:val="single" w:sz="4" w:space="0" w:color="auto"/>
              <w:right w:val="nil"/>
            </w:tcBorders>
            <w:shd w:val="clear" w:color="auto" w:fill="auto"/>
          </w:tcPr>
          <w:p w14:paraId="16392690" w14:textId="77777777" w:rsidR="000C4F5F" w:rsidRPr="00F559A0" w:rsidRDefault="000C4F5F" w:rsidP="009119A7">
            <w:pPr>
              <w:spacing w:line="360" w:lineRule="auto"/>
            </w:pPr>
            <w:r w:rsidRPr="00F559A0">
              <w:t>JISC Survey Platform</w:t>
            </w:r>
          </w:p>
        </w:tc>
      </w:tr>
      <w:tr w:rsidR="000C4F5F" w:rsidRPr="00F559A0" w14:paraId="26832EBF" w14:textId="77777777" w:rsidTr="003E20CB">
        <w:tc>
          <w:tcPr>
            <w:tcW w:w="2419" w:type="dxa"/>
            <w:tcBorders>
              <w:top w:val="single" w:sz="4" w:space="0" w:color="auto"/>
              <w:left w:val="nil"/>
              <w:bottom w:val="single" w:sz="4" w:space="0" w:color="auto"/>
              <w:right w:val="nil"/>
            </w:tcBorders>
            <w:shd w:val="clear" w:color="auto" w:fill="auto"/>
          </w:tcPr>
          <w:p w14:paraId="0DA51A92" w14:textId="77777777" w:rsidR="000C4F5F" w:rsidRPr="00F559A0" w:rsidRDefault="000C4F5F" w:rsidP="009119A7">
            <w:pPr>
              <w:spacing w:line="360" w:lineRule="auto"/>
            </w:pPr>
            <w:r w:rsidRPr="00F559A0">
              <w:t>Microsoft Yi Bati Font</w:t>
            </w:r>
          </w:p>
        </w:tc>
        <w:tc>
          <w:tcPr>
            <w:tcW w:w="3237" w:type="dxa"/>
            <w:tcBorders>
              <w:top w:val="single" w:sz="4" w:space="0" w:color="auto"/>
              <w:left w:val="nil"/>
              <w:bottom w:val="single" w:sz="4" w:space="0" w:color="auto"/>
              <w:right w:val="nil"/>
            </w:tcBorders>
            <w:shd w:val="clear" w:color="auto" w:fill="auto"/>
          </w:tcPr>
          <w:p w14:paraId="11F9198D" w14:textId="77777777" w:rsidR="000C4F5F" w:rsidRPr="00F559A0" w:rsidRDefault="000C4F5F" w:rsidP="009119A7">
            <w:pPr>
              <w:spacing w:line="360" w:lineRule="auto"/>
            </w:pPr>
            <w:r w:rsidRPr="00F559A0">
              <w:t>Font used for all custom UI elements in mobile application</w:t>
            </w:r>
          </w:p>
        </w:tc>
        <w:tc>
          <w:tcPr>
            <w:tcW w:w="2977" w:type="dxa"/>
            <w:tcBorders>
              <w:top w:val="single" w:sz="4" w:space="0" w:color="auto"/>
              <w:left w:val="nil"/>
              <w:bottom w:val="single" w:sz="4" w:space="0" w:color="auto"/>
              <w:right w:val="nil"/>
            </w:tcBorders>
            <w:shd w:val="clear" w:color="auto" w:fill="auto"/>
          </w:tcPr>
          <w:p w14:paraId="1C55E6C7" w14:textId="77777777" w:rsidR="000C4F5F" w:rsidRPr="00F559A0" w:rsidRDefault="000C4F5F" w:rsidP="009119A7">
            <w:pPr>
              <w:spacing w:line="360" w:lineRule="auto"/>
            </w:pPr>
            <w:r w:rsidRPr="00F559A0">
              <w:t>Adobe Photoshop</w:t>
            </w:r>
          </w:p>
        </w:tc>
      </w:tr>
      <w:tr w:rsidR="000C4F5F" w:rsidRPr="00F559A0" w14:paraId="739A925E" w14:textId="77777777" w:rsidTr="003E20CB">
        <w:tc>
          <w:tcPr>
            <w:tcW w:w="2419" w:type="dxa"/>
            <w:tcBorders>
              <w:top w:val="single" w:sz="4" w:space="0" w:color="auto"/>
              <w:left w:val="nil"/>
              <w:bottom w:val="single" w:sz="4" w:space="0" w:color="auto"/>
              <w:right w:val="nil"/>
            </w:tcBorders>
            <w:shd w:val="clear" w:color="auto" w:fill="auto"/>
          </w:tcPr>
          <w:p w14:paraId="11A50FAF" w14:textId="77777777" w:rsidR="000C4F5F" w:rsidRPr="00F559A0" w:rsidRDefault="000C4F5F" w:rsidP="009119A7">
            <w:pPr>
              <w:spacing w:line="360" w:lineRule="auto"/>
            </w:pPr>
            <w:r w:rsidRPr="00F559A0">
              <w:t>Arial Font</w:t>
            </w:r>
          </w:p>
        </w:tc>
        <w:tc>
          <w:tcPr>
            <w:tcW w:w="3237" w:type="dxa"/>
            <w:tcBorders>
              <w:top w:val="single" w:sz="4" w:space="0" w:color="auto"/>
              <w:left w:val="nil"/>
              <w:bottom w:val="single" w:sz="4" w:space="0" w:color="auto"/>
              <w:right w:val="nil"/>
            </w:tcBorders>
            <w:shd w:val="clear" w:color="auto" w:fill="auto"/>
          </w:tcPr>
          <w:p w14:paraId="04576C31" w14:textId="77777777" w:rsidR="000C4F5F" w:rsidRPr="00F559A0" w:rsidRDefault="000C4F5F" w:rsidP="009119A7">
            <w:pPr>
              <w:spacing w:line="360" w:lineRule="auto"/>
            </w:pPr>
            <w:r w:rsidRPr="00F559A0">
              <w:t>Font used for all text in mobile application</w:t>
            </w:r>
          </w:p>
        </w:tc>
        <w:tc>
          <w:tcPr>
            <w:tcW w:w="2977" w:type="dxa"/>
            <w:tcBorders>
              <w:top w:val="single" w:sz="4" w:space="0" w:color="auto"/>
              <w:left w:val="nil"/>
              <w:bottom w:val="single" w:sz="4" w:space="0" w:color="auto"/>
              <w:right w:val="nil"/>
            </w:tcBorders>
            <w:shd w:val="clear" w:color="auto" w:fill="auto"/>
          </w:tcPr>
          <w:p w14:paraId="28DE4F72" w14:textId="77777777" w:rsidR="000C4F5F" w:rsidRPr="00F559A0" w:rsidRDefault="000C4F5F" w:rsidP="009119A7">
            <w:pPr>
              <w:spacing w:line="360" w:lineRule="auto"/>
            </w:pPr>
            <w:r w:rsidRPr="00F559A0">
              <w:t>Unity</w:t>
            </w:r>
          </w:p>
        </w:tc>
      </w:tr>
      <w:tr w:rsidR="000C4F5F" w:rsidRPr="000D0DB1" w14:paraId="4DC31F7F" w14:textId="77777777" w:rsidTr="003E20CB">
        <w:tc>
          <w:tcPr>
            <w:tcW w:w="2419" w:type="dxa"/>
            <w:tcBorders>
              <w:top w:val="single" w:sz="4" w:space="0" w:color="auto"/>
              <w:left w:val="nil"/>
              <w:bottom w:val="single" w:sz="4" w:space="0" w:color="auto"/>
              <w:right w:val="nil"/>
            </w:tcBorders>
            <w:shd w:val="clear" w:color="auto" w:fill="auto"/>
          </w:tcPr>
          <w:p w14:paraId="0BEE04B5" w14:textId="77777777" w:rsidR="000C4F5F" w:rsidRPr="00F559A0" w:rsidRDefault="000C4F5F" w:rsidP="009119A7">
            <w:pPr>
              <w:spacing w:line="360" w:lineRule="auto"/>
            </w:pPr>
            <w:r w:rsidRPr="00F559A0">
              <w:t>3D Carpal Bone Models</w:t>
            </w:r>
          </w:p>
        </w:tc>
        <w:tc>
          <w:tcPr>
            <w:tcW w:w="3237" w:type="dxa"/>
            <w:tcBorders>
              <w:top w:val="single" w:sz="4" w:space="0" w:color="auto"/>
              <w:left w:val="nil"/>
              <w:bottom w:val="single" w:sz="4" w:space="0" w:color="auto"/>
              <w:right w:val="nil"/>
            </w:tcBorders>
            <w:shd w:val="clear" w:color="auto" w:fill="auto"/>
          </w:tcPr>
          <w:p w14:paraId="45373E3D" w14:textId="77777777" w:rsidR="000C4F5F" w:rsidRPr="00F559A0" w:rsidRDefault="000C4F5F" w:rsidP="009119A7">
            <w:pPr>
              <w:spacing w:line="360" w:lineRule="auto"/>
            </w:pPr>
            <w:r w:rsidRPr="00F559A0">
              <w:t>Used these 3D carpal bone models for reference when creating carpal bone models for the mobile application</w:t>
            </w:r>
          </w:p>
        </w:tc>
        <w:tc>
          <w:tcPr>
            <w:tcW w:w="2977" w:type="dxa"/>
            <w:tcBorders>
              <w:top w:val="single" w:sz="4" w:space="0" w:color="auto"/>
              <w:left w:val="nil"/>
              <w:bottom w:val="single" w:sz="4" w:space="0" w:color="auto"/>
              <w:right w:val="nil"/>
            </w:tcBorders>
            <w:shd w:val="clear" w:color="auto" w:fill="auto"/>
          </w:tcPr>
          <w:p w14:paraId="735B839F" w14:textId="77777777" w:rsidR="000C4F5F" w:rsidRPr="003E20CB" w:rsidRDefault="000C4F5F" w:rsidP="009119A7">
            <w:pPr>
              <w:spacing w:line="360" w:lineRule="auto"/>
              <w:rPr>
                <w:lang w:val="de-DE"/>
              </w:rPr>
            </w:pPr>
            <w:r w:rsidRPr="003E20CB">
              <w:rPr>
                <w:lang w:val="de-DE"/>
              </w:rPr>
              <w:t>Sketchfab, Artist: ajlieurance</w:t>
            </w:r>
          </w:p>
          <w:p w14:paraId="18D56652" w14:textId="77777777" w:rsidR="000C4F5F" w:rsidRPr="003E20CB" w:rsidRDefault="00315EB7" w:rsidP="009119A7">
            <w:pPr>
              <w:spacing w:line="360" w:lineRule="auto"/>
              <w:rPr>
                <w:lang w:val="de-DE"/>
              </w:rPr>
            </w:pPr>
            <w:hyperlink r:id="rId16" w:history="1">
              <w:r w:rsidR="000C4F5F" w:rsidRPr="003E20CB">
                <w:rPr>
                  <w:rStyle w:val="Hyperlink"/>
                  <w:lang w:val="de-DE"/>
                </w:rPr>
                <w:t>https://sketchfab.com/ajlieurance</w:t>
              </w:r>
            </w:hyperlink>
          </w:p>
        </w:tc>
      </w:tr>
    </w:tbl>
    <w:p w14:paraId="6D4947BE" w14:textId="77777777" w:rsidR="000C4F5F" w:rsidRPr="00C91F40" w:rsidRDefault="000C4F5F" w:rsidP="007C280D">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Methods</w:t>
      </w:r>
    </w:p>
    <w:p w14:paraId="2F522AAD" w14:textId="77777777" w:rsidR="000C4F5F" w:rsidRPr="00C91F40" w:rsidRDefault="000C4F5F" w:rsidP="009119A7">
      <w:pPr>
        <w:pStyle w:val="ListParagraph"/>
        <w:numPr>
          <w:ilvl w:val="2"/>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t>Design and Development</w:t>
      </w:r>
    </w:p>
    <w:p w14:paraId="262D9743" w14:textId="53EC0D53" w:rsidR="009119A7"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lastRenderedPageBreak/>
        <w:t xml:space="preserve">A flowchart was created to map the workflow for application design and development. The process was easily categorized into 10 stages, as seen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_Ref60997197 \h </w:instrText>
      </w:r>
      <w:r w:rsidR="009119A7">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1D38D7">
        <w:t xml:space="preserve">Figure </w:t>
      </w:r>
      <w:r w:rsidR="001D38D7">
        <w:rPr>
          <w:noProof/>
        </w:rPr>
        <w:t>1</w:t>
      </w:r>
      <w:r>
        <w:rPr>
          <w:rFonts w:ascii="Times New Roman" w:hAnsi="Times New Roman" w:cs="Times New Roman"/>
          <w:sz w:val="24"/>
          <w:szCs w:val="24"/>
        </w:rPr>
        <w:fldChar w:fldCharType="end"/>
      </w:r>
      <w:r>
        <w:rPr>
          <w:rFonts w:ascii="Times New Roman" w:hAnsi="Times New Roman" w:cs="Times New Roman"/>
          <w:sz w:val="24"/>
          <w:szCs w:val="24"/>
        </w:rPr>
        <w:t>.</w:t>
      </w:r>
    </w:p>
    <w:p w14:paraId="5F4BA370" w14:textId="77777777" w:rsidR="000C4F5F" w:rsidRDefault="000C4F5F" w:rsidP="009119A7">
      <w:pPr>
        <w:keepNext/>
        <w:spacing w:line="360" w:lineRule="auto"/>
        <w:ind w:firstLine="720"/>
      </w:pPr>
      <w:r w:rsidRPr="00F559A0">
        <w:rPr>
          <w:noProof/>
          <w:sz w:val="28"/>
          <w:szCs w:val="28"/>
          <w:lang w:val="en-GB" w:eastAsia="en-GB"/>
        </w:rPr>
        <w:drawing>
          <wp:inline distT="0" distB="0" distL="0" distR="0" wp14:anchorId="604F8247" wp14:editId="6545D1DB">
            <wp:extent cx="5669280" cy="5504402"/>
            <wp:effectExtent l="0" t="0" r="762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8975" t="8617" r="33718" b="13465"/>
                    <a:stretch/>
                  </pic:blipFill>
                  <pic:spPr bwMode="auto">
                    <a:xfrm>
                      <a:off x="0" y="0"/>
                      <a:ext cx="5672408" cy="5507439"/>
                    </a:xfrm>
                    <a:prstGeom prst="rect">
                      <a:avLst/>
                    </a:prstGeom>
                    <a:noFill/>
                    <a:ln>
                      <a:noFill/>
                    </a:ln>
                    <a:extLst>
                      <a:ext uri="{53640926-AAD7-44D8-BBD7-CCE9431645EC}">
                        <a14:shadowObscured xmlns:a14="http://schemas.microsoft.com/office/drawing/2010/main"/>
                      </a:ext>
                    </a:extLst>
                  </pic:spPr>
                </pic:pic>
              </a:graphicData>
            </a:graphic>
          </wp:inline>
        </w:drawing>
      </w:r>
    </w:p>
    <w:p w14:paraId="73C9DF85" w14:textId="0397F786" w:rsidR="000C4F5F" w:rsidRPr="00B55A5C" w:rsidRDefault="000C4F5F" w:rsidP="009119A7">
      <w:pPr>
        <w:pStyle w:val="Caption"/>
        <w:spacing w:line="360" w:lineRule="auto"/>
        <w:rPr>
          <w:rFonts w:ascii="Times New Roman" w:hAnsi="Times New Roman" w:cs="Times New Roman"/>
          <w:color w:val="auto"/>
          <w:sz w:val="24"/>
          <w:szCs w:val="24"/>
        </w:rPr>
      </w:pPr>
      <w:bookmarkStart w:id="7" w:name="_Ref60997197"/>
      <w:r>
        <w:t xml:space="preserve">Figure </w:t>
      </w:r>
      <w:fldSimple w:instr=" SEQ Figure \* ARABIC ">
        <w:r w:rsidR="001D38D7">
          <w:rPr>
            <w:noProof/>
          </w:rPr>
          <w:t>1</w:t>
        </w:r>
      </w:fldSimple>
      <w:bookmarkEnd w:id="7"/>
      <w:r>
        <w:t xml:space="preserve"> Diagram displaying mobile application creation workflow</w:t>
      </w:r>
    </w:p>
    <w:p w14:paraId="2290D75F" w14:textId="77777777" w:rsidR="000C4F5F" w:rsidRPr="00C91F40" w:rsidRDefault="000C4F5F" w:rsidP="009119A7">
      <w:pPr>
        <w:pStyle w:val="ListParagraph"/>
        <w:numPr>
          <w:ilvl w:val="3"/>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t>Concept</w:t>
      </w:r>
    </w:p>
    <w:p w14:paraId="29A31A46" w14:textId="291EC2A6" w:rsidR="000C4F5F"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lastRenderedPageBreak/>
        <w:t>With the research question in mind, an idea for a mobile application was conceived, and a mood board and storyboard</w:t>
      </w:r>
      <w:r w:rsidR="004850A2">
        <w:rPr>
          <w:rFonts w:ascii="Times New Roman" w:hAnsi="Times New Roman" w:cs="Times New Roman"/>
          <w:sz w:val="24"/>
          <w:szCs w:val="24"/>
        </w:rPr>
        <w:t xml:space="preserve"> (</w:t>
      </w:r>
      <w:r w:rsidR="004850A2">
        <w:rPr>
          <w:rFonts w:ascii="Times New Roman" w:hAnsi="Times New Roman" w:cs="Times New Roman"/>
          <w:sz w:val="24"/>
          <w:szCs w:val="24"/>
        </w:rPr>
        <w:fldChar w:fldCharType="begin"/>
      </w:r>
      <w:r w:rsidR="004850A2">
        <w:rPr>
          <w:rFonts w:ascii="Times New Roman" w:hAnsi="Times New Roman" w:cs="Times New Roman"/>
          <w:sz w:val="24"/>
          <w:szCs w:val="24"/>
        </w:rPr>
        <w:instrText xml:space="preserve"> REF _Ref60997351 \h </w:instrText>
      </w:r>
      <w:r w:rsidR="009119A7">
        <w:rPr>
          <w:rFonts w:ascii="Times New Roman" w:hAnsi="Times New Roman" w:cs="Times New Roman"/>
          <w:sz w:val="24"/>
          <w:szCs w:val="24"/>
        </w:rPr>
        <w:instrText xml:space="preserve"> \* MERGEFORMAT </w:instrText>
      </w:r>
      <w:r w:rsidR="004850A2">
        <w:rPr>
          <w:rFonts w:ascii="Times New Roman" w:hAnsi="Times New Roman" w:cs="Times New Roman"/>
          <w:sz w:val="24"/>
          <w:szCs w:val="24"/>
        </w:rPr>
      </w:r>
      <w:r w:rsidR="004850A2">
        <w:rPr>
          <w:rFonts w:ascii="Times New Roman" w:hAnsi="Times New Roman" w:cs="Times New Roman"/>
          <w:sz w:val="24"/>
          <w:szCs w:val="24"/>
        </w:rPr>
        <w:fldChar w:fldCharType="separate"/>
      </w:r>
      <w:r w:rsidR="001D38D7">
        <w:t xml:space="preserve">Figure </w:t>
      </w:r>
      <w:r w:rsidR="001D38D7">
        <w:rPr>
          <w:noProof/>
        </w:rPr>
        <w:t>2</w:t>
      </w:r>
      <w:r w:rsidR="004850A2">
        <w:rPr>
          <w:rFonts w:ascii="Times New Roman" w:hAnsi="Times New Roman" w:cs="Times New Roman"/>
          <w:sz w:val="24"/>
          <w:szCs w:val="24"/>
        </w:rPr>
        <w:fldChar w:fldCharType="end"/>
      </w:r>
      <w:r w:rsidR="004850A2">
        <w:rPr>
          <w:rFonts w:ascii="Times New Roman" w:hAnsi="Times New Roman" w:cs="Times New Roman"/>
          <w:sz w:val="24"/>
          <w:szCs w:val="24"/>
        </w:rPr>
        <w:t>)</w:t>
      </w:r>
      <w:r w:rsidRPr="00C91F40">
        <w:rPr>
          <w:rFonts w:ascii="Times New Roman" w:hAnsi="Times New Roman" w:cs="Times New Roman"/>
          <w:sz w:val="24"/>
          <w:szCs w:val="24"/>
        </w:rPr>
        <w:t xml:space="preserve"> were created. Medical students are the intended audience for the application, which guides each user through three different educational exercises</w:t>
      </w:r>
      <w:r w:rsidR="009119A7">
        <w:rPr>
          <w:rFonts w:ascii="Times New Roman" w:hAnsi="Times New Roman" w:cs="Times New Roman"/>
          <w:sz w:val="24"/>
          <w:szCs w:val="24"/>
        </w:rPr>
        <w:t xml:space="preserve">: </w:t>
      </w:r>
      <w:r w:rsidRPr="00C91F40">
        <w:rPr>
          <w:rFonts w:ascii="Times New Roman" w:hAnsi="Times New Roman" w:cs="Times New Roman"/>
          <w:sz w:val="24"/>
          <w:szCs w:val="24"/>
        </w:rPr>
        <w:t>a guided educational module</w:t>
      </w:r>
      <w:r w:rsidR="009119A7">
        <w:rPr>
          <w:rFonts w:ascii="Times New Roman" w:hAnsi="Times New Roman" w:cs="Times New Roman"/>
          <w:sz w:val="24"/>
          <w:szCs w:val="24"/>
        </w:rPr>
        <w:t xml:space="preserve">, </w:t>
      </w:r>
      <w:r w:rsidRPr="00C91F40">
        <w:rPr>
          <w:rFonts w:ascii="Times New Roman" w:hAnsi="Times New Roman" w:cs="Times New Roman"/>
          <w:sz w:val="24"/>
          <w:szCs w:val="24"/>
        </w:rPr>
        <w:t xml:space="preserve">3D models of the carpal bones, </w:t>
      </w:r>
      <w:r w:rsidR="009119A7">
        <w:rPr>
          <w:rFonts w:ascii="Times New Roman" w:hAnsi="Times New Roman" w:cs="Times New Roman"/>
          <w:sz w:val="24"/>
          <w:szCs w:val="24"/>
        </w:rPr>
        <w:t>and</w:t>
      </w:r>
      <w:r w:rsidRPr="00C91F40">
        <w:rPr>
          <w:rFonts w:ascii="Times New Roman" w:hAnsi="Times New Roman" w:cs="Times New Roman"/>
          <w:sz w:val="24"/>
          <w:szCs w:val="24"/>
        </w:rPr>
        <w:t xml:space="preserve"> a flashcard game</w:t>
      </w:r>
      <w:r w:rsidR="009119A7">
        <w:rPr>
          <w:rFonts w:ascii="Times New Roman" w:hAnsi="Times New Roman" w:cs="Times New Roman"/>
          <w:sz w:val="24"/>
          <w:szCs w:val="24"/>
        </w:rPr>
        <w:t>.</w:t>
      </w:r>
    </w:p>
    <w:p w14:paraId="124903FC" w14:textId="77777777" w:rsidR="000C4F5F" w:rsidRDefault="000C4F5F" w:rsidP="009119A7">
      <w:pPr>
        <w:keepNext/>
        <w:spacing w:line="360" w:lineRule="auto"/>
      </w:pPr>
      <w:r w:rsidRPr="004850A2">
        <w:rPr>
          <w:noProof/>
          <w:lang w:val="en-GB" w:eastAsia="en-GB"/>
        </w:rPr>
        <w:drawing>
          <wp:inline distT="0" distB="0" distL="0" distR="0" wp14:anchorId="3CDC08BC" wp14:editId="1F80A4E7">
            <wp:extent cx="4396967" cy="5856515"/>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3472" cy="5865179"/>
                    </a:xfrm>
                    <a:prstGeom prst="rect">
                      <a:avLst/>
                    </a:prstGeom>
                    <a:noFill/>
                    <a:ln>
                      <a:noFill/>
                    </a:ln>
                  </pic:spPr>
                </pic:pic>
              </a:graphicData>
            </a:graphic>
          </wp:inline>
        </w:drawing>
      </w:r>
    </w:p>
    <w:p w14:paraId="162A9166" w14:textId="19951612" w:rsidR="000C4F5F" w:rsidRPr="00BF41C8" w:rsidRDefault="000C4F5F" w:rsidP="009119A7">
      <w:pPr>
        <w:pStyle w:val="Caption"/>
        <w:spacing w:line="360" w:lineRule="auto"/>
      </w:pPr>
      <w:bookmarkStart w:id="8" w:name="_Ref60997351"/>
      <w:r>
        <w:t xml:space="preserve">Figure </w:t>
      </w:r>
      <w:fldSimple w:instr=" SEQ Figure \* ARABIC ">
        <w:r w:rsidR="001D38D7">
          <w:rPr>
            <w:noProof/>
          </w:rPr>
          <w:t>2</w:t>
        </w:r>
      </w:fldSimple>
      <w:bookmarkEnd w:id="8"/>
      <w:r>
        <w:t xml:space="preserve"> Storyboard created to plan the scenes and UI element placements for the mobile application</w:t>
      </w:r>
    </w:p>
    <w:p w14:paraId="7A18A807" w14:textId="77777777" w:rsidR="000C4F5F" w:rsidRPr="00C91F40" w:rsidRDefault="000C4F5F" w:rsidP="009119A7">
      <w:pPr>
        <w:pStyle w:val="ListParagraph"/>
        <w:numPr>
          <w:ilvl w:val="3"/>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t>3D Bone Model Production</w:t>
      </w:r>
    </w:p>
    <w:p w14:paraId="1EF31AAB" w14:textId="1B646B98" w:rsidR="000C4F5F" w:rsidRPr="00C91F40"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lastRenderedPageBreak/>
        <w:t xml:space="preserve">Computerized tomography (CT) scans and 3D modelling software were used to produce the 3D bone models of the wrist, which was the first step in the application development process. </w:t>
      </w:r>
      <w:commentRangeStart w:id="9"/>
      <w:commentRangeEnd w:id="9"/>
    </w:p>
    <w:p w14:paraId="6F52CAFD" w14:textId="77777777" w:rsidR="000C4F5F" w:rsidRPr="00C91F40" w:rsidRDefault="000C4F5F" w:rsidP="009119A7">
      <w:pPr>
        <w:keepNext/>
        <w:spacing w:line="360" w:lineRule="auto"/>
        <w:rPr>
          <w:rFonts w:ascii="Times New Roman" w:hAnsi="Times New Roman" w:cs="Times New Roman"/>
          <w:i/>
          <w:iCs/>
          <w:sz w:val="24"/>
          <w:szCs w:val="24"/>
        </w:rPr>
      </w:pPr>
      <w:r w:rsidRPr="00C91F40">
        <w:rPr>
          <w:rFonts w:ascii="Times New Roman" w:hAnsi="Times New Roman" w:cs="Times New Roman"/>
          <w:i/>
          <w:iCs/>
          <w:sz w:val="24"/>
          <w:szCs w:val="24"/>
        </w:rPr>
        <w:t>Segmentation</w:t>
      </w:r>
    </w:p>
    <w:p w14:paraId="564246F1" w14:textId="4BBD41CA" w:rsidR="000C4F5F" w:rsidRPr="00C91F40"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Using the software 3D Slicer, a dataset of DICOM CT scans of a wrist from an adult female patient</w:t>
      </w:r>
      <w:r w:rsidR="006A4AF6">
        <w:rPr>
          <w:rStyle w:val="FootnoteReference"/>
          <w:rFonts w:ascii="Times New Roman" w:hAnsi="Times New Roman" w:cs="Times New Roman"/>
          <w:sz w:val="24"/>
          <w:szCs w:val="24"/>
        </w:rPr>
        <w:footnoteReference w:id="1"/>
      </w:r>
      <w:r w:rsidR="006A4AF6">
        <w:rPr>
          <w:rFonts w:ascii="Times New Roman" w:hAnsi="Times New Roman" w:cs="Times New Roman"/>
          <w:sz w:val="24"/>
          <w:szCs w:val="24"/>
        </w:rPr>
        <w:t xml:space="preserve"> </w:t>
      </w:r>
      <w:r w:rsidRPr="00C91F40">
        <w:rPr>
          <w:rFonts w:ascii="Times New Roman" w:hAnsi="Times New Roman" w:cs="Times New Roman"/>
          <w:sz w:val="24"/>
          <w:szCs w:val="24"/>
        </w:rPr>
        <w:t xml:space="preserve">were used to segment the eight carpals, the distal ulna and the distal radius for the creation of the 3D bone models. The CT scans were filtered using the Laplacian Sharpening Image Filter to enhance the contrast between the bones and the surrounding tissues, easing the anatomical structures edge recognition during the segmentation of the bones, as seen compared to the original scans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_Ref60997572 \h </w:instrText>
      </w:r>
      <w:r w:rsidR="009119A7">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1D38D7">
        <w:t xml:space="preserve">Figure </w:t>
      </w:r>
      <w:r w:rsidR="001D38D7">
        <w:rPr>
          <w:noProof/>
        </w:rPr>
        <w:t>3</w:t>
      </w:r>
      <w:r>
        <w:rPr>
          <w:rFonts w:ascii="Times New Roman" w:hAnsi="Times New Roman" w:cs="Times New Roman"/>
          <w:sz w:val="24"/>
          <w:szCs w:val="24"/>
        </w:rPr>
        <w:fldChar w:fldCharType="end"/>
      </w:r>
      <w:r w:rsidRPr="00C91F40">
        <w:rPr>
          <w:rFonts w:ascii="Times New Roman" w:hAnsi="Times New Roman" w:cs="Times New Roman"/>
          <w:sz w:val="24"/>
          <w:szCs w:val="24"/>
        </w:rPr>
        <w:t xml:space="preserve">. The Crop Volume module was then used to crop the scans to only include the hand and wrist, using a Region of Interest (ROI) bounding box, displayed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_Ref60997675 \h </w:instrText>
      </w:r>
      <w:r w:rsidR="009119A7">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1D38D7">
        <w:t xml:space="preserve">Figure </w:t>
      </w:r>
      <w:r w:rsidR="001D38D7">
        <w:rPr>
          <w:noProof/>
        </w:rPr>
        <w:t>4</w:t>
      </w:r>
      <w:r>
        <w:rPr>
          <w:rFonts w:ascii="Times New Roman" w:hAnsi="Times New Roman" w:cs="Times New Roman"/>
          <w:sz w:val="24"/>
          <w:szCs w:val="24"/>
        </w:rPr>
        <w:fldChar w:fldCharType="end"/>
      </w:r>
      <w:r w:rsidRPr="00C91F40">
        <w:rPr>
          <w:rFonts w:ascii="Times New Roman" w:hAnsi="Times New Roman" w:cs="Times New Roman"/>
          <w:sz w:val="24"/>
          <w:szCs w:val="24"/>
        </w:rPr>
        <w:t xml:space="preserve">. The ThresholdEffect tool in Slicer uses the Hounsfield Unit (HU) of tissue density to inform the selection of pixels from the scans, which makes it the ideal tool for the segmentation of bones, as they have high densities, especially compared to surrounding tissues. As indirect volume rendering techniques in Slicer favour the contrast between high and low densities, it was the ideal method of segmentation of the carpal bones. A threshold of 200.00 to 1530.00 was set for use by the PaintEffect tool to paint the bones slide by slide, while only including the values that fell inside the boundaries of the threshold. Once the bones were painted, the threshold was expanded to include all values, ranging -1024.00 to 1530.00 to allow for the holes in the paint to be filled. This would make sure that the bone models built from the segmentation would be solid and contain very few holes in the structures, if any. The EraseLabel tool was then used to erase any paint connecting one bone to another; this would allow for each bone to be separate when imported into the 3D modelling software, and would save time from having to delete faces, edges, and vertices from each of the bone models in order to manually separate them from each other. The before and after of this process can be seen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_Ref60997805 \h </w:instrText>
      </w:r>
      <w:r w:rsidR="009119A7">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1D38D7">
        <w:t xml:space="preserve">Figure </w:t>
      </w:r>
      <w:r w:rsidR="001D38D7">
        <w:rPr>
          <w:noProof/>
        </w:rPr>
        <w:t>5</w:t>
      </w:r>
      <w:r>
        <w:rPr>
          <w:rFonts w:ascii="Times New Roman" w:hAnsi="Times New Roman" w:cs="Times New Roman"/>
          <w:sz w:val="24"/>
          <w:szCs w:val="24"/>
        </w:rPr>
        <w:fldChar w:fldCharType="end"/>
      </w:r>
      <w:r w:rsidRPr="00C91F40">
        <w:rPr>
          <w:rFonts w:ascii="Times New Roman" w:hAnsi="Times New Roman" w:cs="Times New Roman"/>
          <w:sz w:val="24"/>
          <w:szCs w:val="24"/>
        </w:rPr>
        <w:t xml:space="preserve">. Once segmentation was complete, the Merge and Build tool was used to build the bone models, portrayed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_Ref60997868 \h </w:instrText>
      </w:r>
      <w:r w:rsidR="009119A7">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1D38D7">
        <w:t xml:space="preserve">Figure </w:t>
      </w:r>
      <w:r w:rsidR="001D38D7">
        <w:rPr>
          <w:noProof/>
        </w:rPr>
        <w:t>6</w:t>
      </w:r>
      <w:r>
        <w:rPr>
          <w:rFonts w:ascii="Times New Roman" w:hAnsi="Times New Roman" w:cs="Times New Roman"/>
          <w:sz w:val="24"/>
          <w:szCs w:val="24"/>
        </w:rPr>
        <w:fldChar w:fldCharType="end"/>
      </w:r>
      <w:r w:rsidRPr="00C91F40">
        <w:rPr>
          <w:rFonts w:ascii="Times New Roman" w:hAnsi="Times New Roman" w:cs="Times New Roman"/>
          <w:sz w:val="24"/>
          <w:szCs w:val="24"/>
        </w:rPr>
        <w:t>. After examination of the models for satisfaction with the general shapes of the bones, they were exported as an obj file to be later imported into a 3D modelling software for refinement, including sculpting, smoothing, and retopology.</w:t>
      </w:r>
    </w:p>
    <w:p w14:paraId="47A86F48" w14:textId="77777777" w:rsidR="000C4F5F" w:rsidRDefault="000C4F5F" w:rsidP="009119A7">
      <w:pPr>
        <w:keepNext/>
        <w:spacing w:line="360" w:lineRule="auto"/>
      </w:pPr>
      <w:r w:rsidRPr="00F559A0">
        <w:rPr>
          <w:noProof/>
          <w:lang w:val="en-GB" w:eastAsia="en-GB"/>
        </w:rPr>
        <w:lastRenderedPageBreak/>
        <w:drawing>
          <wp:inline distT="0" distB="0" distL="0" distR="0" wp14:anchorId="3FAD673C" wp14:editId="7A5E4D1F">
            <wp:extent cx="2849826" cy="1895316"/>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4879" cy="2018388"/>
                    </a:xfrm>
                    <a:prstGeom prst="rect">
                      <a:avLst/>
                    </a:prstGeom>
                  </pic:spPr>
                </pic:pic>
              </a:graphicData>
            </a:graphic>
          </wp:inline>
        </w:drawing>
      </w:r>
      <w:r w:rsidRPr="00F559A0">
        <w:rPr>
          <w:noProof/>
          <w:lang w:val="en-GB" w:eastAsia="en-GB"/>
        </w:rPr>
        <w:drawing>
          <wp:inline distT="0" distB="0" distL="0" distR="0" wp14:anchorId="0EC1A6C9" wp14:editId="36281EB3">
            <wp:extent cx="2849880" cy="1889568"/>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35147" cy="1946103"/>
                    </a:xfrm>
                    <a:prstGeom prst="rect">
                      <a:avLst/>
                    </a:prstGeom>
                  </pic:spPr>
                </pic:pic>
              </a:graphicData>
            </a:graphic>
          </wp:inline>
        </w:drawing>
      </w:r>
    </w:p>
    <w:p w14:paraId="23C1EDEE" w14:textId="3653A6FF" w:rsidR="000C4F5F" w:rsidRDefault="000C4F5F" w:rsidP="009119A7">
      <w:pPr>
        <w:pStyle w:val="Caption"/>
        <w:spacing w:line="360" w:lineRule="auto"/>
      </w:pPr>
      <w:bookmarkStart w:id="10" w:name="_Ref60997572"/>
      <w:r>
        <w:t xml:space="preserve">Figure </w:t>
      </w:r>
      <w:fldSimple w:instr=" SEQ Figure \* ARABIC ">
        <w:r w:rsidR="001D38D7">
          <w:rPr>
            <w:noProof/>
          </w:rPr>
          <w:t>3</w:t>
        </w:r>
      </w:fldSimple>
      <w:bookmarkEnd w:id="10"/>
      <w:r>
        <w:t xml:space="preserve"> CT DICOM dataset viewed in axial plane before and after Laplacian Sharpening Image Filter was applied.</w:t>
      </w:r>
    </w:p>
    <w:p w14:paraId="61D195F5" w14:textId="77777777" w:rsidR="000C4F5F" w:rsidRDefault="000C4F5F" w:rsidP="009119A7">
      <w:pPr>
        <w:keepNext/>
        <w:spacing w:line="360" w:lineRule="auto"/>
      </w:pPr>
      <w:r w:rsidRPr="00F559A0">
        <w:rPr>
          <w:noProof/>
          <w:lang w:val="en-GB" w:eastAsia="en-GB"/>
        </w:rPr>
        <w:drawing>
          <wp:inline distT="0" distB="0" distL="0" distR="0" wp14:anchorId="3C2E7CEA" wp14:editId="5E7AE636">
            <wp:extent cx="4834467" cy="3207999"/>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911503" cy="3259118"/>
                    </a:xfrm>
                    <a:prstGeom prst="rect">
                      <a:avLst/>
                    </a:prstGeom>
                  </pic:spPr>
                </pic:pic>
              </a:graphicData>
            </a:graphic>
          </wp:inline>
        </w:drawing>
      </w:r>
    </w:p>
    <w:p w14:paraId="4072B152" w14:textId="76710949" w:rsidR="000C4F5F" w:rsidRPr="00BF41C8" w:rsidRDefault="000C4F5F" w:rsidP="009119A7">
      <w:pPr>
        <w:pStyle w:val="Caption"/>
        <w:spacing w:line="360" w:lineRule="auto"/>
      </w:pPr>
      <w:bookmarkStart w:id="11" w:name="_Ref60997675"/>
      <w:r>
        <w:t xml:space="preserve">Figure </w:t>
      </w:r>
      <w:fldSimple w:instr=" SEQ Figure \* ARABIC ">
        <w:r w:rsidR="001D38D7">
          <w:rPr>
            <w:noProof/>
          </w:rPr>
          <w:t>4</w:t>
        </w:r>
      </w:fldSimple>
      <w:bookmarkEnd w:id="11"/>
      <w:r>
        <w:t xml:space="preserve"> CT DICOM dataset viewed in axial plane, showing the ROI bounding box encasing the patient's right wrist.</w:t>
      </w:r>
    </w:p>
    <w:p w14:paraId="0B095E0D" w14:textId="77777777" w:rsidR="000C4F5F" w:rsidRDefault="000C4F5F" w:rsidP="009119A7">
      <w:pPr>
        <w:keepNext/>
        <w:spacing w:line="360" w:lineRule="auto"/>
      </w:pPr>
      <w:r w:rsidRPr="00F559A0">
        <w:rPr>
          <w:noProof/>
          <w:lang w:val="en-GB" w:eastAsia="en-GB"/>
        </w:rPr>
        <w:lastRenderedPageBreak/>
        <w:drawing>
          <wp:inline distT="0" distB="0" distL="0" distR="0" wp14:anchorId="2BDE9137" wp14:editId="1475BE87">
            <wp:extent cx="2933700" cy="197585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7632" cy="2086268"/>
                    </a:xfrm>
                    <a:prstGeom prst="rect">
                      <a:avLst/>
                    </a:prstGeom>
                  </pic:spPr>
                </pic:pic>
              </a:graphicData>
            </a:graphic>
          </wp:inline>
        </w:drawing>
      </w:r>
      <w:r w:rsidRPr="00F559A0">
        <w:rPr>
          <w:noProof/>
          <w:lang w:val="en-GB" w:eastAsia="en-GB"/>
        </w:rPr>
        <w:drawing>
          <wp:inline distT="0" distB="0" distL="0" distR="0" wp14:anchorId="041B08D4" wp14:editId="1C2E60F2">
            <wp:extent cx="2918460" cy="1974949"/>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89753" cy="2023193"/>
                    </a:xfrm>
                    <a:prstGeom prst="rect">
                      <a:avLst/>
                    </a:prstGeom>
                  </pic:spPr>
                </pic:pic>
              </a:graphicData>
            </a:graphic>
          </wp:inline>
        </w:drawing>
      </w:r>
    </w:p>
    <w:p w14:paraId="0169C23D" w14:textId="34057EBB" w:rsidR="000C4F5F" w:rsidRDefault="000C4F5F" w:rsidP="009119A7">
      <w:pPr>
        <w:pStyle w:val="Caption"/>
        <w:spacing w:line="360" w:lineRule="auto"/>
      </w:pPr>
      <w:bookmarkStart w:id="12" w:name="_Ref60997805"/>
      <w:r>
        <w:t xml:space="preserve">Figure </w:t>
      </w:r>
      <w:fldSimple w:instr=" SEQ Figure \* ARABIC ">
        <w:r w:rsidR="001D38D7">
          <w:rPr>
            <w:noProof/>
          </w:rPr>
          <w:t>5</w:t>
        </w:r>
      </w:fldSimple>
      <w:bookmarkEnd w:id="12"/>
      <w:r>
        <w:t xml:space="preserve"> Sagittal Plane: (left)</w:t>
      </w:r>
      <w:r w:rsidRPr="00BF41C8">
        <w:t xml:space="preserve"> Segmentation of the carpal bones and distal radius using threshold 200 - 1253. (right) Threshold    -1024 - 1530, and EraseLabel tool applied.</w:t>
      </w:r>
    </w:p>
    <w:p w14:paraId="514D4366" w14:textId="77777777" w:rsidR="000C4F5F" w:rsidRDefault="000C4F5F" w:rsidP="009119A7">
      <w:pPr>
        <w:keepNext/>
        <w:spacing w:line="360" w:lineRule="auto"/>
      </w:pPr>
      <w:r w:rsidRPr="00F559A0">
        <w:rPr>
          <w:noProof/>
          <w:lang w:val="en-GB" w:eastAsia="en-GB"/>
        </w:rPr>
        <w:drawing>
          <wp:inline distT="0" distB="0" distL="0" distR="0" wp14:anchorId="3A49D2AC" wp14:editId="3D23D126">
            <wp:extent cx="3048000" cy="41426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836" t="11124" r="25754" b="2277"/>
                    <a:stretch/>
                  </pic:blipFill>
                  <pic:spPr bwMode="auto">
                    <a:xfrm>
                      <a:off x="0" y="0"/>
                      <a:ext cx="3101570" cy="4215430"/>
                    </a:xfrm>
                    <a:prstGeom prst="rect">
                      <a:avLst/>
                    </a:prstGeom>
                    <a:ln>
                      <a:noFill/>
                    </a:ln>
                    <a:extLst>
                      <a:ext uri="{53640926-AAD7-44D8-BBD7-CCE9431645EC}">
                        <a14:shadowObscured xmlns:a14="http://schemas.microsoft.com/office/drawing/2010/main"/>
                      </a:ext>
                    </a:extLst>
                  </pic:spPr>
                </pic:pic>
              </a:graphicData>
            </a:graphic>
          </wp:inline>
        </w:drawing>
      </w:r>
    </w:p>
    <w:p w14:paraId="1C1F8476" w14:textId="1148AF19" w:rsidR="000C4F5F" w:rsidRPr="00BF41C8" w:rsidRDefault="000C4F5F" w:rsidP="009119A7">
      <w:pPr>
        <w:pStyle w:val="Caption"/>
        <w:spacing w:line="360" w:lineRule="auto"/>
      </w:pPr>
      <w:bookmarkStart w:id="13" w:name="_Ref60997868"/>
      <w:r>
        <w:t xml:space="preserve">Figure </w:t>
      </w:r>
      <w:fldSimple w:instr=" SEQ Figure \* ARABIC ">
        <w:r w:rsidR="001D38D7">
          <w:rPr>
            <w:noProof/>
          </w:rPr>
          <w:t>6</w:t>
        </w:r>
      </w:fldSimple>
      <w:bookmarkEnd w:id="13"/>
      <w:r>
        <w:t xml:space="preserve"> </w:t>
      </w:r>
      <w:r w:rsidRPr="00BA0DA1">
        <w:t>3D bone models created from segmented carpal bones, distal ulna and distal radius.</w:t>
      </w:r>
    </w:p>
    <w:p w14:paraId="00297119" w14:textId="77777777" w:rsidR="000C4F5F" w:rsidRPr="00C91F40" w:rsidRDefault="000C4F5F" w:rsidP="009119A7">
      <w:pPr>
        <w:keepNext/>
        <w:spacing w:line="360" w:lineRule="auto"/>
        <w:rPr>
          <w:rFonts w:ascii="Times New Roman" w:hAnsi="Times New Roman" w:cs="Times New Roman"/>
          <w:i/>
          <w:iCs/>
          <w:sz w:val="24"/>
          <w:szCs w:val="24"/>
        </w:rPr>
      </w:pPr>
      <w:r w:rsidRPr="00C91F40">
        <w:rPr>
          <w:rFonts w:ascii="Times New Roman" w:hAnsi="Times New Roman" w:cs="Times New Roman"/>
          <w:i/>
          <w:iCs/>
          <w:sz w:val="24"/>
          <w:szCs w:val="24"/>
        </w:rPr>
        <w:t xml:space="preserve">Refinement of 3D Bone Models in Adobe Mudbox </w:t>
      </w:r>
    </w:p>
    <w:p w14:paraId="50E47178" w14:textId="7AE9B040" w:rsidR="000C4F5F"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 xml:space="preserve">The obj file from Slicer was imported into Mudbox, where the raw models created from Slicer segmentation were refined and retopologised. Free-floating objects that came in with the </w:t>
      </w:r>
      <w:r w:rsidRPr="00C91F40">
        <w:rPr>
          <w:rFonts w:ascii="Times New Roman" w:hAnsi="Times New Roman" w:cs="Times New Roman"/>
          <w:sz w:val="24"/>
          <w:szCs w:val="24"/>
        </w:rPr>
        <w:lastRenderedPageBreak/>
        <w:t>eight carpal bones, distal ulna and distal radius were deleted from the file, leaving only ten bone models</w:t>
      </w:r>
      <w:r>
        <w:rPr>
          <w:rFonts w:ascii="Times New Roman" w:hAnsi="Times New Roman" w:cs="Times New Roman"/>
          <w:sz w:val="24"/>
          <w:szCs w:val="24"/>
        </w:rPr>
        <w:t xml:space="preserve"> in the scene</w:t>
      </w:r>
      <w:r w:rsidRPr="00C91F40">
        <w:rPr>
          <w:rFonts w:ascii="Times New Roman" w:hAnsi="Times New Roman" w:cs="Times New Roman"/>
          <w:sz w:val="24"/>
          <w:szCs w:val="24"/>
        </w:rPr>
        <w:t>. Each of these bones were first inspected for holes in the meshes which were patched to ensure continu</w:t>
      </w:r>
      <w:r>
        <w:rPr>
          <w:rFonts w:ascii="Times New Roman" w:hAnsi="Times New Roman" w:cs="Times New Roman"/>
          <w:sz w:val="24"/>
          <w:szCs w:val="24"/>
        </w:rPr>
        <w:t>ity</w:t>
      </w:r>
      <w:r w:rsidRPr="00C91F40">
        <w:rPr>
          <w:rFonts w:ascii="Times New Roman" w:hAnsi="Times New Roman" w:cs="Times New Roman"/>
          <w:sz w:val="24"/>
          <w:szCs w:val="24"/>
        </w:rPr>
        <w:t xml:space="preserve">, which would allow for functionality in real-time engines like Unity during application development. An example of this process can be seen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_Ref60998005 \h </w:instrText>
      </w:r>
      <w:r w:rsidR="009119A7">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1D38D7">
        <w:t xml:space="preserve">Figure </w:t>
      </w:r>
      <w:r w:rsidR="001D38D7">
        <w:rPr>
          <w:noProof/>
        </w:rPr>
        <w:t>7</w:t>
      </w:r>
      <w:r>
        <w:rPr>
          <w:rFonts w:ascii="Times New Roman" w:hAnsi="Times New Roman" w:cs="Times New Roman"/>
          <w:sz w:val="24"/>
          <w:szCs w:val="24"/>
        </w:rPr>
        <w:fldChar w:fldCharType="end"/>
      </w:r>
      <w:r w:rsidRPr="00C91F40">
        <w:rPr>
          <w:rFonts w:ascii="Times New Roman" w:hAnsi="Times New Roman" w:cs="Times New Roman"/>
          <w:sz w:val="24"/>
          <w:szCs w:val="24"/>
        </w:rPr>
        <w:t>. Once all the holes were patched, each bone was refined using the sculpting tools, harsh edges were smoothed, and articulating surfaces were defined. Photos of the carpal bones, found in Chapter 13 of the Human Bone Manual</w:t>
      </w:r>
      <w:r w:rsidR="00D50B08">
        <w:rPr>
          <w:rFonts w:ascii="Times New Roman" w:hAnsi="Times New Roman" w:cs="Times New Roman"/>
          <w:sz w:val="24"/>
          <w:szCs w:val="24"/>
        </w:rPr>
        <w:t xml:space="preserve"> </w:t>
      </w:r>
      <w:r w:rsidR="00361265" w:rsidRPr="00C91F40">
        <w:rPr>
          <w:rFonts w:ascii="Times New Roman" w:hAnsi="Times New Roman" w:cs="Times New Roman"/>
          <w:sz w:val="24"/>
          <w:szCs w:val="24"/>
        </w:rPr>
        <w:t>(White and Folkens, 2005)</w:t>
      </w:r>
      <w:r w:rsidRPr="00C91F40">
        <w:rPr>
          <w:rFonts w:ascii="Times New Roman" w:hAnsi="Times New Roman" w:cs="Times New Roman"/>
          <w:sz w:val="24"/>
          <w:szCs w:val="24"/>
        </w:rPr>
        <w:t>, along with 3D models of the carpal bones found on Sketchfab, were used as references when refining the bone models, as access to real bones were not available. A before and after of the modelling process in Mudbox can be seen in</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_Ref60998071 \h </w:instrText>
      </w:r>
      <w:r w:rsidR="009119A7">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1D38D7">
        <w:t xml:space="preserve">Figure </w:t>
      </w:r>
      <w:r w:rsidR="001D38D7">
        <w:rPr>
          <w:noProof/>
        </w:rPr>
        <w:t>8</w:t>
      </w:r>
      <w:r>
        <w:rPr>
          <w:rFonts w:ascii="Times New Roman" w:hAnsi="Times New Roman" w:cs="Times New Roman"/>
          <w:sz w:val="24"/>
          <w:szCs w:val="24"/>
        </w:rPr>
        <w:fldChar w:fldCharType="end"/>
      </w:r>
      <w:r w:rsidRPr="00C91F40">
        <w:rPr>
          <w:rFonts w:ascii="Times New Roman" w:hAnsi="Times New Roman" w:cs="Times New Roman"/>
          <w:sz w:val="24"/>
          <w:szCs w:val="24"/>
        </w:rPr>
        <w:t>. When the models were finally satisfactory, the “Reduce Mesh” tool was used to lower the polycounts of each bone model by 95-98%, deeming them suitable for import into Unity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_Ref60998130 \h </w:instrText>
      </w:r>
      <w:r w:rsidR="009119A7">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1D38D7">
        <w:t xml:space="preserve">Figure </w:t>
      </w:r>
      <w:r w:rsidR="001D38D7">
        <w:rPr>
          <w:noProof/>
        </w:rPr>
        <w:t>9</w:t>
      </w:r>
      <w:r>
        <w:rPr>
          <w:rFonts w:ascii="Times New Roman" w:hAnsi="Times New Roman" w:cs="Times New Roman"/>
          <w:sz w:val="24"/>
          <w:szCs w:val="24"/>
        </w:rPr>
        <w:fldChar w:fldCharType="end"/>
      </w:r>
      <w:r w:rsidRPr="00C91F40">
        <w:rPr>
          <w:rFonts w:ascii="Times New Roman" w:hAnsi="Times New Roman" w:cs="Times New Roman"/>
          <w:sz w:val="24"/>
          <w:szCs w:val="24"/>
        </w:rPr>
        <w:t xml:space="preserve">). After mesh reduction, the bone models were exported to 3DS Max for a final check of the meshes and poly counts. </w:t>
      </w:r>
    </w:p>
    <w:p w14:paraId="66E1FAEF" w14:textId="77777777" w:rsidR="000C4F5F" w:rsidRDefault="000C4F5F" w:rsidP="009119A7">
      <w:pPr>
        <w:keepNext/>
        <w:spacing w:line="360" w:lineRule="auto"/>
        <w:ind w:firstLine="720"/>
      </w:pPr>
      <w:r w:rsidRPr="00F559A0">
        <w:rPr>
          <w:rFonts w:ascii="Times New Roman" w:hAnsi="Times New Roman" w:cs="Times New Roman"/>
          <w:noProof/>
          <w:sz w:val="24"/>
          <w:szCs w:val="24"/>
          <w:lang w:val="en-GB" w:eastAsia="en-GB"/>
        </w:rPr>
        <w:drawing>
          <wp:inline distT="0" distB="0" distL="0" distR="0" wp14:anchorId="221B6F48" wp14:editId="1188D3C8">
            <wp:extent cx="1614819" cy="1501140"/>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0907"/>
                    <a:stretch/>
                  </pic:blipFill>
                  <pic:spPr bwMode="auto">
                    <a:xfrm>
                      <a:off x="0" y="0"/>
                      <a:ext cx="1650147" cy="1533981"/>
                    </a:xfrm>
                    <a:prstGeom prst="rect">
                      <a:avLst/>
                    </a:prstGeom>
                    <a:noFill/>
                    <a:ln>
                      <a:noFill/>
                    </a:ln>
                    <a:extLst>
                      <a:ext uri="{53640926-AAD7-44D8-BBD7-CCE9431645EC}">
                        <a14:shadowObscured xmlns:a14="http://schemas.microsoft.com/office/drawing/2010/main"/>
                      </a:ext>
                    </a:extLst>
                  </pic:spPr>
                </pic:pic>
              </a:graphicData>
            </a:graphic>
          </wp:inline>
        </w:drawing>
      </w:r>
      <w:r w:rsidRPr="00F559A0">
        <w:rPr>
          <w:rFonts w:ascii="Times New Roman" w:hAnsi="Times New Roman" w:cs="Times New Roman"/>
          <w:noProof/>
          <w:sz w:val="24"/>
          <w:szCs w:val="24"/>
          <w:lang w:val="en-GB" w:eastAsia="en-GB"/>
        </w:rPr>
        <w:drawing>
          <wp:inline distT="0" distB="0" distL="0" distR="0" wp14:anchorId="49316317" wp14:editId="06B3557B">
            <wp:extent cx="1661160" cy="14929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3241" cy="1557694"/>
                    </a:xfrm>
                    <a:prstGeom prst="rect">
                      <a:avLst/>
                    </a:prstGeom>
                    <a:noFill/>
                    <a:ln>
                      <a:noFill/>
                    </a:ln>
                  </pic:spPr>
                </pic:pic>
              </a:graphicData>
            </a:graphic>
          </wp:inline>
        </w:drawing>
      </w:r>
      <w:r w:rsidRPr="00F559A0">
        <w:rPr>
          <w:rFonts w:ascii="Times New Roman" w:hAnsi="Times New Roman" w:cs="Times New Roman"/>
          <w:noProof/>
          <w:sz w:val="24"/>
          <w:szCs w:val="24"/>
          <w:lang w:val="en-GB" w:eastAsia="en-GB"/>
        </w:rPr>
        <w:drawing>
          <wp:inline distT="0" distB="0" distL="0" distR="0" wp14:anchorId="28E30748" wp14:editId="289B2675">
            <wp:extent cx="1655129" cy="1478280"/>
            <wp:effectExtent l="0" t="0" r="254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4421"/>
                    <a:stretch/>
                  </pic:blipFill>
                  <pic:spPr bwMode="auto">
                    <a:xfrm>
                      <a:off x="0" y="0"/>
                      <a:ext cx="1740712" cy="1554719"/>
                    </a:xfrm>
                    <a:prstGeom prst="rect">
                      <a:avLst/>
                    </a:prstGeom>
                    <a:noFill/>
                    <a:ln>
                      <a:noFill/>
                    </a:ln>
                    <a:extLst>
                      <a:ext uri="{53640926-AAD7-44D8-BBD7-CCE9431645EC}">
                        <a14:shadowObscured xmlns:a14="http://schemas.microsoft.com/office/drawing/2010/main"/>
                      </a:ext>
                    </a:extLst>
                  </pic:spPr>
                </pic:pic>
              </a:graphicData>
            </a:graphic>
          </wp:inline>
        </w:drawing>
      </w:r>
    </w:p>
    <w:p w14:paraId="06649219" w14:textId="6FADEE22" w:rsidR="000C4F5F" w:rsidRDefault="000C4F5F" w:rsidP="009119A7">
      <w:pPr>
        <w:pStyle w:val="Caption"/>
        <w:spacing w:line="360" w:lineRule="auto"/>
      </w:pPr>
      <w:bookmarkStart w:id="14" w:name="_Ref60998005"/>
      <w:r>
        <w:t xml:space="preserve">Figure </w:t>
      </w:r>
      <w:fldSimple w:instr=" SEQ Figure \* ARABIC ">
        <w:r w:rsidR="001D38D7">
          <w:rPr>
            <w:noProof/>
          </w:rPr>
          <w:t>7</w:t>
        </w:r>
      </w:fldSimple>
      <w:bookmarkEnd w:id="14"/>
      <w:r>
        <w:t xml:space="preserve"> </w:t>
      </w:r>
      <w:r w:rsidRPr="00044A41">
        <w:t>Process of finding holes in a model's mesh and patching them. First, a hole is identified in the model’s mesh (left). Then, the border of the hole is selected using the border selection tool (middle). Finally, the patch function is used to cap the hole</w:t>
      </w:r>
    </w:p>
    <w:p w14:paraId="5B457271" w14:textId="77777777" w:rsidR="000C4F5F" w:rsidRDefault="000C4F5F" w:rsidP="009119A7">
      <w:pPr>
        <w:keepNext/>
        <w:spacing w:line="360" w:lineRule="auto"/>
      </w:pPr>
      <w:r w:rsidRPr="00F559A0">
        <w:rPr>
          <w:noProof/>
          <w:lang w:val="en-GB" w:eastAsia="en-GB"/>
        </w:rPr>
        <w:lastRenderedPageBreak/>
        <w:drawing>
          <wp:inline distT="0" distB="0" distL="0" distR="0" wp14:anchorId="631F0D0D" wp14:editId="39448E8E">
            <wp:extent cx="2956560" cy="3713192"/>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8453" cy="3715569"/>
                    </a:xfrm>
                    <a:prstGeom prst="rect">
                      <a:avLst/>
                    </a:prstGeom>
                    <a:noFill/>
                    <a:ln>
                      <a:noFill/>
                    </a:ln>
                  </pic:spPr>
                </pic:pic>
              </a:graphicData>
            </a:graphic>
          </wp:inline>
        </w:drawing>
      </w:r>
      <w:r w:rsidRPr="00F559A0">
        <w:rPr>
          <w:noProof/>
          <w:lang w:val="en-GB" w:eastAsia="en-GB"/>
        </w:rPr>
        <w:drawing>
          <wp:inline distT="0" distB="0" distL="0" distR="0" wp14:anchorId="161DA778" wp14:editId="0AAE5DD2">
            <wp:extent cx="2941320" cy="37179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9966" cy="3741503"/>
                    </a:xfrm>
                    <a:prstGeom prst="rect">
                      <a:avLst/>
                    </a:prstGeom>
                    <a:noFill/>
                    <a:ln>
                      <a:noFill/>
                    </a:ln>
                  </pic:spPr>
                </pic:pic>
              </a:graphicData>
            </a:graphic>
          </wp:inline>
        </w:drawing>
      </w:r>
    </w:p>
    <w:p w14:paraId="12443D15" w14:textId="6EB57657" w:rsidR="000C4F5F" w:rsidRDefault="000C4F5F" w:rsidP="009119A7">
      <w:pPr>
        <w:pStyle w:val="Caption"/>
        <w:spacing w:line="360" w:lineRule="auto"/>
      </w:pPr>
      <w:bookmarkStart w:id="15" w:name="_Ref60998071"/>
      <w:r>
        <w:t xml:space="preserve">Figure </w:t>
      </w:r>
      <w:fldSimple w:instr=" SEQ Figure \* ARABIC ">
        <w:r w:rsidR="001D38D7">
          <w:rPr>
            <w:noProof/>
          </w:rPr>
          <w:t>8</w:t>
        </w:r>
      </w:fldSimple>
      <w:bookmarkEnd w:id="15"/>
      <w:r>
        <w:t xml:space="preserve"> </w:t>
      </w:r>
      <w:r w:rsidRPr="008009DA">
        <w:t>Before and after refining of bone models imported from Slicer in Mudbox.</w:t>
      </w:r>
    </w:p>
    <w:p w14:paraId="5EE814E9" w14:textId="77777777" w:rsidR="000C4F5F" w:rsidRDefault="000C4F5F" w:rsidP="009119A7">
      <w:pPr>
        <w:keepNext/>
        <w:spacing w:line="360" w:lineRule="auto"/>
      </w:pPr>
      <w:r w:rsidRPr="00F559A0">
        <w:rPr>
          <w:rFonts w:ascii="Times New Roman" w:hAnsi="Times New Roman" w:cs="Times New Roman"/>
          <w:noProof/>
          <w:sz w:val="24"/>
          <w:szCs w:val="24"/>
          <w:lang w:val="en-GB" w:eastAsia="en-GB"/>
        </w:rPr>
        <w:drawing>
          <wp:inline distT="0" distB="0" distL="0" distR="0" wp14:anchorId="5E51EFBE" wp14:editId="08673D8B">
            <wp:extent cx="3505200" cy="35466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9159" cy="3570924"/>
                    </a:xfrm>
                    <a:prstGeom prst="rect">
                      <a:avLst/>
                    </a:prstGeom>
                    <a:noFill/>
                    <a:ln>
                      <a:noFill/>
                    </a:ln>
                  </pic:spPr>
                </pic:pic>
              </a:graphicData>
            </a:graphic>
          </wp:inline>
        </w:drawing>
      </w:r>
    </w:p>
    <w:p w14:paraId="08771706" w14:textId="78A1A36B" w:rsidR="000C4F5F" w:rsidRDefault="000C4F5F" w:rsidP="009119A7">
      <w:pPr>
        <w:pStyle w:val="Caption"/>
        <w:spacing w:line="360" w:lineRule="auto"/>
      </w:pPr>
      <w:bookmarkStart w:id="16" w:name="_Ref60998130"/>
      <w:r>
        <w:t xml:space="preserve">Figure </w:t>
      </w:r>
      <w:fldSimple w:instr=" SEQ Figure \* ARABIC ">
        <w:r w:rsidR="001D38D7">
          <w:rPr>
            <w:noProof/>
          </w:rPr>
          <w:t>9</w:t>
        </w:r>
      </w:fldSimple>
      <w:bookmarkEnd w:id="16"/>
      <w:r>
        <w:t xml:space="preserve"> </w:t>
      </w:r>
      <w:r w:rsidRPr="001D1398">
        <w:t>Bone model obj files exported from Mudbox into 3DS Max to do a final check of the meshes and poly counts.</w:t>
      </w:r>
    </w:p>
    <w:p w14:paraId="5BBAF5A1" w14:textId="77777777" w:rsidR="000C4F5F" w:rsidRPr="005876CB" w:rsidRDefault="000C4F5F" w:rsidP="009119A7">
      <w:pPr>
        <w:spacing w:line="360" w:lineRule="auto"/>
      </w:pPr>
    </w:p>
    <w:p w14:paraId="2E6E0106" w14:textId="77777777" w:rsidR="000C4F5F" w:rsidRPr="00C91F40" w:rsidRDefault="000C4F5F" w:rsidP="009119A7">
      <w:pPr>
        <w:pStyle w:val="ListParagraph"/>
        <w:numPr>
          <w:ilvl w:val="3"/>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t>Application Development</w:t>
      </w:r>
    </w:p>
    <w:p w14:paraId="4D2A0D5C" w14:textId="1255DDDE" w:rsidR="000C4F5F"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 xml:space="preserve">In total, the application holds 12 interactive scenes: the first being the main menu, followed by nine contributing to the educational module, one being the 3D bones scene, and one being the flashcard test. A schematic map of the scene flow is given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_Ref60998185 \h </w:instrText>
      </w:r>
      <w:r w:rsidR="009119A7">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1D38D7">
        <w:t xml:space="preserve">Figure </w:t>
      </w:r>
      <w:r w:rsidR="001D38D7">
        <w:rPr>
          <w:noProof/>
        </w:rPr>
        <w:t>10</w:t>
      </w:r>
      <w:r>
        <w:rPr>
          <w:rFonts w:ascii="Times New Roman" w:hAnsi="Times New Roman" w:cs="Times New Roman"/>
          <w:sz w:val="24"/>
          <w:szCs w:val="24"/>
        </w:rPr>
        <w:fldChar w:fldCharType="end"/>
      </w:r>
      <w:r w:rsidRPr="00C91F40">
        <w:rPr>
          <w:rFonts w:ascii="Times New Roman" w:hAnsi="Times New Roman" w:cs="Times New Roman"/>
          <w:sz w:val="24"/>
          <w:szCs w:val="24"/>
        </w:rPr>
        <w:t>. C# scripts were coded for interactive use of the application in each scene, and animations of 3D models and UI elements were created using the Animation and Animator Controller tools in Unity and were triggered by C# scripts or event triggers with box or mesh colliders.</w:t>
      </w:r>
    </w:p>
    <w:p w14:paraId="614F5584" w14:textId="77777777" w:rsidR="000C4F5F" w:rsidRDefault="000C4F5F" w:rsidP="009119A7">
      <w:pPr>
        <w:keepNext/>
        <w:spacing w:line="360" w:lineRule="auto"/>
        <w:ind w:firstLine="720"/>
      </w:pPr>
      <w:r w:rsidRPr="00F559A0">
        <w:rPr>
          <w:rFonts w:ascii="Times New Roman" w:hAnsi="Times New Roman" w:cs="Times New Roman"/>
          <w:noProof/>
          <w:sz w:val="24"/>
          <w:szCs w:val="24"/>
          <w:lang w:val="en-GB" w:eastAsia="en-GB"/>
        </w:rPr>
        <w:drawing>
          <wp:inline distT="0" distB="0" distL="0" distR="0" wp14:anchorId="7BB0B816" wp14:editId="459325D8">
            <wp:extent cx="4693920" cy="4069568"/>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821" t="2873" r="12180"/>
                    <a:stretch/>
                  </pic:blipFill>
                  <pic:spPr bwMode="auto">
                    <a:xfrm>
                      <a:off x="0" y="0"/>
                      <a:ext cx="4715333" cy="4088133"/>
                    </a:xfrm>
                    <a:prstGeom prst="rect">
                      <a:avLst/>
                    </a:prstGeom>
                    <a:noFill/>
                    <a:ln>
                      <a:noFill/>
                    </a:ln>
                    <a:extLst>
                      <a:ext uri="{53640926-AAD7-44D8-BBD7-CCE9431645EC}">
                        <a14:shadowObscured xmlns:a14="http://schemas.microsoft.com/office/drawing/2010/main"/>
                      </a:ext>
                    </a:extLst>
                  </pic:spPr>
                </pic:pic>
              </a:graphicData>
            </a:graphic>
          </wp:inline>
        </w:drawing>
      </w:r>
    </w:p>
    <w:p w14:paraId="3B9093A7" w14:textId="02024BD9" w:rsidR="000C4F5F" w:rsidRPr="00C91F40" w:rsidRDefault="000C4F5F" w:rsidP="009119A7">
      <w:pPr>
        <w:pStyle w:val="Caption"/>
        <w:spacing w:line="360" w:lineRule="auto"/>
        <w:rPr>
          <w:rFonts w:ascii="Times New Roman" w:hAnsi="Times New Roman" w:cs="Times New Roman"/>
          <w:color w:val="auto"/>
          <w:sz w:val="24"/>
          <w:szCs w:val="24"/>
        </w:rPr>
      </w:pPr>
      <w:bookmarkStart w:id="17" w:name="_Ref60998185"/>
      <w:r>
        <w:t xml:space="preserve">Figure </w:t>
      </w:r>
      <w:fldSimple w:instr=" SEQ Figure \* ARABIC ">
        <w:r w:rsidR="001D38D7">
          <w:rPr>
            <w:noProof/>
          </w:rPr>
          <w:t>10</w:t>
        </w:r>
      </w:fldSimple>
      <w:bookmarkEnd w:id="17"/>
      <w:r>
        <w:t xml:space="preserve"> </w:t>
      </w:r>
      <w:r w:rsidRPr="006103C1">
        <w:t>Map of mobile application scene flow.</w:t>
      </w:r>
    </w:p>
    <w:p w14:paraId="347D3A52" w14:textId="7CF0DAC8" w:rsidR="000C4F5F"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The first scene built was the main menu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_Ref60998294 \h </w:instrText>
      </w:r>
      <w:r w:rsidR="009119A7">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1D38D7">
        <w:t xml:space="preserve">Figure </w:t>
      </w:r>
      <w:r w:rsidR="001D38D7">
        <w:rPr>
          <w:noProof/>
        </w:rPr>
        <w:t>11</w:t>
      </w:r>
      <w:r>
        <w:rPr>
          <w:rFonts w:ascii="Times New Roman" w:hAnsi="Times New Roman" w:cs="Times New Roman"/>
          <w:sz w:val="24"/>
          <w:szCs w:val="24"/>
        </w:rPr>
        <w:fldChar w:fldCharType="end"/>
      </w:r>
      <w:r>
        <w:rPr>
          <w:rFonts w:ascii="Times New Roman" w:hAnsi="Times New Roman" w:cs="Times New Roman"/>
          <w:sz w:val="24"/>
          <w:szCs w:val="24"/>
        </w:rPr>
        <w:t>)</w:t>
      </w:r>
      <w:r w:rsidRPr="00C91F40">
        <w:rPr>
          <w:rFonts w:ascii="Times New Roman" w:hAnsi="Times New Roman" w:cs="Times New Roman"/>
          <w:sz w:val="24"/>
          <w:szCs w:val="24"/>
        </w:rPr>
        <w:t xml:space="preserve">. This included the addition of a canvas and panel, and the placement and anchoring of four UI buttons, each directing the user to either a new scene, or the information window. The buttons were placed from top to bottom in the intended order of play by the user. It would be ideal for the user to start off their application </w:t>
      </w:r>
      <w:r w:rsidRPr="00C91F40">
        <w:rPr>
          <w:rFonts w:ascii="Times New Roman" w:hAnsi="Times New Roman" w:cs="Times New Roman"/>
          <w:sz w:val="24"/>
          <w:szCs w:val="24"/>
        </w:rPr>
        <w:lastRenderedPageBreak/>
        <w:t xml:space="preserve">experience by first going through the educational module (top button), followed by the interaction with the 3D bone models (middle button), and finally finish with the testing of their knowledge with the flashcard game (bottom button). An information button is at the very bottom of the main menu screen if direction for use of the application should be needed. </w:t>
      </w:r>
    </w:p>
    <w:p w14:paraId="43332EA9" w14:textId="77777777" w:rsidR="000C4F5F" w:rsidRDefault="000C4F5F" w:rsidP="009119A7">
      <w:pPr>
        <w:keepNext/>
        <w:spacing w:line="360" w:lineRule="auto"/>
        <w:ind w:firstLine="720"/>
      </w:pPr>
      <w:r w:rsidRPr="00F559A0">
        <w:rPr>
          <w:rFonts w:ascii="Times New Roman" w:hAnsi="Times New Roman" w:cs="Times New Roman"/>
          <w:noProof/>
          <w:sz w:val="24"/>
          <w:szCs w:val="24"/>
          <w:lang w:val="en-GB" w:eastAsia="en-GB"/>
        </w:rPr>
        <w:drawing>
          <wp:inline distT="0" distB="0" distL="0" distR="0" wp14:anchorId="391FA111" wp14:editId="0D72DB9A">
            <wp:extent cx="3535680" cy="471170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5680" cy="4711700"/>
                    </a:xfrm>
                    <a:prstGeom prst="rect">
                      <a:avLst/>
                    </a:prstGeom>
                    <a:noFill/>
                    <a:ln>
                      <a:noFill/>
                    </a:ln>
                  </pic:spPr>
                </pic:pic>
              </a:graphicData>
            </a:graphic>
          </wp:inline>
        </w:drawing>
      </w:r>
    </w:p>
    <w:p w14:paraId="1D91DF31" w14:textId="047DC293" w:rsidR="000C4F5F" w:rsidRPr="00C91F40" w:rsidRDefault="000C4F5F" w:rsidP="009119A7">
      <w:pPr>
        <w:pStyle w:val="Caption"/>
        <w:spacing w:line="360" w:lineRule="auto"/>
        <w:rPr>
          <w:rFonts w:ascii="Times New Roman" w:hAnsi="Times New Roman" w:cs="Times New Roman"/>
          <w:color w:val="auto"/>
          <w:sz w:val="24"/>
          <w:szCs w:val="24"/>
        </w:rPr>
      </w:pPr>
      <w:bookmarkStart w:id="18" w:name="_Ref60998294"/>
      <w:r>
        <w:t xml:space="preserve">Figure </w:t>
      </w:r>
      <w:fldSimple w:instr=" SEQ Figure \* ARABIC ">
        <w:r w:rsidR="001D38D7">
          <w:rPr>
            <w:noProof/>
          </w:rPr>
          <w:t>11</w:t>
        </w:r>
      </w:fldSimple>
      <w:bookmarkEnd w:id="18"/>
      <w:r>
        <w:t xml:space="preserve"> </w:t>
      </w:r>
      <w:r w:rsidRPr="000E6F44">
        <w:t>User interface for the main menu scene of mobile application in Unity</w:t>
      </w:r>
      <w:r>
        <w:t>.</w:t>
      </w:r>
    </w:p>
    <w:p w14:paraId="002C0D75" w14:textId="76806857" w:rsidR="000C4F5F" w:rsidRPr="00C91F40"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 xml:space="preserve">The goal of the educational module was to introduce each carpal bone and visualise how the etymology of its name is linked to the shape of the bone. Each bone module begins showing the entire wrist and distal ulna and radius bones, which then disappear to reveal the placement of the bone in the context of all the others. The bone is then enlarged and rotated while a script of the anatomy and articulations of the bone is sounded via voice over, and finally, an illustration of the etymology visualisation is shown </w:t>
      </w:r>
      <w:r w:rsidR="003F2F1D">
        <w:rPr>
          <w:rFonts w:ascii="Times New Roman" w:hAnsi="Times New Roman" w:cs="Times New Roman"/>
          <w:sz w:val="24"/>
          <w:szCs w:val="24"/>
        </w:rPr>
        <w:t>beside</w:t>
      </w:r>
      <w:r w:rsidRPr="00C91F40">
        <w:rPr>
          <w:rFonts w:ascii="Times New Roman" w:hAnsi="Times New Roman" w:cs="Times New Roman"/>
          <w:sz w:val="24"/>
          <w:szCs w:val="24"/>
        </w:rPr>
        <w:t xml:space="preserve"> the bone for comparison. The interactive features of </w:t>
      </w:r>
      <w:r w:rsidRPr="00C91F40">
        <w:rPr>
          <w:rFonts w:ascii="Times New Roman" w:hAnsi="Times New Roman" w:cs="Times New Roman"/>
          <w:sz w:val="24"/>
          <w:szCs w:val="24"/>
        </w:rPr>
        <w:lastRenderedPageBreak/>
        <w:t>these scenes are the home button to return to the main menu, scrolling script for accessibility purposes, and the next button to move on to the next bone.</w:t>
      </w:r>
    </w:p>
    <w:p w14:paraId="350CECE3" w14:textId="339D5CBC" w:rsidR="000C4F5F"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 xml:space="preserve">The Bones scene allows the user to explore the carpal bones’ anatomies and etymologies at their own pace, and in the context of their placement relating to their surrounding structures. The user can read about each carpal bone’s anatomy and etymology by selecting from the tabs in the information panel which will appear once a bone is selected. The selected bone will be highlighted in blue, allowing the user to identify which bone is being studied, and where that bone is placed in the context of the surrounding bones. An example of this can be seen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_Ref60998434 \h </w:instrText>
      </w:r>
      <w:r w:rsidR="009119A7">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1D38D7">
        <w:t xml:space="preserve">Figure </w:t>
      </w:r>
      <w:r w:rsidR="001D38D7">
        <w:rPr>
          <w:noProof/>
        </w:rPr>
        <w:t>12</w:t>
      </w:r>
      <w:r>
        <w:rPr>
          <w:rFonts w:ascii="Times New Roman" w:hAnsi="Times New Roman" w:cs="Times New Roman"/>
          <w:sz w:val="24"/>
          <w:szCs w:val="24"/>
        </w:rPr>
        <w:fldChar w:fldCharType="end"/>
      </w:r>
      <w:r w:rsidRPr="00C91F40">
        <w:rPr>
          <w:rFonts w:ascii="Times New Roman" w:hAnsi="Times New Roman" w:cs="Times New Roman"/>
          <w:sz w:val="24"/>
          <w:szCs w:val="24"/>
        </w:rPr>
        <w:t>, where the lunate bone is selected.</w:t>
      </w:r>
    </w:p>
    <w:p w14:paraId="4BE8A0D3" w14:textId="77777777" w:rsidR="000C4F5F" w:rsidRDefault="000C4F5F" w:rsidP="009119A7">
      <w:pPr>
        <w:keepNext/>
        <w:spacing w:line="360" w:lineRule="auto"/>
        <w:ind w:firstLine="720"/>
      </w:pPr>
      <w:r w:rsidRPr="00F559A0">
        <w:rPr>
          <w:rFonts w:ascii="Times New Roman" w:hAnsi="Times New Roman" w:cs="Times New Roman"/>
          <w:noProof/>
          <w:sz w:val="24"/>
          <w:szCs w:val="24"/>
          <w:lang w:val="en-GB" w:eastAsia="en-GB"/>
        </w:rPr>
        <w:drawing>
          <wp:inline distT="0" distB="0" distL="0" distR="0" wp14:anchorId="0A5F4EEF" wp14:editId="0563CBD8">
            <wp:extent cx="2499360" cy="294760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l="49277"/>
                    <a:stretch/>
                  </pic:blipFill>
                  <pic:spPr bwMode="auto">
                    <a:xfrm>
                      <a:off x="0" y="0"/>
                      <a:ext cx="2553383" cy="30113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Pr="00F559A0">
        <w:rPr>
          <w:rFonts w:ascii="Times New Roman" w:hAnsi="Times New Roman" w:cs="Times New Roman"/>
          <w:noProof/>
          <w:sz w:val="24"/>
          <w:szCs w:val="24"/>
          <w:lang w:val="en-GB" w:eastAsia="en-GB"/>
        </w:rPr>
        <w:drawing>
          <wp:inline distT="0" distB="0" distL="0" distR="0" wp14:anchorId="608FC69A" wp14:editId="06C2F770">
            <wp:extent cx="2603569" cy="2948940"/>
            <wp:effectExtent l="0" t="0" r="635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a:extLst>
                        <a:ext uri="{28A0092B-C50C-407E-A947-70E740481C1C}">
                          <a14:useLocalDpi xmlns:a14="http://schemas.microsoft.com/office/drawing/2010/main" val="0"/>
                        </a:ext>
                      </a:extLst>
                    </a:blip>
                    <a:srcRect l="49679"/>
                    <a:stretch/>
                  </pic:blipFill>
                  <pic:spPr bwMode="auto">
                    <a:xfrm>
                      <a:off x="0" y="0"/>
                      <a:ext cx="2641938" cy="2992399"/>
                    </a:xfrm>
                    <a:prstGeom prst="rect">
                      <a:avLst/>
                    </a:prstGeom>
                    <a:noFill/>
                    <a:ln>
                      <a:noFill/>
                    </a:ln>
                    <a:extLst>
                      <a:ext uri="{53640926-AAD7-44D8-BBD7-CCE9431645EC}">
                        <a14:shadowObscured xmlns:a14="http://schemas.microsoft.com/office/drawing/2010/main"/>
                      </a:ext>
                    </a:extLst>
                  </pic:spPr>
                </pic:pic>
              </a:graphicData>
            </a:graphic>
          </wp:inline>
        </w:drawing>
      </w:r>
    </w:p>
    <w:p w14:paraId="366E9725" w14:textId="491B94FC" w:rsidR="000C4F5F" w:rsidRPr="00C91F40" w:rsidRDefault="000C4F5F" w:rsidP="009119A7">
      <w:pPr>
        <w:pStyle w:val="Caption"/>
        <w:spacing w:line="360" w:lineRule="auto"/>
        <w:rPr>
          <w:rFonts w:ascii="Times New Roman" w:hAnsi="Times New Roman" w:cs="Times New Roman"/>
          <w:color w:val="auto"/>
          <w:sz w:val="24"/>
          <w:szCs w:val="24"/>
        </w:rPr>
      </w:pPr>
      <w:bookmarkStart w:id="19" w:name="_Ref60998434"/>
      <w:r>
        <w:t xml:space="preserve">Figure </w:t>
      </w:r>
      <w:fldSimple w:instr=" SEQ Figure \* ARABIC ">
        <w:r w:rsidR="001D38D7">
          <w:rPr>
            <w:noProof/>
          </w:rPr>
          <w:t>12</w:t>
        </w:r>
      </w:fldSimple>
      <w:bookmarkEnd w:id="19"/>
      <w:r>
        <w:t xml:space="preserve"> </w:t>
      </w:r>
      <w:r w:rsidRPr="00BA3192">
        <w:t>User Interface and interactions with the 3D bone models. The top left image shows the lunate bone selected and highlighted in the colour blue. The top right image shows the anatomy tab of the lunate information panel selected. The bottom image shows th</w:t>
      </w:r>
      <w:r>
        <w:t>e etymology tab of the lunate information panel selected.</w:t>
      </w:r>
    </w:p>
    <w:p w14:paraId="4BA92DC6" w14:textId="01A89A2B" w:rsidR="000C4F5F"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The main goal of the application is to improve medical students’ learning and retention of carpal bone anatomy, and the flashcards allow them to test their knowledge in-app</w:t>
      </w:r>
      <w:r w:rsidR="003C307C" w:rsidRPr="003C307C">
        <w:rPr>
          <w:rFonts w:ascii="Times New Roman" w:hAnsi="Times New Roman" w:cs="Times New Roman"/>
          <w:sz w:val="24"/>
          <w:szCs w:val="24"/>
        </w:rPr>
        <w:t xml:space="preserve"> </w:t>
      </w:r>
      <w:r w:rsidR="003C307C" w:rsidRPr="00C91F40">
        <w:rPr>
          <w:rFonts w:ascii="Times New Roman" w:hAnsi="Times New Roman" w:cs="Times New Roman"/>
          <w:sz w:val="24"/>
          <w:szCs w:val="24"/>
        </w:rPr>
        <w:t>after going through the educational module and 3D bones scene</w:t>
      </w:r>
      <w:r w:rsidRPr="00C91F40">
        <w:rPr>
          <w:rFonts w:ascii="Times New Roman" w:hAnsi="Times New Roman" w:cs="Times New Roman"/>
          <w:sz w:val="24"/>
          <w:szCs w:val="24"/>
        </w:rPr>
        <w:t>. The scene consists of eight flashcards displaying the 3D models of the carpal bones on the fronts of the cards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_Ref60998479 \h </w:instrText>
      </w:r>
      <w:r w:rsidR="009119A7">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1D38D7">
        <w:t xml:space="preserve">Figure </w:t>
      </w:r>
      <w:r w:rsidR="001D38D7">
        <w:rPr>
          <w:noProof/>
        </w:rPr>
        <w:t>13</w:t>
      </w:r>
      <w:r>
        <w:rPr>
          <w:rFonts w:ascii="Times New Roman" w:hAnsi="Times New Roman" w:cs="Times New Roman"/>
          <w:sz w:val="24"/>
          <w:szCs w:val="24"/>
        </w:rPr>
        <w:fldChar w:fldCharType="end"/>
      </w:r>
      <w:r w:rsidRPr="00C91F40">
        <w:rPr>
          <w:rFonts w:ascii="Times New Roman" w:hAnsi="Times New Roman" w:cs="Times New Roman"/>
          <w:sz w:val="24"/>
          <w:szCs w:val="24"/>
        </w:rPr>
        <w:t xml:space="preserve">). When the “begin” and “next” buttons are tapped, a new flashcard will appear on the screen. The user can </w:t>
      </w:r>
      <w:r w:rsidRPr="00C91F40">
        <w:rPr>
          <w:rFonts w:ascii="Times New Roman" w:hAnsi="Times New Roman" w:cs="Times New Roman"/>
          <w:sz w:val="24"/>
          <w:szCs w:val="24"/>
        </w:rPr>
        <w:lastRenderedPageBreak/>
        <w:t>manipulate each bone by rotating it in place to view its different angles. When the “flip” button is selected, it reveals the name of the bone, as well as its etymology.</w:t>
      </w:r>
    </w:p>
    <w:p w14:paraId="344DDBC6" w14:textId="77777777" w:rsidR="000C4F5F" w:rsidRDefault="000C4F5F" w:rsidP="009119A7">
      <w:pPr>
        <w:keepNext/>
        <w:spacing w:line="360" w:lineRule="auto"/>
        <w:ind w:firstLine="720"/>
      </w:pPr>
      <w:r w:rsidRPr="00F559A0">
        <w:rPr>
          <w:rFonts w:ascii="Times New Roman" w:hAnsi="Times New Roman" w:cs="Times New Roman"/>
          <w:noProof/>
          <w:sz w:val="24"/>
          <w:szCs w:val="24"/>
          <w:lang w:val="en-GB" w:eastAsia="en-GB"/>
        </w:rPr>
        <w:drawing>
          <wp:inline distT="0" distB="0" distL="0" distR="0" wp14:anchorId="009B2FF9" wp14:editId="5C8C2458">
            <wp:extent cx="5543550" cy="30483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3031" cy="3053574"/>
                    </a:xfrm>
                    <a:prstGeom prst="rect">
                      <a:avLst/>
                    </a:prstGeom>
                    <a:noFill/>
                    <a:ln>
                      <a:noFill/>
                    </a:ln>
                  </pic:spPr>
                </pic:pic>
              </a:graphicData>
            </a:graphic>
          </wp:inline>
        </w:drawing>
      </w:r>
    </w:p>
    <w:p w14:paraId="29F5026A" w14:textId="3E4A221B" w:rsidR="000C4F5F" w:rsidRPr="00C91F40" w:rsidRDefault="000C4F5F" w:rsidP="009119A7">
      <w:pPr>
        <w:pStyle w:val="Caption"/>
        <w:spacing w:line="360" w:lineRule="auto"/>
        <w:rPr>
          <w:rFonts w:ascii="Times New Roman" w:hAnsi="Times New Roman" w:cs="Times New Roman"/>
          <w:color w:val="auto"/>
          <w:sz w:val="24"/>
          <w:szCs w:val="24"/>
        </w:rPr>
      </w:pPr>
      <w:bookmarkStart w:id="20" w:name="_Ref60998479"/>
      <w:r>
        <w:t xml:space="preserve">Figure </w:t>
      </w:r>
      <w:fldSimple w:instr=" SEQ Figure \* ARABIC ">
        <w:r w:rsidR="001D38D7">
          <w:rPr>
            <w:noProof/>
          </w:rPr>
          <w:t>13</w:t>
        </w:r>
      </w:fldSimple>
      <w:bookmarkEnd w:id="20"/>
      <w:r>
        <w:t xml:space="preserve"> </w:t>
      </w:r>
      <w:r w:rsidRPr="00733948">
        <w:t>Set of all eight carpal bone flashcards in Unity.</w:t>
      </w:r>
    </w:p>
    <w:p w14:paraId="376A5AED" w14:textId="77777777" w:rsidR="000C4F5F" w:rsidRPr="00C91F40" w:rsidRDefault="000C4F5F" w:rsidP="009119A7">
      <w:pPr>
        <w:pStyle w:val="ListParagraph"/>
        <w:numPr>
          <w:ilvl w:val="0"/>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t>Evaluation</w:t>
      </w:r>
      <w:r w:rsidRPr="00C91F40">
        <w:rPr>
          <w:rFonts w:ascii="Times New Roman" w:hAnsi="Times New Roman" w:cs="Times New Roman"/>
          <w:sz w:val="24"/>
          <w:szCs w:val="24"/>
        </w:rPr>
        <w:tab/>
      </w:r>
    </w:p>
    <w:p w14:paraId="062EF557" w14:textId="3F0621A5" w:rsidR="000C4F5F" w:rsidRPr="00C91F40" w:rsidRDefault="000C4F5F" w:rsidP="009119A7">
      <w:pPr>
        <w:keepNext/>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Medical students tested the mobile application and completed pre</w:t>
      </w:r>
      <w:r w:rsidR="00A55E33">
        <w:rPr>
          <w:rFonts w:ascii="Times New Roman" w:hAnsi="Times New Roman" w:cs="Times New Roman"/>
          <w:sz w:val="24"/>
          <w:szCs w:val="24"/>
        </w:rPr>
        <w:t>-</w:t>
      </w:r>
      <w:r w:rsidRPr="00C91F40">
        <w:rPr>
          <w:rFonts w:ascii="Times New Roman" w:hAnsi="Times New Roman" w:cs="Times New Roman"/>
          <w:sz w:val="24"/>
          <w:szCs w:val="24"/>
        </w:rPr>
        <w:t xml:space="preserve"> and post</w:t>
      </w:r>
      <w:r w:rsidR="00A55E33">
        <w:rPr>
          <w:rFonts w:ascii="Times New Roman" w:hAnsi="Times New Roman" w:cs="Times New Roman"/>
          <w:sz w:val="24"/>
          <w:szCs w:val="24"/>
        </w:rPr>
        <w:t>-</w:t>
      </w:r>
      <w:r w:rsidRPr="00C91F40">
        <w:rPr>
          <w:rFonts w:ascii="Times New Roman" w:hAnsi="Times New Roman" w:cs="Times New Roman"/>
          <w:sz w:val="24"/>
          <w:szCs w:val="24"/>
        </w:rPr>
        <w:t>tests, as well as a participant questionnaire at the end of the testing sessions. Testing was conducted to assess the educational aspect of the application and to validate the design and development process. User feedback was collected and analysed, and later implemented into the application to make final improvements</w:t>
      </w:r>
      <w:r w:rsidR="00F148CF">
        <w:rPr>
          <w:rFonts w:ascii="Times New Roman" w:hAnsi="Times New Roman" w:cs="Times New Roman"/>
          <w:sz w:val="24"/>
          <w:szCs w:val="24"/>
        </w:rPr>
        <w:t>.</w:t>
      </w:r>
    </w:p>
    <w:p w14:paraId="5D481FD9" w14:textId="118BFAC1" w:rsidR="000C4F5F" w:rsidRPr="005153F9" w:rsidRDefault="000C4F5F" w:rsidP="005153F9">
      <w:pPr>
        <w:pStyle w:val="ListParagraph"/>
        <w:numPr>
          <w:ilvl w:val="1"/>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t>Research Evaluation Methods</w:t>
      </w:r>
    </w:p>
    <w:p w14:paraId="58B3A022" w14:textId="68539D08" w:rsidR="000C4F5F" w:rsidRPr="00C91F40" w:rsidRDefault="006452B1" w:rsidP="009119A7">
      <w:pPr>
        <w:pStyle w:val="ListParagraph"/>
        <w:numPr>
          <w:ilvl w:val="2"/>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Materials and </w:t>
      </w:r>
      <w:r w:rsidR="000C4F5F" w:rsidRPr="00C91F40">
        <w:rPr>
          <w:rFonts w:ascii="Times New Roman" w:hAnsi="Times New Roman" w:cs="Times New Roman"/>
          <w:sz w:val="24"/>
          <w:szCs w:val="24"/>
        </w:rPr>
        <w:t>Methods</w:t>
      </w:r>
    </w:p>
    <w:p w14:paraId="25ED7CC2" w14:textId="06596069" w:rsidR="0011705B" w:rsidRDefault="0011705B" w:rsidP="0011705B">
      <w:pPr>
        <w:spacing w:line="360" w:lineRule="auto"/>
        <w:ind w:firstLine="720"/>
        <w:rPr>
          <w:rFonts w:ascii="Times New Roman" w:hAnsi="Times New Roman" w:cs="Times New Roman"/>
          <w:sz w:val="24"/>
          <w:szCs w:val="24"/>
        </w:rPr>
      </w:pPr>
      <w:r w:rsidRPr="005153F9">
        <w:rPr>
          <w:rFonts w:ascii="Times New Roman" w:hAnsi="Times New Roman" w:cs="Times New Roman"/>
          <w:sz w:val="24"/>
          <w:szCs w:val="24"/>
        </w:rPr>
        <w:t xml:space="preserve">Access to the participant group was granted by the University of Glasgow Undergraduate Medical School. </w:t>
      </w:r>
      <w:r w:rsidR="006452B1">
        <w:rPr>
          <w:rFonts w:ascii="Times New Roman" w:hAnsi="Times New Roman" w:cs="Times New Roman"/>
          <w:sz w:val="24"/>
          <w:szCs w:val="24"/>
        </w:rPr>
        <w:t>S</w:t>
      </w:r>
      <w:r w:rsidR="006452B1" w:rsidRPr="006452B1">
        <w:rPr>
          <w:rFonts w:ascii="Times New Roman" w:hAnsi="Times New Roman" w:cs="Times New Roman"/>
          <w:sz w:val="24"/>
          <w:szCs w:val="24"/>
        </w:rPr>
        <w:t xml:space="preserve">tudents in the first and second year of the MBChB degree at the University of Glasgow were invited to participate in the study. </w:t>
      </w:r>
      <w:r w:rsidR="006452B1">
        <w:rPr>
          <w:rFonts w:ascii="Times New Roman" w:hAnsi="Times New Roman" w:cs="Times New Roman"/>
          <w:sz w:val="24"/>
          <w:szCs w:val="24"/>
        </w:rPr>
        <w:t>All participants</w:t>
      </w:r>
      <w:r w:rsidR="006452B1" w:rsidRPr="006452B1">
        <w:rPr>
          <w:rFonts w:ascii="Times New Roman" w:hAnsi="Times New Roman" w:cs="Times New Roman"/>
          <w:sz w:val="24"/>
          <w:szCs w:val="24"/>
        </w:rPr>
        <w:t xml:space="preserve"> were required to have access to an Android device</w:t>
      </w:r>
      <w:r w:rsidR="006452B1">
        <w:rPr>
          <w:rFonts w:ascii="Times New Roman" w:hAnsi="Times New Roman" w:cs="Times New Roman"/>
          <w:sz w:val="24"/>
          <w:szCs w:val="24"/>
        </w:rPr>
        <w:t xml:space="preserve"> and complete a participant consent form before taking part in the study</w:t>
      </w:r>
      <w:r w:rsidR="006452B1" w:rsidRPr="006452B1">
        <w:rPr>
          <w:rFonts w:ascii="Times New Roman" w:hAnsi="Times New Roman" w:cs="Times New Roman"/>
          <w:sz w:val="24"/>
          <w:szCs w:val="24"/>
        </w:rPr>
        <w:t xml:space="preserve">. </w:t>
      </w:r>
      <w:r w:rsidR="000C4F5F" w:rsidRPr="00C91F40">
        <w:rPr>
          <w:rFonts w:ascii="Times New Roman" w:hAnsi="Times New Roman" w:cs="Times New Roman"/>
          <w:sz w:val="24"/>
          <w:szCs w:val="24"/>
        </w:rPr>
        <w:t xml:space="preserve">Testing sessions were hosted </w:t>
      </w:r>
      <w:r w:rsidR="005A3FA4">
        <w:rPr>
          <w:rFonts w:ascii="Times New Roman" w:hAnsi="Times New Roman" w:cs="Times New Roman"/>
          <w:sz w:val="24"/>
          <w:szCs w:val="24"/>
        </w:rPr>
        <w:t>remotely</w:t>
      </w:r>
      <w:r w:rsidR="000C4F5F" w:rsidRPr="00C91F40">
        <w:rPr>
          <w:rFonts w:ascii="Times New Roman" w:hAnsi="Times New Roman" w:cs="Times New Roman"/>
          <w:sz w:val="24"/>
          <w:szCs w:val="24"/>
        </w:rPr>
        <w:t xml:space="preserve"> via video meetings</w:t>
      </w:r>
      <w:r w:rsidR="00EC3971">
        <w:rPr>
          <w:rFonts w:ascii="Times New Roman" w:hAnsi="Times New Roman" w:cs="Times New Roman"/>
          <w:sz w:val="24"/>
          <w:szCs w:val="24"/>
        </w:rPr>
        <w:t xml:space="preserve"> on Zoom</w:t>
      </w:r>
      <w:r w:rsidR="000C4F5F" w:rsidRPr="00C91F40">
        <w:rPr>
          <w:rFonts w:ascii="Times New Roman" w:hAnsi="Times New Roman" w:cs="Times New Roman"/>
          <w:sz w:val="24"/>
          <w:szCs w:val="24"/>
        </w:rPr>
        <w:t xml:space="preserve">. </w:t>
      </w:r>
      <w:r w:rsidR="00522460">
        <w:rPr>
          <w:rFonts w:ascii="Times New Roman" w:hAnsi="Times New Roman" w:cs="Times New Roman"/>
          <w:sz w:val="24"/>
          <w:szCs w:val="24"/>
        </w:rPr>
        <w:t>In t</w:t>
      </w:r>
      <w:r w:rsidR="00EC3971">
        <w:rPr>
          <w:rFonts w:ascii="Times New Roman" w:hAnsi="Times New Roman" w:cs="Times New Roman"/>
          <w:sz w:val="24"/>
          <w:szCs w:val="24"/>
        </w:rPr>
        <w:t>he testing sessions</w:t>
      </w:r>
      <w:r w:rsidR="00522460">
        <w:rPr>
          <w:rFonts w:ascii="Times New Roman" w:hAnsi="Times New Roman" w:cs="Times New Roman"/>
          <w:sz w:val="24"/>
          <w:szCs w:val="24"/>
        </w:rPr>
        <w:t xml:space="preserve">, </w:t>
      </w:r>
      <w:r w:rsidR="00EC3971">
        <w:rPr>
          <w:rFonts w:ascii="Times New Roman" w:hAnsi="Times New Roman" w:cs="Times New Roman"/>
          <w:sz w:val="24"/>
          <w:szCs w:val="24"/>
        </w:rPr>
        <w:t>each participant</w:t>
      </w:r>
      <w:r w:rsidR="00522460">
        <w:rPr>
          <w:rFonts w:ascii="Times New Roman" w:hAnsi="Times New Roman" w:cs="Times New Roman"/>
          <w:sz w:val="24"/>
          <w:szCs w:val="24"/>
        </w:rPr>
        <w:t xml:space="preserve"> </w:t>
      </w:r>
      <w:r w:rsidR="007C280D">
        <w:rPr>
          <w:rFonts w:ascii="Times New Roman" w:hAnsi="Times New Roman" w:cs="Times New Roman"/>
          <w:sz w:val="24"/>
          <w:szCs w:val="24"/>
        </w:rPr>
        <w:t>was</w:t>
      </w:r>
      <w:r w:rsidR="00EC3971">
        <w:rPr>
          <w:rFonts w:ascii="Times New Roman" w:hAnsi="Times New Roman" w:cs="Times New Roman"/>
          <w:sz w:val="24"/>
          <w:szCs w:val="24"/>
        </w:rPr>
        <w:t xml:space="preserve"> first given a carpal bone pre-test, then asked to use the mobile application on </w:t>
      </w:r>
      <w:r w:rsidR="00EC3971">
        <w:rPr>
          <w:rFonts w:ascii="Times New Roman" w:hAnsi="Times New Roman" w:cs="Times New Roman"/>
          <w:sz w:val="24"/>
          <w:szCs w:val="24"/>
        </w:rPr>
        <w:lastRenderedPageBreak/>
        <w:t>their own android device and finish</w:t>
      </w:r>
      <w:r w:rsidR="00522460">
        <w:rPr>
          <w:rFonts w:ascii="Times New Roman" w:hAnsi="Times New Roman" w:cs="Times New Roman"/>
          <w:sz w:val="24"/>
          <w:szCs w:val="24"/>
        </w:rPr>
        <w:t>ed</w:t>
      </w:r>
      <w:r w:rsidR="00EC3971">
        <w:rPr>
          <w:rFonts w:ascii="Times New Roman" w:hAnsi="Times New Roman" w:cs="Times New Roman"/>
          <w:sz w:val="24"/>
          <w:szCs w:val="24"/>
        </w:rPr>
        <w:t xml:space="preserve"> with a carpal bone post-test and participant questionnaire. </w:t>
      </w:r>
      <w:r w:rsidR="000C4F5F" w:rsidRPr="00C91F40">
        <w:rPr>
          <w:rFonts w:ascii="Times New Roman" w:hAnsi="Times New Roman" w:cs="Times New Roman"/>
          <w:sz w:val="24"/>
          <w:szCs w:val="24"/>
        </w:rPr>
        <w:t xml:space="preserve">The mobile application was </w:t>
      </w:r>
      <w:r w:rsidR="009119A7">
        <w:rPr>
          <w:rFonts w:ascii="Times New Roman" w:hAnsi="Times New Roman" w:cs="Times New Roman"/>
          <w:sz w:val="24"/>
          <w:szCs w:val="24"/>
        </w:rPr>
        <w:t xml:space="preserve">developed for and </w:t>
      </w:r>
      <w:r w:rsidR="000C4F5F" w:rsidRPr="00C91F40">
        <w:rPr>
          <w:rFonts w:ascii="Times New Roman" w:hAnsi="Times New Roman" w:cs="Times New Roman"/>
          <w:sz w:val="24"/>
          <w:szCs w:val="24"/>
        </w:rPr>
        <w:t xml:space="preserve">tested on different models of Android devices. </w:t>
      </w:r>
      <w:r w:rsidRPr="0011705B">
        <w:rPr>
          <w:rFonts w:ascii="Times New Roman" w:hAnsi="Times New Roman" w:cs="Times New Roman"/>
          <w:sz w:val="24"/>
          <w:szCs w:val="24"/>
        </w:rPr>
        <w:t xml:space="preserve"> </w:t>
      </w:r>
      <w:r w:rsidRPr="00C91F40">
        <w:rPr>
          <w:rFonts w:ascii="Times New Roman" w:hAnsi="Times New Roman" w:cs="Times New Roman"/>
          <w:sz w:val="24"/>
          <w:szCs w:val="24"/>
        </w:rPr>
        <w:t>JISC Online Survey service was used to create and collect data from the Participant Information and Consent form, pre and post-test Carp</w:t>
      </w:r>
      <w:r>
        <w:rPr>
          <w:rFonts w:ascii="Times New Roman" w:hAnsi="Times New Roman" w:cs="Times New Roman"/>
          <w:sz w:val="24"/>
          <w:szCs w:val="24"/>
        </w:rPr>
        <w:t>al Bone Test</w:t>
      </w:r>
      <w:r w:rsidRPr="00C91F40">
        <w:rPr>
          <w:rFonts w:ascii="Times New Roman" w:hAnsi="Times New Roman" w:cs="Times New Roman"/>
          <w:sz w:val="24"/>
          <w:szCs w:val="24"/>
        </w:rPr>
        <w:t xml:space="preserve">, and the Participant Questionnaire. A USE-type questionnaire allowed participants to rate their experience and their thoughts on the mobile application on a scale of one to seven; these scores are defined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_Ref60998913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t xml:space="preserve">Table </w:t>
      </w:r>
      <w:r>
        <w:rPr>
          <w:noProof/>
        </w:rPr>
        <w:t>2</w:t>
      </w:r>
      <w:r>
        <w:rPr>
          <w:rFonts w:ascii="Times New Roman" w:hAnsi="Times New Roman" w:cs="Times New Roman"/>
          <w:sz w:val="24"/>
          <w:szCs w:val="24"/>
        </w:rPr>
        <w:fldChar w:fldCharType="end"/>
      </w:r>
      <w:r w:rsidRPr="00C91F40">
        <w:rPr>
          <w:rFonts w:ascii="Times New Roman" w:hAnsi="Times New Roman" w:cs="Times New Roman"/>
          <w:sz w:val="24"/>
          <w:szCs w:val="24"/>
        </w:rPr>
        <w:t xml:space="preserve">. </w:t>
      </w:r>
    </w:p>
    <w:p w14:paraId="22D7EECD" w14:textId="77777777" w:rsidR="0011705B" w:rsidRDefault="0011705B" w:rsidP="0011705B">
      <w:pPr>
        <w:pStyle w:val="Caption"/>
        <w:keepNext/>
        <w:spacing w:line="360" w:lineRule="auto"/>
      </w:pPr>
      <w:bookmarkStart w:id="21" w:name="_Ref60998913"/>
      <w:r>
        <w:t xml:space="preserve">Table </w:t>
      </w:r>
      <w:fldSimple w:instr=" SEQ Table \* ARABIC ">
        <w:r>
          <w:rPr>
            <w:noProof/>
          </w:rPr>
          <w:t>2</w:t>
        </w:r>
      </w:fldSimple>
      <w:bookmarkEnd w:id="21"/>
      <w:r>
        <w:t xml:space="preserve"> </w:t>
      </w:r>
      <w:r w:rsidRPr="00973D7C">
        <w:t>Participant Questionnaire number scores and their corresponding meanings</w:t>
      </w:r>
      <w:r>
        <w:t>.</w:t>
      </w:r>
    </w:p>
    <w:tbl>
      <w:tblPr>
        <w:tblStyle w:val="TableGrid"/>
        <w:tblW w:w="0" w:type="auto"/>
        <w:jc w:val="center"/>
        <w:tblLook w:val="04A0" w:firstRow="1" w:lastRow="0" w:firstColumn="1" w:lastColumn="0" w:noHBand="0" w:noVBand="1"/>
      </w:tblPr>
      <w:tblGrid>
        <w:gridCol w:w="1129"/>
        <w:gridCol w:w="3544"/>
      </w:tblGrid>
      <w:tr w:rsidR="0011705B" w:rsidRPr="00F559A0" w14:paraId="124B936F" w14:textId="77777777" w:rsidTr="00A65C3D">
        <w:trPr>
          <w:jc w:val="center"/>
        </w:trPr>
        <w:tc>
          <w:tcPr>
            <w:tcW w:w="1129" w:type="dxa"/>
            <w:shd w:val="clear" w:color="auto" w:fill="88BAFF"/>
          </w:tcPr>
          <w:p w14:paraId="50F0FD85" w14:textId="77777777" w:rsidR="0011705B" w:rsidRPr="00F559A0" w:rsidRDefault="0011705B" w:rsidP="00A65C3D">
            <w:pPr>
              <w:spacing w:line="360" w:lineRule="auto"/>
              <w:jc w:val="center"/>
              <w:rPr>
                <w:rFonts w:ascii="Times New Roman" w:hAnsi="Times New Roman" w:cs="Times New Roman"/>
                <w:sz w:val="24"/>
                <w:szCs w:val="24"/>
              </w:rPr>
            </w:pPr>
            <w:r w:rsidRPr="00F559A0">
              <w:rPr>
                <w:rFonts w:ascii="Times New Roman" w:hAnsi="Times New Roman" w:cs="Times New Roman"/>
                <w:sz w:val="24"/>
                <w:szCs w:val="24"/>
              </w:rPr>
              <w:t>Score</w:t>
            </w:r>
          </w:p>
        </w:tc>
        <w:tc>
          <w:tcPr>
            <w:tcW w:w="3544" w:type="dxa"/>
            <w:shd w:val="clear" w:color="auto" w:fill="88BAFF"/>
          </w:tcPr>
          <w:p w14:paraId="483AC95B" w14:textId="77777777" w:rsidR="0011705B" w:rsidRPr="00F559A0" w:rsidRDefault="0011705B" w:rsidP="00A65C3D">
            <w:pPr>
              <w:spacing w:line="360" w:lineRule="auto"/>
              <w:jc w:val="center"/>
              <w:rPr>
                <w:rFonts w:ascii="Times New Roman" w:hAnsi="Times New Roman" w:cs="Times New Roman"/>
                <w:sz w:val="24"/>
                <w:szCs w:val="24"/>
              </w:rPr>
            </w:pPr>
            <w:r w:rsidRPr="00F559A0">
              <w:rPr>
                <w:rFonts w:ascii="Times New Roman" w:hAnsi="Times New Roman" w:cs="Times New Roman"/>
                <w:sz w:val="24"/>
                <w:szCs w:val="24"/>
              </w:rPr>
              <w:t>Score Meaning</w:t>
            </w:r>
          </w:p>
        </w:tc>
      </w:tr>
      <w:tr w:rsidR="0011705B" w:rsidRPr="00F559A0" w14:paraId="0B75C49E" w14:textId="77777777" w:rsidTr="00A65C3D">
        <w:trPr>
          <w:jc w:val="center"/>
        </w:trPr>
        <w:tc>
          <w:tcPr>
            <w:tcW w:w="1129" w:type="dxa"/>
          </w:tcPr>
          <w:p w14:paraId="7863C7F6" w14:textId="77777777" w:rsidR="0011705B" w:rsidRPr="00F559A0" w:rsidRDefault="0011705B" w:rsidP="00A65C3D">
            <w:pPr>
              <w:spacing w:line="360" w:lineRule="auto"/>
              <w:jc w:val="center"/>
              <w:rPr>
                <w:rFonts w:ascii="Times New Roman" w:hAnsi="Times New Roman" w:cs="Times New Roman"/>
                <w:sz w:val="24"/>
                <w:szCs w:val="24"/>
              </w:rPr>
            </w:pPr>
            <w:r w:rsidRPr="00F559A0">
              <w:rPr>
                <w:rFonts w:ascii="Times New Roman" w:hAnsi="Times New Roman" w:cs="Times New Roman"/>
                <w:sz w:val="24"/>
                <w:szCs w:val="24"/>
              </w:rPr>
              <w:t>1</w:t>
            </w:r>
          </w:p>
        </w:tc>
        <w:tc>
          <w:tcPr>
            <w:tcW w:w="3544" w:type="dxa"/>
          </w:tcPr>
          <w:p w14:paraId="26FB22E0" w14:textId="77777777" w:rsidR="0011705B" w:rsidRPr="00F559A0" w:rsidRDefault="0011705B" w:rsidP="00A65C3D">
            <w:pPr>
              <w:spacing w:line="360" w:lineRule="auto"/>
              <w:rPr>
                <w:rFonts w:ascii="Times New Roman" w:hAnsi="Times New Roman" w:cs="Times New Roman"/>
                <w:sz w:val="24"/>
                <w:szCs w:val="24"/>
              </w:rPr>
            </w:pPr>
            <w:r w:rsidRPr="00F559A0">
              <w:rPr>
                <w:rFonts w:ascii="Times New Roman" w:hAnsi="Times New Roman" w:cs="Times New Roman"/>
                <w:sz w:val="24"/>
                <w:szCs w:val="24"/>
              </w:rPr>
              <w:t>strongly disagree</w:t>
            </w:r>
          </w:p>
        </w:tc>
      </w:tr>
      <w:tr w:rsidR="0011705B" w:rsidRPr="00F559A0" w14:paraId="177F8C0E" w14:textId="77777777" w:rsidTr="00A65C3D">
        <w:trPr>
          <w:jc w:val="center"/>
        </w:trPr>
        <w:tc>
          <w:tcPr>
            <w:tcW w:w="1129" w:type="dxa"/>
          </w:tcPr>
          <w:p w14:paraId="4004A1B0" w14:textId="77777777" w:rsidR="0011705B" w:rsidRPr="00F559A0" w:rsidRDefault="0011705B" w:rsidP="00A65C3D">
            <w:pPr>
              <w:spacing w:line="360" w:lineRule="auto"/>
              <w:jc w:val="center"/>
              <w:rPr>
                <w:rFonts w:ascii="Times New Roman" w:hAnsi="Times New Roman" w:cs="Times New Roman"/>
                <w:sz w:val="24"/>
                <w:szCs w:val="24"/>
              </w:rPr>
            </w:pPr>
            <w:r w:rsidRPr="00F559A0">
              <w:rPr>
                <w:rFonts w:ascii="Times New Roman" w:hAnsi="Times New Roman" w:cs="Times New Roman"/>
                <w:sz w:val="24"/>
                <w:szCs w:val="24"/>
              </w:rPr>
              <w:t>2</w:t>
            </w:r>
          </w:p>
        </w:tc>
        <w:tc>
          <w:tcPr>
            <w:tcW w:w="3544" w:type="dxa"/>
          </w:tcPr>
          <w:p w14:paraId="0CBBB0F0" w14:textId="77777777" w:rsidR="0011705B" w:rsidRPr="00F559A0" w:rsidRDefault="0011705B" w:rsidP="00A65C3D">
            <w:pPr>
              <w:spacing w:line="360" w:lineRule="auto"/>
              <w:rPr>
                <w:rFonts w:ascii="Times New Roman" w:hAnsi="Times New Roman" w:cs="Times New Roman"/>
                <w:sz w:val="24"/>
                <w:szCs w:val="24"/>
              </w:rPr>
            </w:pPr>
            <w:r w:rsidRPr="00F559A0">
              <w:rPr>
                <w:rFonts w:ascii="Times New Roman" w:hAnsi="Times New Roman" w:cs="Times New Roman"/>
                <w:sz w:val="24"/>
                <w:szCs w:val="24"/>
              </w:rPr>
              <w:t>disagree</w:t>
            </w:r>
          </w:p>
        </w:tc>
      </w:tr>
      <w:tr w:rsidR="0011705B" w:rsidRPr="00F559A0" w14:paraId="6B7CF961" w14:textId="77777777" w:rsidTr="00A65C3D">
        <w:trPr>
          <w:jc w:val="center"/>
        </w:trPr>
        <w:tc>
          <w:tcPr>
            <w:tcW w:w="1129" w:type="dxa"/>
          </w:tcPr>
          <w:p w14:paraId="132CB6A7" w14:textId="77777777" w:rsidR="0011705B" w:rsidRPr="00F559A0" w:rsidRDefault="0011705B" w:rsidP="00A65C3D">
            <w:pPr>
              <w:spacing w:line="360" w:lineRule="auto"/>
              <w:jc w:val="center"/>
              <w:rPr>
                <w:rFonts w:ascii="Times New Roman" w:hAnsi="Times New Roman" w:cs="Times New Roman"/>
                <w:sz w:val="24"/>
                <w:szCs w:val="24"/>
              </w:rPr>
            </w:pPr>
            <w:r w:rsidRPr="00F559A0">
              <w:rPr>
                <w:rFonts w:ascii="Times New Roman" w:hAnsi="Times New Roman" w:cs="Times New Roman"/>
                <w:sz w:val="24"/>
                <w:szCs w:val="24"/>
              </w:rPr>
              <w:t>3</w:t>
            </w:r>
          </w:p>
        </w:tc>
        <w:tc>
          <w:tcPr>
            <w:tcW w:w="3544" w:type="dxa"/>
          </w:tcPr>
          <w:p w14:paraId="3567D5AC" w14:textId="77777777" w:rsidR="0011705B" w:rsidRPr="00F559A0" w:rsidRDefault="0011705B" w:rsidP="00A65C3D">
            <w:pPr>
              <w:spacing w:line="360" w:lineRule="auto"/>
              <w:rPr>
                <w:rFonts w:ascii="Times New Roman" w:hAnsi="Times New Roman" w:cs="Times New Roman"/>
                <w:sz w:val="24"/>
                <w:szCs w:val="24"/>
              </w:rPr>
            </w:pPr>
            <w:r w:rsidRPr="00F559A0">
              <w:rPr>
                <w:rFonts w:ascii="Times New Roman" w:hAnsi="Times New Roman" w:cs="Times New Roman"/>
                <w:sz w:val="24"/>
                <w:szCs w:val="24"/>
              </w:rPr>
              <w:t>somewhat disagree</w:t>
            </w:r>
          </w:p>
        </w:tc>
      </w:tr>
      <w:tr w:rsidR="0011705B" w:rsidRPr="00F559A0" w14:paraId="3676E4BB" w14:textId="77777777" w:rsidTr="00A65C3D">
        <w:trPr>
          <w:jc w:val="center"/>
        </w:trPr>
        <w:tc>
          <w:tcPr>
            <w:tcW w:w="1129" w:type="dxa"/>
          </w:tcPr>
          <w:p w14:paraId="3477EC89" w14:textId="77777777" w:rsidR="0011705B" w:rsidRPr="00F559A0" w:rsidRDefault="0011705B" w:rsidP="00A65C3D">
            <w:pPr>
              <w:spacing w:line="360" w:lineRule="auto"/>
              <w:jc w:val="center"/>
              <w:rPr>
                <w:rFonts w:ascii="Times New Roman" w:hAnsi="Times New Roman" w:cs="Times New Roman"/>
                <w:sz w:val="24"/>
                <w:szCs w:val="24"/>
              </w:rPr>
            </w:pPr>
            <w:r w:rsidRPr="00F559A0">
              <w:rPr>
                <w:rFonts w:ascii="Times New Roman" w:hAnsi="Times New Roman" w:cs="Times New Roman"/>
                <w:sz w:val="24"/>
                <w:szCs w:val="24"/>
              </w:rPr>
              <w:t>4</w:t>
            </w:r>
          </w:p>
        </w:tc>
        <w:tc>
          <w:tcPr>
            <w:tcW w:w="3544" w:type="dxa"/>
          </w:tcPr>
          <w:p w14:paraId="77BA05A1" w14:textId="77777777" w:rsidR="0011705B" w:rsidRPr="00F559A0" w:rsidRDefault="0011705B" w:rsidP="00A65C3D">
            <w:pPr>
              <w:spacing w:line="360" w:lineRule="auto"/>
              <w:rPr>
                <w:rFonts w:ascii="Times New Roman" w:hAnsi="Times New Roman" w:cs="Times New Roman"/>
                <w:sz w:val="24"/>
                <w:szCs w:val="24"/>
              </w:rPr>
            </w:pPr>
            <w:r w:rsidRPr="00F559A0">
              <w:rPr>
                <w:rFonts w:ascii="Times New Roman" w:hAnsi="Times New Roman" w:cs="Times New Roman"/>
                <w:sz w:val="24"/>
                <w:szCs w:val="24"/>
              </w:rPr>
              <w:t>neither agree nor disagree</w:t>
            </w:r>
          </w:p>
        </w:tc>
      </w:tr>
      <w:tr w:rsidR="0011705B" w:rsidRPr="00F559A0" w14:paraId="762FDCC2" w14:textId="77777777" w:rsidTr="00A65C3D">
        <w:trPr>
          <w:jc w:val="center"/>
        </w:trPr>
        <w:tc>
          <w:tcPr>
            <w:tcW w:w="1129" w:type="dxa"/>
          </w:tcPr>
          <w:p w14:paraId="0A319B80" w14:textId="77777777" w:rsidR="0011705B" w:rsidRPr="00F559A0" w:rsidRDefault="0011705B" w:rsidP="00A65C3D">
            <w:pPr>
              <w:spacing w:line="360" w:lineRule="auto"/>
              <w:jc w:val="center"/>
              <w:rPr>
                <w:rFonts w:ascii="Times New Roman" w:hAnsi="Times New Roman" w:cs="Times New Roman"/>
                <w:sz w:val="24"/>
                <w:szCs w:val="24"/>
              </w:rPr>
            </w:pPr>
            <w:r w:rsidRPr="00F559A0">
              <w:rPr>
                <w:rFonts w:ascii="Times New Roman" w:hAnsi="Times New Roman" w:cs="Times New Roman"/>
                <w:sz w:val="24"/>
                <w:szCs w:val="24"/>
              </w:rPr>
              <w:t>5</w:t>
            </w:r>
          </w:p>
        </w:tc>
        <w:tc>
          <w:tcPr>
            <w:tcW w:w="3544" w:type="dxa"/>
          </w:tcPr>
          <w:p w14:paraId="2C272E81" w14:textId="77777777" w:rsidR="0011705B" w:rsidRPr="00F559A0" w:rsidRDefault="0011705B" w:rsidP="00A65C3D">
            <w:pPr>
              <w:spacing w:line="360" w:lineRule="auto"/>
              <w:rPr>
                <w:rFonts w:ascii="Times New Roman" w:hAnsi="Times New Roman" w:cs="Times New Roman"/>
                <w:sz w:val="24"/>
                <w:szCs w:val="24"/>
              </w:rPr>
            </w:pPr>
            <w:r w:rsidRPr="00F559A0">
              <w:rPr>
                <w:rFonts w:ascii="Times New Roman" w:hAnsi="Times New Roman" w:cs="Times New Roman"/>
                <w:sz w:val="24"/>
                <w:szCs w:val="24"/>
              </w:rPr>
              <w:t>somewhat agree</w:t>
            </w:r>
          </w:p>
        </w:tc>
      </w:tr>
      <w:tr w:rsidR="0011705B" w:rsidRPr="00F559A0" w14:paraId="228C1DA0" w14:textId="77777777" w:rsidTr="00A65C3D">
        <w:trPr>
          <w:jc w:val="center"/>
        </w:trPr>
        <w:tc>
          <w:tcPr>
            <w:tcW w:w="1129" w:type="dxa"/>
          </w:tcPr>
          <w:p w14:paraId="2534ECC6" w14:textId="77777777" w:rsidR="0011705B" w:rsidRPr="00F559A0" w:rsidRDefault="0011705B" w:rsidP="00A65C3D">
            <w:pPr>
              <w:spacing w:line="360" w:lineRule="auto"/>
              <w:jc w:val="center"/>
              <w:rPr>
                <w:rFonts w:ascii="Times New Roman" w:hAnsi="Times New Roman" w:cs="Times New Roman"/>
                <w:sz w:val="24"/>
                <w:szCs w:val="24"/>
              </w:rPr>
            </w:pPr>
            <w:r w:rsidRPr="00F559A0">
              <w:rPr>
                <w:rFonts w:ascii="Times New Roman" w:hAnsi="Times New Roman" w:cs="Times New Roman"/>
                <w:sz w:val="24"/>
                <w:szCs w:val="24"/>
              </w:rPr>
              <w:t>6</w:t>
            </w:r>
          </w:p>
        </w:tc>
        <w:tc>
          <w:tcPr>
            <w:tcW w:w="3544" w:type="dxa"/>
          </w:tcPr>
          <w:p w14:paraId="7A6C29CA" w14:textId="77777777" w:rsidR="0011705B" w:rsidRPr="00F559A0" w:rsidRDefault="0011705B" w:rsidP="00A65C3D">
            <w:pPr>
              <w:spacing w:line="360" w:lineRule="auto"/>
              <w:rPr>
                <w:rFonts w:ascii="Times New Roman" w:hAnsi="Times New Roman" w:cs="Times New Roman"/>
                <w:sz w:val="24"/>
                <w:szCs w:val="24"/>
              </w:rPr>
            </w:pPr>
            <w:r w:rsidRPr="00F559A0">
              <w:rPr>
                <w:rFonts w:ascii="Times New Roman" w:hAnsi="Times New Roman" w:cs="Times New Roman"/>
                <w:sz w:val="24"/>
                <w:szCs w:val="24"/>
              </w:rPr>
              <w:t>agree</w:t>
            </w:r>
          </w:p>
        </w:tc>
      </w:tr>
      <w:tr w:rsidR="0011705B" w:rsidRPr="00F559A0" w14:paraId="47CBE162" w14:textId="77777777" w:rsidTr="00A65C3D">
        <w:trPr>
          <w:jc w:val="center"/>
        </w:trPr>
        <w:tc>
          <w:tcPr>
            <w:tcW w:w="1129" w:type="dxa"/>
          </w:tcPr>
          <w:p w14:paraId="745944AF" w14:textId="77777777" w:rsidR="0011705B" w:rsidRPr="00F559A0" w:rsidRDefault="0011705B" w:rsidP="00A65C3D">
            <w:pPr>
              <w:spacing w:line="360" w:lineRule="auto"/>
              <w:jc w:val="center"/>
              <w:rPr>
                <w:rFonts w:ascii="Times New Roman" w:hAnsi="Times New Roman" w:cs="Times New Roman"/>
                <w:sz w:val="24"/>
                <w:szCs w:val="24"/>
              </w:rPr>
            </w:pPr>
            <w:r w:rsidRPr="00F559A0">
              <w:rPr>
                <w:rFonts w:ascii="Times New Roman" w:hAnsi="Times New Roman" w:cs="Times New Roman"/>
                <w:sz w:val="24"/>
                <w:szCs w:val="24"/>
              </w:rPr>
              <w:t>7</w:t>
            </w:r>
          </w:p>
        </w:tc>
        <w:tc>
          <w:tcPr>
            <w:tcW w:w="3544" w:type="dxa"/>
          </w:tcPr>
          <w:p w14:paraId="1FACEB4E" w14:textId="77777777" w:rsidR="0011705B" w:rsidRPr="00F559A0" w:rsidRDefault="0011705B" w:rsidP="00A65C3D">
            <w:pPr>
              <w:spacing w:line="360" w:lineRule="auto"/>
              <w:rPr>
                <w:rFonts w:ascii="Times New Roman" w:hAnsi="Times New Roman" w:cs="Times New Roman"/>
                <w:sz w:val="24"/>
                <w:szCs w:val="24"/>
              </w:rPr>
            </w:pPr>
            <w:r w:rsidRPr="00F559A0">
              <w:rPr>
                <w:rFonts w:ascii="Times New Roman" w:hAnsi="Times New Roman" w:cs="Times New Roman"/>
                <w:sz w:val="24"/>
                <w:szCs w:val="24"/>
              </w:rPr>
              <w:t>strongly agree</w:t>
            </w:r>
          </w:p>
        </w:tc>
      </w:tr>
    </w:tbl>
    <w:p w14:paraId="5F176D8E" w14:textId="59BBD17D" w:rsidR="000C4F5F" w:rsidRPr="00C91F40" w:rsidRDefault="0011705B" w:rsidP="006452B1">
      <w:pPr>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Two participant screening questions were given at the start, concerning the establishment of any previous anatomical or etymological knowledge. The results collected from the testing sessions, specifically, the results from the pre-test, post-test, and Participant Questionnaire, were analysed using Microsoft Excel</w:t>
      </w:r>
      <w:r>
        <w:rPr>
          <w:rFonts w:ascii="Times New Roman" w:hAnsi="Times New Roman" w:cs="Times New Roman"/>
          <w:sz w:val="24"/>
          <w:szCs w:val="24"/>
        </w:rPr>
        <w:t>.</w:t>
      </w:r>
    </w:p>
    <w:p w14:paraId="20D2D8A0" w14:textId="77777777" w:rsidR="000C4F5F" w:rsidRPr="00C91F40" w:rsidRDefault="000C4F5F" w:rsidP="009119A7">
      <w:pPr>
        <w:pStyle w:val="ListParagraph"/>
        <w:numPr>
          <w:ilvl w:val="2"/>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t>Experimental Protocol</w:t>
      </w:r>
    </w:p>
    <w:p w14:paraId="53CD2526" w14:textId="0F214446" w:rsidR="000C4F5F" w:rsidRPr="00C91F40" w:rsidRDefault="000C4F5F" w:rsidP="009119A7">
      <w:pPr>
        <w:pStyle w:val="ListParagraph"/>
        <w:numPr>
          <w:ilvl w:val="3"/>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t>Carpal Bone Pre-Test</w:t>
      </w:r>
      <w:r w:rsidR="005153F9">
        <w:rPr>
          <w:rFonts w:ascii="Times New Roman" w:hAnsi="Times New Roman" w:cs="Times New Roman"/>
          <w:sz w:val="24"/>
          <w:szCs w:val="24"/>
        </w:rPr>
        <w:t xml:space="preserve"> and Post-Test</w:t>
      </w:r>
    </w:p>
    <w:p w14:paraId="00171766" w14:textId="38E9561B" w:rsidR="000C4F5F" w:rsidRPr="00C91F40" w:rsidRDefault="000C4F5F" w:rsidP="005153F9">
      <w:pPr>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The participants were given a link to an online carpal bone test created by the researcher</w:t>
      </w:r>
      <w:r w:rsidR="009617F9">
        <w:rPr>
          <w:rFonts w:ascii="Times New Roman" w:hAnsi="Times New Roman" w:cs="Times New Roman"/>
          <w:sz w:val="24"/>
          <w:szCs w:val="24"/>
        </w:rPr>
        <w:t xml:space="preserve">. They were tasked with identifying each of the </w:t>
      </w:r>
      <w:r w:rsidRPr="00C91F40">
        <w:rPr>
          <w:rFonts w:ascii="Times New Roman" w:hAnsi="Times New Roman" w:cs="Times New Roman"/>
          <w:sz w:val="24"/>
          <w:szCs w:val="24"/>
        </w:rPr>
        <w:t xml:space="preserve">eight carpal bones </w:t>
      </w:r>
      <w:r w:rsidR="002F0B46">
        <w:rPr>
          <w:rFonts w:ascii="Times New Roman" w:hAnsi="Times New Roman" w:cs="Times New Roman"/>
          <w:sz w:val="24"/>
          <w:szCs w:val="24"/>
        </w:rPr>
        <w:t>from</w:t>
      </w:r>
      <w:r w:rsidR="009119A7">
        <w:rPr>
          <w:rFonts w:ascii="Times New Roman" w:hAnsi="Times New Roman" w:cs="Times New Roman"/>
          <w:sz w:val="24"/>
          <w:szCs w:val="24"/>
        </w:rPr>
        <w:t xml:space="preserve"> </w:t>
      </w:r>
      <w:r w:rsidR="00B5069E">
        <w:rPr>
          <w:rFonts w:ascii="Times New Roman" w:hAnsi="Times New Roman" w:cs="Times New Roman"/>
          <w:sz w:val="24"/>
          <w:szCs w:val="24"/>
        </w:rPr>
        <w:t xml:space="preserve">individual </w:t>
      </w:r>
      <w:r w:rsidRPr="00C91F40">
        <w:rPr>
          <w:rFonts w:ascii="Times New Roman" w:hAnsi="Times New Roman" w:cs="Times New Roman"/>
          <w:sz w:val="24"/>
          <w:szCs w:val="24"/>
        </w:rPr>
        <w:t>photographs</w:t>
      </w:r>
      <w:r>
        <w:rPr>
          <w:rFonts w:ascii="Times New Roman" w:hAnsi="Times New Roman" w:cs="Times New Roman"/>
          <w:sz w:val="24"/>
          <w:szCs w:val="24"/>
        </w:rPr>
        <w:t>.</w:t>
      </w:r>
      <w:r w:rsidRPr="00C91F40">
        <w:rPr>
          <w:rFonts w:ascii="Times New Roman" w:hAnsi="Times New Roman" w:cs="Times New Roman"/>
          <w:sz w:val="24"/>
          <w:szCs w:val="24"/>
        </w:rPr>
        <w:t xml:space="preserve"> The students were given five minutes to complete and submit the </w:t>
      </w:r>
      <w:r>
        <w:rPr>
          <w:rFonts w:ascii="Times New Roman" w:hAnsi="Times New Roman" w:cs="Times New Roman"/>
          <w:sz w:val="24"/>
          <w:szCs w:val="24"/>
        </w:rPr>
        <w:t>test</w:t>
      </w:r>
      <w:r w:rsidRPr="00C91F40">
        <w:rPr>
          <w:rFonts w:ascii="Times New Roman" w:hAnsi="Times New Roman" w:cs="Times New Roman"/>
          <w:sz w:val="24"/>
          <w:szCs w:val="24"/>
        </w:rPr>
        <w:t xml:space="preserve"> and were not allowed to use additional resources outside of their own knowledge of anatomy.</w:t>
      </w:r>
      <w:r w:rsidR="005153F9" w:rsidRPr="005153F9">
        <w:rPr>
          <w:rFonts w:ascii="Times New Roman" w:hAnsi="Times New Roman" w:cs="Times New Roman"/>
          <w:sz w:val="24"/>
          <w:szCs w:val="24"/>
        </w:rPr>
        <w:t xml:space="preserve"> </w:t>
      </w:r>
      <w:r w:rsidR="005153F9" w:rsidRPr="00C91F40">
        <w:rPr>
          <w:rFonts w:ascii="Times New Roman" w:hAnsi="Times New Roman" w:cs="Times New Roman"/>
          <w:sz w:val="24"/>
          <w:szCs w:val="24"/>
        </w:rPr>
        <w:t>After testing the application, participants completed the same carpal bone test as a post-test, to assess their knowledge of the bones. The same parameters were applied; they were given five minutes and were not allowed any additional resources.</w:t>
      </w:r>
    </w:p>
    <w:p w14:paraId="10E94972" w14:textId="77777777" w:rsidR="000C4F5F" w:rsidRPr="00C91F40" w:rsidRDefault="000C4F5F" w:rsidP="009119A7">
      <w:pPr>
        <w:pStyle w:val="ListParagraph"/>
        <w:numPr>
          <w:ilvl w:val="3"/>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t>Mobile Application Use</w:t>
      </w:r>
    </w:p>
    <w:p w14:paraId="5D6BF8DD" w14:textId="5ADDA408" w:rsidR="000C4F5F" w:rsidRPr="005153F9" w:rsidRDefault="000C4F5F" w:rsidP="005153F9">
      <w:pPr>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lastRenderedPageBreak/>
        <w:t>After the pre-test, the participants began using the mobile application on their mobile device. They went through each of the scenes, including “Watch”, “Bones”, and “Flashcards” while still on the video call with the researcher</w:t>
      </w:r>
      <w:r w:rsidR="00EE7396">
        <w:rPr>
          <w:rFonts w:ascii="Times New Roman" w:hAnsi="Times New Roman" w:cs="Times New Roman"/>
          <w:sz w:val="24"/>
          <w:szCs w:val="24"/>
        </w:rPr>
        <w:t>.</w:t>
      </w:r>
      <w:r w:rsidRPr="00C91F40">
        <w:rPr>
          <w:rFonts w:ascii="Times New Roman" w:hAnsi="Times New Roman" w:cs="Times New Roman"/>
          <w:sz w:val="24"/>
          <w:szCs w:val="24"/>
        </w:rPr>
        <w:t xml:space="preserve"> </w:t>
      </w:r>
    </w:p>
    <w:p w14:paraId="698E7DF6" w14:textId="77777777" w:rsidR="000C4F5F" w:rsidRPr="00C91F40" w:rsidRDefault="000C4F5F" w:rsidP="009119A7">
      <w:pPr>
        <w:pStyle w:val="ListParagraph"/>
        <w:numPr>
          <w:ilvl w:val="3"/>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t>Usability Questionnaire</w:t>
      </w:r>
    </w:p>
    <w:p w14:paraId="39530781" w14:textId="4356AB36" w:rsidR="000C4F5F" w:rsidRPr="002E0889" w:rsidRDefault="000C4F5F" w:rsidP="002E0889">
      <w:pPr>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At the end of the testing session, the</w:t>
      </w:r>
      <w:r>
        <w:rPr>
          <w:rFonts w:ascii="Times New Roman" w:hAnsi="Times New Roman" w:cs="Times New Roman"/>
          <w:sz w:val="24"/>
          <w:szCs w:val="24"/>
        </w:rPr>
        <w:t>y</w:t>
      </w:r>
      <w:r w:rsidRPr="00C91F40">
        <w:rPr>
          <w:rFonts w:ascii="Times New Roman" w:hAnsi="Times New Roman" w:cs="Times New Roman"/>
          <w:sz w:val="24"/>
          <w:szCs w:val="24"/>
        </w:rPr>
        <w:t xml:space="preserve"> completed a usability questionnaire, which was inspired by the Usefulness, Satisfaction, and Ease of use (USE) questionnaire</w:t>
      </w:r>
      <w:r w:rsidR="007C280D">
        <w:rPr>
          <w:rFonts w:ascii="Times New Roman" w:hAnsi="Times New Roman" w:cs="Times New Roman"/>
          <w:sz w:val="24"/>
          <w:szCs w:val="24"/>
        </w:rPr>
        <w:t xml:space="preserve"> (Lund, 2001)</w:t>
      </w:r>
      <w:r w:rsidRPr="00C91F40">
        <w:rPr>
          <w:rFonts w:ascii="Times New Roman" w:hAnsi="Times New Roman" w:cs="Times New Roman"/>
          <w:sz w:val="24"/>
          <w:szCs w:val="24"/>
        </w:rPr>
        <w:t>, consisting of 20 questions focused on the user’s experience and thoughts on the mobile application. After this questionnaire was completed and submitted, the researcher asked if the student had any more questions or concerns before the video call was ended.</w:t>
      </w:r>
    </w:p>
    <w:p w14:paraId="439DA4D9" w14:textId="77777777" w:rsidR="000C4F5F" w:rsidRPr="00C91F40" w:rsidRDefault="000C4F5F" w:rsidP="009119A7">
      <w:pPr>
        <w:pStyle w:val="ListParagraph"/>
        <w:numPr>
          <w:ilvl w:val="2"/>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t>Ethics Approval</w:t>
      </w:r>
    </w:p>
    <w:p w14:paraId="11C9F140" w14:textId="7117A158" w:rsidR="000C4F5F" w:rsidRPr="00C91F40" w:rsidRDefault="000C4F5F" w:rsidP="009119A7">
      <w:pPr>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Ethics approval for this study was granted by the Glasgow School of Art. All data collected in this study was</w:t>
      </w:r>
      <w:r w:rsidR="00EE7396">
        <w:rPr>
          <w:rFonts w:ascii="Times New Roman" w:hAnsi="Times New Roman" w:cs="Times New Roman"/>
          <w:sz w:val="24"/>
          <w:szCs w:val="24"/>
        </w:rPr>
        <w:t xml:space="preserve"> collected and</w:t>
      </w:r>
      <w:r w:rsidRPr="00C91F40">
        <w:rPr>
          <w:rFonts w:ascii="Times New Roman" w:hAnsi="Times New Roman" w:cs="Times New Roman"/>
          <w:sz w:val="24"/>
          <w:szCs w:val="24"/>
        </w:rPr>
        <w:t xml:space="preserve"> kept anonymous</w:t>
      </w:r>
      <w:r w:rsidR="00EE7396">
        <w:rPr>
          <w:rFonts w:ascii="Times New Roman" w:hAnsi="Times New Roman" w:cs="Times New Roman"/>
          <w:sz w:val="24"/>
          <w:szCs w:val="24"/>
        </w:rPr>
        <w:t xml:space="preserve"> by the researcher</w:t>
      </w:r>
      <w:r w:rsidRPr="00C91F40">
        <w:rPr>
          <w:rFonts w:ascii="Times New Roman" w:hAnsi="Times New Roman" w:cs="Times New Roman"/>
          <w:sz w:val="24"/>
          <w:szCs w:val="24"/>
        </w:rPr>
        <w:t>.</w:t>
      </w:r>
    </w:p>
    <w:p w14:paraId="0B38E49E" w14:textId="33DFCA10" w:rsidR="000C4F5F" w:rsidRPr="00C91F40" w:rsidRDefault="000C4F5F" w:rsidP="005153F9">
      <w:pPr>
        <w:pStyle w:val="ListParagraph"/>
        <w:numPr>
          <w:ilvl w:val="0"/>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t>Results</w:t>
      </w:r>
    </w:p>
    <w:p w14:paraId="5AC4C224" w14:textId="4B6A9259" w:rsidR="005153F9" w:rsidRDefault="005153F9" w:rsidP="005153F9">
      <w:pPr>
        <w:pStyle w:val="ListParagraph"/>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Participants</w:t>
      </w:r>
    </w:p>
    <w:p w14:paraId="527D50A6" w14:textId="2257FF69" w:rsidR="005153F9" w:rsidRPr="005153F9" w:rsidRDefault="00A33E59" w:rsidP="005153F9">
      <w:pPr>
        <w:spacing w:line="360" w:lineRule="auto"/>
        <w:ind w:firstLine="720"/>
        <w:rPr>
          <w:rFonts w:ascii="Times New Roman" w:hAnsi="Times New Roman" w:cs="Times New Roman"/>
          <w:sz w:val="24"/>
          <w:szCs w:val="24"/>
        </w:rPr>
      </w:pPr>
      <w:r>
        <w:rPr>
          <w:rFonts w:ascii="Times New Roman" w:hAnsi="Times New Roman" w:cs="Times New Roman"/>
          <w:sz w:val="24"/>
          <w:szCs w:val="24"/>
        </w:rPr>
        <w:t>Two participants accessed the application using a Samsung device, and one used a Huawei device.</w:t>
      </w:r>
      <w:r w:rsidR="00522460" w:rsidRPr="00C91F40">
        <w:rPr>
          <w:rFonts w:ascii="Times New Roman" w:hAnsi="Times New Roman" w:cs="Times New Roman"/>
          <w:sz w:val="24"/>
          <w:szCs w:val="24"/>
        </w:rPr>
        <w:t xml:space="preserve"> All three participants used mobile phones instead of tablets.</w:t>
      </w:r>
      <w:r w:rsidR="00522460">
        <w:rPr>
          <w:rFonts w:ascii="Times New Roman" w:hAnsi="Times New Roman" w:cs="Times New Roman"/>
          <w:sz w:val="24"/>
          <w:szCs w:val="24"/>
        </w:rPr>
        <w:t xml:space="preserve"> </w:t>
      </w:r>
      <w:r w:rsidR="00C95B02">
        <w:rPr>
          <w:rFonts w:ascii="Times New Roman" w:hAnsi="Times New Roman" w:cs="Times New Roman"/>
          <w:sz w:val="24"/>
          <w:szCs w:val="24"/>
        </w:rPr>
        <w:t>Due to their background in anatomy</w:t>
      </w:r>
      <w:r w:rsidR="00D055A3">
        <w:rPr>
          <w:rFonts w:ascii="Times New Roman" w:hAnsi="Times New Roman" w:cs="Times New Roman"/>
          <w:sz w:val="24"/>
          <w:szCs w:val="24"/>
        </w:rPr>
        <w:t>,</w:t>
      </w:r>
      <w:r w:rsidR="00C95B02">
        <w:rPr>
          <w:rFonts w:ascii="Times New Roman" w:hAnsi="Times New Roman" w:cs="Times New Roman"/>
          <w:sz w:val="24"/>
          <w:szCs w:val="24"/>
        </w:rPr>
        <w:t xml:space="preserve"> the </w:t>
      </w:r>
      <w:r>
        <w:rPr>
          <w:rFonts w:ascii="Times New Roman" w:hAnsi="Times New Roman" w:cs="Times New Roman"/>
          <w:sz w:val="24"/>
          <w:szCs w:val="24"/>
        </w:rPr>
        <w:t>graduate teaching assistant (GTA)</w:t>
      </w:r>
      <w:r w:rsidR="00C95B02">
        <w:rPr>
          <w:rFonts w:ascii="Times New Roman" w:hAnsi="Times New Roman" w:cs="Times New Roman"/>
          <w:sz w:val="24"/>
          <w:szCs w:val="24"/>
        </w:rPr>
        <w:t xml:space="preserve"> </w:t>
      </w:r>
      <w:r w:rsidR="005153F9" w:rsidRPr="005153F9">
        <w:rPr>
          <w:rFonts w:ascii="Times New Roman" w:hAnsi="Times New Roman" w:cs="Times New Roman"/>
          <w:sz w:val="24"/>
          <w:szCs w:val="24"/>
        </w:rPr>
        <w:t xml:space="preserve">tested the application and provided </w:t>
      </w:r>
      <w:r w:rsidR="00522460">
        <w:rPr>
          <w:rFonts w:ascii="Times New Roman" w:hAnsi="Times New Roman" w:cs="Times New Roman"/>
          <w:sz w:val="24"/>
          <w:szCs w:val="24"/>
        </w:rPr>
        <w:t xml:space="preserve">qualitative </w:t>
      </w:r>
      <w:r w:rsidR="005153F9" w:rsidRPr="005153F9">
        <w:rPr>
          <w:rFonts w:ascii="Times New Roman" w:hAnsi="Times New Roman" w:cs="Times New Roman"/>
          <w:sz w:val="24"/>
          <w:szCs w:val="24"/>
        </w:rPr>
        <w:t xml:space="preserve">feedback, which was </w:t>
      </w:r>
      <w:r w:rsidR="00522460">
        <w:rPr>
          <w:rFonts w:ascii="Times New Roman" w:hAnsi="Times New Roman" w:cs="Times New Roman"/>
          <w:sz w:val="24"/>
          <w:szCs w:val="24"/>
        </w:rPr>
        <w:t xml:space="preserve">only </w:t>
      </w:r>
      <w:r w:rsidR="005153F9" w:rsidRPr="005153F9">
        <w:rPr>
          <w:rFonts w:ascii="Times New Roman" w:hAnsi="Times New Roman" w:cs="Times New Roman"/>
          <w:sz w:val="24"/>
          <w:szCs w:val="24"/>
        </w:rPr>
        <w:t>used to implement changes into the mobile application for the final version.</w:t>
      </w:r>
      <w:r w:rsidR="00EC3971" w:rsidRPr="00C91F40">
        <w:rPr>
          <w:rFonts w:ascii="Times New Roman" w:hAnsi="Times New Roman" w:cs="Times New Roman"/>
          <w:sz w:val="24"/>
          <w:szCs w:val="24"/>
        </w:rPr>
        <w:t xml:space="preserve"> </w:t>
      </w:r>
      <w:r w:rsidR="00D055A3">
        <w:rPr>
          <w:rFonts w:ascii="Times New Roman" w:hAnsi="Times New Roman" w:cs="Times New Roman"/>
          <w:sz w:val="24"/>
          <w:szCs w:val="24"/>
        </w:rPr>
        <w:t>They did not complete the pre- and post-</w:t>
      </w:r>
      <w:r w:rsidR="00C86C96">
        <w:rPr>
          <w:rFonts w:ascii="Times New Roman" w:hAnsi="Times New Roman" w:cs="Times New Roman"/>
          <w:sz w:val="24"/>
          <w:szCs w:val="24"/>
        </w:rPr>
        <w:t xml:space="preserve">test quizzes. </w:t>
      </w:r>
      <w:r w:rsidR="00513758" w:rsidRPr="00C91F40">
        <w:rPr>
          <w:rFonts w:ascii="Times New Roman" w:hAnsi="Times New Roman" w:cs="Times New Roman"/>
          <w:sz w:val="24"/>
          <w:szCs w:val="24"/>
        </w:rPr>
        <w:t xml:space="preserve">It is important to note that the testing pool of medical students </w:t>
      </w:r>
      <w:r w:rsidR="00A529D5">
        <w:rPr>
          <w:rFonts w:ascii="Times New Roman" w:hAnsi="Times New Roman" w:cs="Times New Roman"/>
          <w:sz w:val="24"/>
          <w:szCs w:val="24"/>
        </w:rPr>
        <w:t>was</w:t>
      </w:r>
      <w:r w:rsidR="00513758" w:rsidRPr="00C91F40">
        <w:rPr>
          <w:rFonts w:ascii="Times New Roman" w:hAnsi="Times New Roman" w:cs="Times New Roman"/>
          <w:sz w:val="24"/>
          <w:szCs w:val="24"/>
        </w:rPr>
        <w:t xml:space="preserve"> extremely small (n=2).</w:t>
      </w:r>
      <w:r w:rsidR="00513758">
        <w:rPr>
          <w:rFonts w:ascii="Times New Roman" w:hAnsi="Times New Roman" w:cs="Times New Roman"/>
          <w:sz w:val="24"/>
          <w:szCs w:val="24"/>
        </w:rPr>
        <w:t xml:space="preserve"> </w:t>
      </w:r>
      <w:r w:rsidR="00513758" w:rsidRPr="00C91F40">
        <w:rPr>
          <w:rFonts w:ascii="Times New Roman" w:hAnsi="Times New Roman" w:cs="Times New Roman"/>
          <w:sz w:val="24"/>
          <w:szCs w:val="24"/>
        </w:rPr>
        <w:t xml:space="preserve">Two testing sessions were held in total, each hosting one medical student and the lead researcher of the study. </w:t>
      </w:r>
      <w:r>
        <w:rPr>
          <w:rFonts w:ascii="Times New Roman" w:hAnsi="Times New Roman" w:cs="Times New Roman"/>
          <w:sz w:val="24"/>
          <w:szCs w:val="24"/>
        </w:rPr>
        <w:t>The GTA did not attend a testing session.</w:t>
      </w:r>
    </w:p>
    <w:p w14:paraId="20A73600" w14:textId="2B579A3C" w:rsidR="000C4F5F" w:rsidRPr="00C91F40" w:rsidRDefault="000C4F5F" w:rsidP="005153F9">
      <w:pPr>
        <w:pStyle w:val="ListParagraph"/>
        <w:numPr>
          <w:ilvl w:val="1"/>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t>Carpal Bone Pre-Test and Post-Test Results</w:t>
      </w:r>
    </w:p>
    <w:p w14:paraId="3567F200" w14:textId="63D5C05F" w:rsidR="00EE7396" w:rsidRDefault="000C4F5F" w:rsidP="009119A7">
      <w:pPr>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 xml:space="preserve">Two carpal bone pre-tests were completed prior to mobile application use. </w:t>
      </w:r>
      <w:r w:rsidR="002A03A7">
        <w:rPr>
          <w:rFonts w:ascii="Times New Roman" w:hAnsi="Times New Roman" w:cs="Times New Roman"/>
          <w:sz w:val="24"/>
          <w:szCs w:val="24"/>
        </w:rPr>
        <w:t>Participants correctly identified two and three bones respectively</w:t>
      </w:r>
      <w:r w:rsidR="00D30291">
        <w:rPr>
          <w:rFonts w:ascii="Times New Roman" w:hAnsi="Times New Roman" w:cs="Times New Roman"/>
          <w:sz w:val="24"/>
          <w:szCs w:val="24"/>
        </w:rPr>
        <w:t>.</w:t>
      </w:r>
      <w:r w:rsidR="002A03A7">
        <w:rPr>
          <w:rFonts w:ascii="Times New Roman" w:hAnsi="Times New Roman" w:cs="Times New Roman"/>
          <w:sz w:val="24"/>
          <w:szCs w:val="24"/>
        </w:rPr>
        <w:t xml:space="preserve"> Both participants correctly identified the lunate with one participant also identifying scaphoid and the other identifying hamate and pisiform. </w:t>
      </w:r>
      <w:r w:rsidRPr="00C91F40">
        <w:rPr>
          <w:rFonts w:ascii="Times New Roman" w:hAnsi="Times New Roman" w:cs="Times New Roman"/>
          <w:sz w:val="24"/>
          <w:szCs w:val="24"/>
        </w:rPr>
        <w:t xml:space="preserve">On average, the medical students were only 31.25% successful in correctly identifying the eight carpal bones in the pre-test. After using the mobile application, the post-test results </w:t>
      </w:r>
      <w:r w:rsidRPr="00C91F40">
        <w:rPr>
          <w:rFonts w:ascii="Times New Roman" w:hAnsi="Times New Roman" w:cs="Times New Roman"/>
          <w:sz w:val="24"/>
          <w:szCs w:val="24"/>
        </w:rPr>
        <w:lastRenderedPageBreak/>
        <w:t xml:space="preserve">showed that both </w:t>
      </w:r>
      <w:r w:rsidR="001B6D69">
        <w:rPr>
          <w:rFonts w:ascii="Times New Roman" w:hAnsi="Times New Roman" w:cs="Times New Roman"/>
          <w:sz w:val="24"/>
          <w:szCs w:val="24"/>
        </w:rPr>
        <w:t xml:space="preserve">participants </w:t>
      </w:r>
      <w:r w:rsidRPr="00C91F40">
        <w:rPr>
          <w:rFonts w:ascii="Times New Roman" w:hAnsi="Times New Roman" w:cs="Times New Roman"/>
          <w:sz w:val="24"/>
          <w:szCs w:val="24"/>
        </w:rPr>
        <w:t>had correctly identified all eight carpal bones (100%), resulting in a 68.75% increase from the average pre-test results. The results of the post-test compared to the pre-test are portrayed in the double bar graph in</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_Ref60999040 \h </w:instrText>
      </w:r>
      <w:r w:rsidR="009119A7">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1D38D7">
        <w:t xml:space="preserve">Figure </w:t>
      </w:r>
      <w:r w:rsidR="001D38D7">
        <w:rPr>
          <w:noProof/>
        </w:rPr>
        <w:t>14</w:t>
      </w:r>
      <w:r>
        <w:rPr>
          <w:rFonts w:ascii="Times New Roman" w:hAnsi="Times New Roman" w:cs="Times New Roman"/>
          <w:sz w:val="24"/>
          <w:szCs w:val="24"/>
        </w:rPr>
        <w:fldChar w:fldCharType="end"/>
      </w:r>
      <w:r w:rsidRPr="00C91F40">
        <w:rPr>
          <w:rFonts w:ascii="Times New Roman" w:hAnsi="Times New Roman" w:cs="Times New Roman"/>
          <w:sz w:val="24"/>
          <w:szCs w:val="24"/>
        </w:rPr>
        <w:t xml:space="preserve">. The frequency of correct identification of each carpal bone in the post-test compared to the pre-test is displayed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_Ref60999051 \h </w:instrText>
      </w:r>
      <w:r w:rsidR="009119A7">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1D38D7">
        <w:t xml:space="preserve">Figure </w:t>
      </w:r>
      <w:r w:rsidR="001D38D7">
        <w:rPr>
          <w:noProof/>
        </w:rPr>
        <w:t>15</w:t>
      </w:r>
      <w:r>
        <w:rPr>
          <w:rFonts w:ascii="Times New Roman" w:hAnsi="Times New Roman" w:cs="Times New Roman"/>
          <w:sz w:val="24"/>
          <w:szCs w:val="24"/>
        </w:rPr>
        <w:fldChar w:fldCharType="end"/>
      </w:r>
      <w:r>
        <w:rPr>
          <w:rFonts w:ascii="Times New Roman" w:hAnsi="Times New Roman" w:cs="Times New Roman"/>
          <w:sz w:val="24"/>
          <w:szCs w:val="24"/>
        </w:rPr>
        <w:t>.</w:t>
      </w:r>
      <w:r w:rsidR="00EE7396" w:rsidRPr="00EE7396">
        <w:rPr>
          <w:rFonts w:ascii="Times New Roman" w:hAnsi="Times New Roman" w:cs="Times New Roman"/>
          <w:sz w:val="24"/>
          <w:szCs w:val="24"/>
        </w:rPr>
        <w:t xml:space="preserve"> </w:t>
      </w:r>
    </w:p>
    <w:p w14:paraId="3466A51C" w14:textId="77777777" w:rsidR="000C4F5F" w:rsidRDefault="000C4F5F" w:rsidP="009119A7">
      <w:pPr>
        <w:keepNext/>
        <w:spacing w:line="360" w:lineRule="auto"/>
        <w:ind w:firstLine="720"/>
      </w:pPr>
      <w:r w:rsidRPr="00F559A0">
        <w:rPr>
          <w:rFonts w:ascii="Times New Roman" w:hAnsi="Times New Roman" w:cs="Times New Roman"/>
          <w:noProof/>
          <w:lang w:val="en-GB" w:eastAsia="en-GB"/>
        </w:rPr>
        <w:drawing>
          <wp:inline distT="0" distB="0" distL="0" distR="0" wp14:anchorId="075B295A" wp14:editId="4F4E176B">
            <wp:extent cx="4572000" cy="2743200"/>
            <wp:effectExtent l="0" t="0" r="0" b="0"/>
            <wp:docPr id="50" name="Chart 50">
              <a:extLst xmlns:a="http://schemas.openxmlformats.org/drawingml/2006/main">
                <a:ext uri="{FF2B5EF4-FFF2-40B4-BE49-F238E27FC236}">
                  <a16:creationId xmlns:a16="http://schemas.microsoft.com/office/drawing/2014/main" id="{E4A6D041-0A48-4C7E-B33D-D3842C6D80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0D8F704" w14:textId="6A21F8CB" w:rsidR="000C4F5F" w:rsidRDefault="000C4F5F" w:rsidP="009119A7">
      <w:pPr>
        <w:pStyle w:val="Caption"/>
        <w:spacing w:line="360" w:lineRule="auto"/>
        <w:rPr>
          <w:rFonts w:ascii="Times New Roman" w:hAnsi="Times New Roman" w:cs="Times New Roman"/>
          <w:sz w:val="24"/>
          <w:szCs w:val="24"/>
        </w:rPr>
      </w:pPr>
      <w:bookmarkStart w:id="22" w:name="_Ref60999040"/>
      <w:r>
        <w:t xml:space="preserve">Figure </w:t>
      </w:r>
      <w:fldSimple w:instr=" SEQ Figure \* ARABIC ">
        <w:r w:rsidR="001D38D7">
          <w:rPr>
            <w:noProof/>
          </w:rPr>
          <w:t>14</w:t>
        </w:r>
      </w:fldSimple>
      <w:bookmarkEnd w:id="22"/>
      <w:r>
        <w:t xml:space="preserve"> </w:t>
      </w:r>
      <w:r w:rsidRPr="004962FC">
        <w:t>Double bar graph displaying the results from medical students' pre-tests and post-tests.</w:t>
      </w:r>
    </w:p>
    <w:p w14:paraId="7E89381B" w14:textId="77777777" w:rsidR="000C4F5F" w:rsidRDefault="000C4F5F" w:rsidP="009119A7">
      <w:pPr>
        <w:keepNext/>
        <w:spacing w:line="360" w:lineRule="auto"/>
        <w:ind w:firstLine="720"/>
      </w:pPr>
      <w:r w:rsidRPr="00F559A0">
        <w:rPr>
          <w:rFonts w:ascii="Times New Roman" w:hAnsi="Times New Roman" w:cs="Times New Roman"/>
          <w:noProof/>
          <w:lang w:val="en-GB" w:eastAsia="en-GB"/>
        </w:rPr>
        <w:drawing>
          <wp:inline distT="0" distB="0" distL="0" distR="0" wp14:anchorId="01E546C8" wp14:editId="53D91124">
            <wp:extent cx="4572000" cy="2743200"/>
            <wp:effectExtent l="0" t="0" r="0" b="0"/>
            <wp:docPr id="51" name="Chart 51">
              <a:extLst xmlns:a="http://schemas.openxmlformats.org/drawingml/2006/main">
                <a:ext uri="{FF2B5EF4-FFF2-40B4-BE49-F238E27FC236}">
                  <a16:creationId xmlns:a16="http://schemas.microsoft.com/office/drawing/2014/main" id="{B2A32B0F-9886-4E7F-B782-23438CF572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13A53F9" w14:textId="63DF1346" w:rsidR="000C4F5F" w:rsidRPr="00C91F40" w:rsidRDefault="000C4F5F" w:rsidP="009119A7">
      <w:pPr>
        <w:pStyle w:val="Caption"/>
        <w:spacing w:line="360" w:lineRule="auto"/>
        <w:rPr>
          <w:rFonts w:ascii="Times New Roman" w:hAnsi="Times New Roman" w:cs="Times New Roman"/>
          <w:sz w:val="24"/>
          <w:szCs w:val="24"/>
        </w:rPr>
      </w:pPr>
      <w:bookmarkStart w:id="23" w:name="_Ref60999051"/>
      <w:r>
        <w:t xml:space="preserve">Figure </w:t>
      </w:r>
      <w:fldSimple w:instr=" SEQ Figure \* ARABIC ">
        <w:r w:rsidR="001D38D7">
          <w:rPr>
            <w:noProof/>
          </w:rPr>
          <w:t>15</w:t>
        </w:r>
      </w:fldSimple>
      <w:bookmarkEnd w:id="23"/>
      <w:r>
        <w:t xml:space="preserve"> </w:t>
      </w:r>
      <w:r w:rsidRPr="009C30B6">
        <w:t>Double bar graph displaying the frequencies of correct identification of the carpal bones in the pre-test and post-test.</w:t>
      </w:r>
    </w:p>
    <w:p w14:paraId="11F019CC" w14:textId="4DA23552" w:rsidR="00EE7396" w:rsidRDefault="00EE7396" w:rsidP="00D30291">
      <w:pPr>
        <w:pStyle w:val="ListParagraph"/>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Application Use</w:t>
      </w:r>
    </w:p>
    <w:p w14:paraId="6C1C3D5E" w14:textId="7A518E66" w:rsidR="00EE7396" w:rsidRPr="00EE7396" w:rsidRDefault="00EE7396" w:rsidP="00EE7396">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Although the researcher was present on the video calls to answer any questions or provide guidance, i</w:t>
      </w:r>
      <w:r w:rsidRPr="00EE7396">
        <w:rPr>
          <w:rFonts w:ascii="Times New Roman" w:hAnsi="Times New Roman" w:cs="Times New Roman"/>
          <w:sz w:val="24"/>
          <w:szCs w:val="24"/>
        </w:rPr>
        <w:t>n both cases, the students did not need to consult with the researcher during their use of the application. The duration of the application experience took approximately 12 minutes for each participant.</w:t>
      </w:r>
    </w:p>
    <w:p w14:paraId="62E46CCB" w14:textId="77777777" w:rsidR="00EE7396" w:rsidRPr="00EE7396" w:rsidRDefault="00EE7396" w:rsidP="00EE7396">
      <w:pPr>
        <w:spacing w:line="360" w:lineRule="auto"/>
        <w:rPr>
          <w:rFonts w:ascii="Times New Roman" w:hAnsi="Times New Roman" w:cs="Times New Roman"/>
          <w:sz w:val="24"/>
          <w:szCs w:val="24"/>
        </w:rPr>
      </w:pPr>
    </w:p>
    <w:p w14:paraId="65B47483" w14:textId="6FBBC7E2" w:rsidR="000C4F5F" w:rsidRDefault="000C4F5F" w:rsidP="00D30291">
      <w:pPr>
        <w:pStyle w:val="ListParagraph"/>
        <w:numPr>
          <w:ilvl w:val="1"/>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t>Participant Questionnaire Results</w:t>
      </w:r>
    </w:p>
    <w:p w14:paraId="33F4910E" w14:textId="19AF1F4F" w:rsidR="00D30291" w:rsidRPr="002E0889" w:rsidRDefault="002E0889" w:rsidP="002E0889">
      <w:pPr>
        <w:spacing w:line="360" w:lineRule="auto"/>
        <w:ind w:firstLine="720"/>
        <w:rPr>
          <w:rFonts w:ascii="Times New Roman" w:hAnsi="Times New Roman" w:cs="Times New Roman"/>
          <w:sz w:val="24"/>
          <w:szCs w:val="24"/>
        </w:rPr>
      </w:pPr>
      <w:r w:rsidRPr="002E0889">
        <w:rPr>
          <w:rFonts w:ascii="Times New Roman" w:hAnsi="Times New Roman" w:cs="Times New Roman"/>
          <w:sz w:val="24"/>
          <w:szCs w:val="24"/>
        </w:rPr>
        <w:t xml:space="preserve">The results of the questionnaire are divided into four categories: Usefulness, Ease of Use, Ease of Learning, and Satisfaction. </w:t>
      </w:r>
      <w:r w:rsidR="00D30291" w:rsidRPr="002E0889">
        <w:rPr>
          <w:rFonts w:ascii="Times New Roman" w:hAnsi="Times New Roman" w:cs="Times New Roman"/>
          <w:sz w:val="24"/>
          <w:szCs w:val="24"/>
        </w:rPr>
        <w:t>In these results, there are three participants included, as the GTA had completed the qualitative questionnaire in order to give feedback about the application.</w:t>
      </w:r>
    </w:p>
    <w:p w14:paraId="56E6A592" w14:textId="77777777" w:rsidR="000C4F5F" w:rsidRPr="00C91F40" w:rsidRDefault="000C4F5F" w:rsidP="00D30291">
      <w:pPr>
        <w:pStyle w:val="ListParagraph"/>
        <w:numPr>
          <w:ilvl w:val="2"/>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t>Screening Questions</w:t>
      </w:r>
    </w:p>
    <w:p w14:paraId="696AC607" w14:textId="77777777" w:rsidR="000C4F5F" w:rsidRPr="00C91F40" w:rsidRDefault="000C4F5F" w:rsidP="009119A7">
      <w:pPr>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Two out of three participants stated that they had previous knowledge of anatomy; one had three years of experience, while the second had four years of experience. All three participants indicated they had previous knowledge of medical terminology, while one also indicated an established knowledge of Latin. One participant had one semester or less of experience, while two participants had four years of experience.</w:t>
      </w:r>
    </w:p>
    <w:p w14:paraId="403BDB47" w14:textId="77777777" w:rsidR="000C4F5F" w:rsidRPr="00C91F40" w:rsidRDefault="000C4F5F" w:rsidP="009119A7">
      <w:pPr>
        <w:pStyle w:val="ListParagraph"/>
        <w:numPr>
          <w:ilvl w:val="3"/>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t>Usefulness</w:t>
      </w:r>
    </w:p>
    <w:p w14:paraId="5357F960" w14:textId="449381A4" w:rsidR="000C4F5F" w:rsidRDefault="000C4F5F" w:rsidP="009119A7">
      <w:pPr>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 xml:space="preserve">This section included four questions regarding the usefulness of the mobile application, the results of which are displayed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_Ref60999116 \h </w:instrText>
      </w:r>
      <w:r w:rsidR="009119A7">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1D38D7">
        <w:t xml:space="preserve">Figure </w:t>
      </w:r>
      <w:r w:rsidR="001D38D7">
        <w:rPr>
          <w:noProof/>
        </w:rPr>
        <w:t>16</w:t>
      </w:r>
      <w:r>
        <w:rPr>
          <w:rFonts w:ascii="Times New Roman" w:hAnsi="Times New Roman" w:cs="Times New Roman"/>
          <w:sz w:val="24"/>
          <w:szCs w:val="24"/>
        </w:rPr>
        <w:fldChar w:fldCharType="end"/>
      </w:r>
      <w:r w:rsidRPr="00C91F40">
        <w:rPr>
          <w:rFonts w:ascii="Times New Roman" w:hAnsi="Times New Roman" w:cs="Times New Roman"/>
          <w:sz w:val="24"/>
          <w:szCs w:val="24"/>
        </w:rPr>
        <w:t>. In general, the results for this section were high, with all statements being at least somewhat agreed with. The final statement had the most variance; one somewhat agreed, another agreed, and the final participant strongly agreed that the application helped them remember carpal bone anatomy by using etymology.</w:t>
      </w:r>
    </w:p>
    <w:p w14:paraId="7106B5C2" w14:textId="77777777" w:rsidR="000C4F5F" w:rsidRDefault="000C4F5F" w:rsidP="009119A7">
      <w:pPr>
        <w:keepNext/>
        <w:spacing w:line="360" w:lineRule="auto"/>
        <w:ind w:firstLine="720"/>
      </w:pPr>
      <w:r w:rsidRPr="00F559A0">
        <w:rPr>
          <w:rFonts w:ascii="Times New Roman" w:hAnsi="Times New Roman" w:cs="Times New Roman"/>
          <w:noProof/>
          <w:lang w:val="en-GB" w:eastAsia="en-GB"/>
        </w:rPr>
        <w:lastRenderedPageBreak/>
        <w:drawing>
          <wp:inline distT="0" distB="0" distL="0" distR="0" wp14:anchorId="49736B8B" wp14:editId="6BF19FB1">
            <wp:extent cx="4937760" cy="3307080"/>
            <wp:effectExtent l="0" t="0" r="0" b="7620"/>
            <wp:docPr id="52" name="Chart 52">
              <a:extLst xmlns:a="http://schemas.openxmlformats.org/drawingml/2006/main">
                <a:ext uri="{FF2B5EF4-FFF2-40B4-BE49-F238E27FC236}">
                  <a16:creationId xmlns:a16="http://schemas.microsoft.com/office/drawing/2014/main" id="{AAE24699-AA4E-4416-ADBA-B86C2ECFB2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977C42C" w14:textId="6C99D8EA" w:rsidR="000C4F5F" w:rsidRPr="00C91F40" w:rsidRDefault="000C4F5F" w:rsidP="009119A7">
      <w:pPr>
        <w:pStyle w:val="Caption"/>
        <w:spacing w:line="360" w:lineRule="auto"/>
        <w:rPr>
          <w:rFonts w:ascii="Times New Roman" w:hAnsi="Times New Roman" w:cs="Times New Roman"/>
          <w:sz w:val="24"/>
          <w:szCs w:val="24"/>
        </w:rPr>
      </w:pPr>
      <w:bookmarkStart w:id="24" w:name="_Ref60999116"/>
      <w:r>
        <w:t xml:space="preserve">Figure </w:t>
      </w:r>
      <w:fldSimple w:instr=" SEQ Figure \* ARABIC ">
        <w:r w:rsidR="001D38D7">
          <w:rPr>
            <w:noProof/>
          </w:rPr>
          <w:t>16</w:t>
        </w:r>
      </w:fldSimple>
      <w:bookmarkEnd w:id="24"/>
      <w:r>
        <w:t xml:space="preserve"> </w:t>
      </w:r>
      <w:r w:rsidRPr="00A80C71">
        <w:t>Bar graph showing the average questionnaire results for the Usefulness section. Error bars represent standard deviations.</w:t>
      </w:r>
    </w:p>
    <w:p w14:paraId="72AD86A7" w14:textId="77777777" w:rsidR="000C4F5F" w:rsidRPr="00C91F40" w:rsidRDefault="000C4F5F" w:rsidP="009119A7">
      <w:pPr>
        <w:pStyle w:val="ListParagraph"/>
        <w:numPr>
          <w:ilvl w:val="3"/>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t>Ease of Use</w:t>
      </w:r>
    </w:p>
    <w:p w14:paraId="06139721" w14:textId="17B64666" w:rsidR="000C4F5F" w:rsidRDefault="000C4F5F" w:rsidP="009119A7">
      <w:pPr>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 xml:space="preserve">This section included four statements regarding the ease of use of the mobile application, the results of which are displayed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_Ref60999165 \h </w:instrText>
      </w:r>
      <w:r w:rsidR="009119A7">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1D38D7">
        <w:t xml:space="preserve">Figure </w:t>
      </w:r>
      <w:r w:rsidR="001D38D7">
        <w:rPr>
          <w:noProof/>
        </w:rPr>
        <w:t>17</w:t>
      </w:r>
      <w:r>
        <w:rPr>
          <w:rFonts w:ascii="Times New Roman" w:hAnsi="Times New Roman" w:cs="Times New Roman"/>
          <w:sz w:val="24"/>
          <w:szCs w:val="24"/>
        </w:rPr>
        <w:fldChar w:fldCharType="end"/>
      </w:r>
      <w:r w:rsidRPr="00C91F40">
        <w:rPr>
          <w:rFonts w:ascii="Times New Roman" w:hAnsi="Times New Roman" w:cs="Times New Roman"/>
          <w:sz w:val="24"/>
          <w:szCs w:val="24"/>
        </w:rPr>
        <w:t xml:space="preserve">. </w:t>
      </w:r>
      <w:r w:rsidR="00E27AC1">
        <w:rPr>
          <w:rFonts w:ascii="Times New Roman" w:hAnsi="Times New Roman" w:cs="Times New Roman"/>
          <w:sz w:val="24"/>
          <w:szCs w:val="24"/>
        </w:rPr>
        <w:t xml:space="preserve">All </w:t>
      </w:r>
      <w:r w:rsidR="003D189F">
        <w:rPr>
          <w:rFonts w:ascii="Times New Roman" w:hAnsi="Times New Roman" w:cs="Times New Roman"/>
          <w:sz w:val="24"/>
          <w:szCs w:val="24"/>
        </w:rPr>
        <w:t xml:space="preserve">participants somewhat agreed to strongly agreed that the app was useful. </w:t>
      </w:r>
    </w:p>
    <w:p w14:paraId="3899742D" w14:textId="77777777" w:rsidR="000C4F5F" w:rsidRDefault="000C4F5F" w:rsidP="009119A7">
      <w:pPr>
        <w:keepNext/>
        <w:spacing w:line="360" w:lineRule="auto"/>
        <w:ind w:firstLine="720"/>
      </w:pPr>
      <w:r w:rsidRPr="00F559A0">
        <w:rPr>
          <w:rFonts w:ascii="Times New Roman" w:hAnsi="Times New Roman" w:cs="Times New Roman"/>
          <w:noProof/>
          <w:lang w:val="en-GB" w:eastAsia="en-GB"/>
        </w:rPr>
        <w:lastRenderedPageBreak/>
        <w:drawing>
          <wp:inline distT="0" distB="0" distL="0" distR="0" wp14:anchorId="2F882E3B" wp14:editId="16625AB0">
            <wp:extent cx="5067300" cy="3185160"/>
            <wp:effectExtent l="0" t="0" r="0" b="0"/>
            <wp:docPr id="53" name="Chart 53">
              <a:extLst xmlns:a="http://schemas.openxmlformats.org/drawingml/2006/main">
                <a:ext uri="{FF2B5EF4-FFF2-40B4-BE49-F238E27FC236}">
                  <a16:creationId xmlns:a16="http://schemas.microsoft.com/office/drawing/2014/main" id="{0AE08A45-CFA1-49D6-A614-E6B4417773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20ABC1C" w14:textId="70BEDCE9" w:rsidR="000C4F5F" w:rsidRPr="00C91F40" w:rsidRDefault="000C4F5F" w:rsidP="009119A7">
      <w:pPr>
        <w:pStyle w:val="Caption"/>
        <w:spacing w:line="360" w:lineRule="auto"/>
        <w:rPr>
          <w:rFonts w:ascii="Times New Roman" w:hAnsi="Times New Roman" w:cs="Times New Roman"/>
          <w:sz w:val="24"/>
          <w:szCs w:val="24"/>
        </w:rPr>
      </w:pPr>
      <w:bookmarkStart w:id="25" w:name="_Ref60999165"/>
      <w:r>
        <w:t xml:space="preserve">Figure </w:t>
      </w:r>
      <w:fldSimple w:instr=" SEQ Figure \* ARABIC ">
        <w:r w:rsidR="001D38D7">
          <w:rPr>
            <w:noProof/>
          </w:rPr>
          <w:t>17</w:t>
        </w:r>
      </w:fldSimple>
      <w:bookmarkEnd w:id="25"/>
      <w:r>
        <w:t xml:space="preserve"> </w:t>
      </w:r>
      <w:r w:rsidRPr="0055487E">
        <w:t>Bar graph displaying the average results of the Ease of Use section of the Participant Questionnaire. Error bars represent standard deviations.</w:t>
      </w:r>
    </w:p>
    <w:p w14:paraId="20DF6F3E" w14:textId="77777777" w:rsidR="000C4F5F" w:rsidRPr="00C91F40" w:rsidRDefault="000C4F5F" w:rsidP="009119A7">
      <w:pPr>
        <w:pStyle w:val="ListParagraph"/>
        <w:numPr>
          <w:ilvl w:val="3"/>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t>Ease of Learning</w:t>
      </w:r>
    </w:p>
    <w:p w14:paraId="36BB54BF" w14:textId="1A879728" w:rsidR="000C4F5F" w:rsidRDefault="000C4F5F" w:rsidP="009119A7">
      <w:pPr>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 xml:space="preserve">This section consisted of three statements regarding the ease of learning of the application, and the results are displayed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_Ref60999202 \h </w:instrText>
      </w:r>
      <w:r w:rsidR="009119A7">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1D38D7">
        <w:t xml:space="preserve">Figure </w:t>
      </w:r>
      <w:r w:rsidR="001D38D7">
        <w:rPr>
          <w:noProof/>
        </w:rPr>
        <w:t>18</w:t>
      </w:r>
      <w:r>
        <w:rPr>
          <w:rFonts w:ascii="Times New Roman" w:hAnsi="Times New Roman" w:cs="Times New Roman"/>
          <w:sz w:val="24"/>
          <w:szCs w:val="24"/>
        </w:rPr>
        <w:fldChar w:fldCharType="end"/>
      </w:r>
      <w:r w:rsidRPr="00C91F40">
        <w:rPr>
          <w:rFonts w:ascii="Times New Roman" w:hAnsi="Times New Roman" w:cs="Times New Roman"/>
          <w:sz w:val="24"/>
          <w:szCs w:val="24"/>
        </w:rPr>
        <w:t xml:space="preserve">. </w:t>
      </w:r>
      <w:r w:rsidR="00896FF3">
        <w:rPr>
          <w:rFonts w:ascii="Times New Roman" w:hAnsi="Times New Roman" w:cs="Times New Roman"/>
          <w:sz w:val="24"/>
          <w:szCs w:val="24"/>
        </w:rPr>
        <w:t xml:space="preserve"> Participants agreed or strongly agreed that the app was easy to learn</w:t>
      </w:r>
      <w:r w:rsidR="00787AB3">
        <w:rPr>
          <w:rFonts w:ascii="Times New Roman" w:hAnsi="Times New Roman" w:cs="Times New Roman"/>
          <w:sz w:val="24"/>
          <w:szCs w:val="24"/>
        </w:rPr>
        <w:t xml:space="preserve"> to use</w:t>
      </w:r>
      <w:r w:rsidRPr="00C91F40">
        <w:rPr>
          <w:rFonts w:ascii="Times New Roman" w:hAnsi="Times New Roman" w:cs="Times New Roman"/>
          <w:sz w:val="24"/>
          <w:szCs w:val="24"/>
        </w:rPr>
        <w:t>.</w:t>
      </w:r>
    </w:p>
    <w:p w14:paraId="4BAEF835" w14:textId="77777777" w:rsidR="000C4F5F" w:rsidRDefault="000C4F5F" w:rsidP="009119A7">
      <w:pPr>
        <w:keepNext/>
        <w:spacing w:line="360" w:lineRule="auto"/>
        <w:ind w:firstLine="720"/>
      </w:pPr>
      <w:r w:rsidRPr="00F559A0">
        <w:rPr>
          <w:rFonts w:ascii="Times New Roman" w:hAnsi="Times New Roman" w:cs="Times New Roman"/>
          <w:noProof/>
          <w:lang w:val="en-GB" w:eastAsia="en-GB"/>
        </w:rPr>
        <w:drawing>
          <wp:inline distT="0" distB="0" distL="0" distR="0" wp14:anchorId="563DCFD4" wp14:editId="1C5AD335">
            <wp:extent cx="5486400" cy="2308860"/>
            <wp:effectExtent l="0" t="0" r="0" b="0"/>
            <wp:docPr id="54" name="Chart 54">
              <a:extLst xmlns:a="http://schemas.openxmlformats.org/drawingml/2006/main">
                <a:ext uri="{FF2B5EF4-FFF2-40B4-BE49-F238E27FC236}">
                  <a16:creationId xmlns:a16="http://schemas.microsoft.com/office/drawing/2014/main" id="{4800609D-A05D-47DB-A261-52D0AE49E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274D469" w14:textId="276BA1CE" w:rsidR="000C4F5F" w:rsidRPr="00C91F40" w:rsidRDefault="000C4F5F" w:rsidP="009119A7">
      <w:pPr>
        <w:pStyle w:val="Caption"/>
        <w:spacing w:line="360" w:lineRule="auto"/>
        <w:rPr>
          <w:rFonts w:ascii="Times New Roman" w:hAnsi="Times New Roman" w:cs="Times New Roman"/>
          <w:sz w:val="24"/>
          <w:szCs w:val="24"/>
        </w:rPr>
      </w:pPr>
      <w:bookmarkStart w:id="26" w:name="_Ref60999202"/>
      <w:r>
        <w:t xml:space="preserve">Figure </w:t>
      </w:r>
      <w:fldSimple w:instr=" SEQ Figure \* ARABIC ">
        <w:r w:rsidR="001D38D7">
          <w:rPr>
            <w:noProof/>
          </w:rPr>
          <w:t>18</w:t>
        </w:r>
      </w:fldSimple>
      <w:bookmarkEnd w:id="26"/>
      <w:r>
        <w:t xml:space="preserve"> </w:t>
      </w:r>
      <w:r w:rsidRPr="00A03127">
        <w:t>Bar graph displaying the Ease of Use average results from the Participant Questionnaire. Error bars represent standard deviations.</w:t>
      </w:r>
    </w:p>
    <w:p w14:paraId="27057ABE" w14:textId="77777777" w:rsidR="000C4F5F" w:rsidRPr="00C91F40" w:rsidRDefault="000C4F5F" w:rsidP="009119A7">
      <w:pPr>
        <w:pStyle w:val="ListParagraph"/>
        <w:numPr>
          <w:ilvl w:val="3"/>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lastRenderedPageBreak/>
        <w:t xml:space="preserve">Satisfaction </w:t>
      </w:r>
    </w:p>
    <w:p w14:paraId="18428026" w14:textId="2C80D8BC" w:rsidR="000C4F5F" w:rsidRDefault="000C4F5F" w:rsidP="009119A7">
      <w:pPr>
        <w:spacing w:line="360" w:lineRule="auto"/>
        <w:ind w:firstLine="720"/>
        <w:rPr>
          <w:rFonts w:ascii="Times New Roman" w:hAnsi="Times New Roman" w:cs="Times New Roman"/>
          <w:sz w:val="24"/>
          <w:szCs w:val="24"/>
        </w:rPr>
      </w:pPr>
      <w:r w:rsidRPr="00C91F40">
        <w:rPr>
          <w:rFonts w:ascii="Times New Roman" w:hAnsi="Times New Roman" w:cs="Times New Roman"/>
          <w:sz w:val="24"/>
          <w:szCs w:val="24"/>
        </w:rPr>
        <w:t xml:space="preserve">Four statements regarding user satisfaction were included in this section, and the results are displayed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_Ref60999243 \h </w:instrText>
      </w:r>
      <w:r w:rsidR="009119A7">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1D38D7">
        <w:t xml:space="preserve">Figure </w:t>
      </w:r>
      <w:r w:rsidR="001D38D7">
        <w:rPr>
          <w:noProof/>
        </w:rPr>
        <w:t>19</w:t>
      </w:r>
      <w:r>
        <w:rPr>
          <w:rFonts w:ascii="Times New Roman" w:hAnsi="Times New Roman" w:cs="Times New Roman"/>
          <w:sz w:val="24"/>
          <w:szCs w:val="24"/>
        </w:rPr>
        <w:fldChar w:fldCharType="end"/>
      </w:r>
      <w:r w:rsidRPr="00C91F40">
        <w:rPr>
          <w:rFonts w:ascii="Times New Roman" w:hAnsi="Times New Roman" w:cs="Times New Roman"/>
          <w:sz w:val="24"/>
          <w:szCs w:val="24"/>
        </w:rPr>
        <w:t>.</w:t>
      </w:r>
      <w:r w:rsidR="009403F6">
        <w:rPr>
          <w:rFonts w:ascii="Times New Roman" w:hAnsi="Times New Roman" w:cs="Times New Roman"/>
          <w:sz w:val="24"/>
          <w:szCs w:val="24"/>
        </w:rPr>
        <w:t xml:space="preserve"> T</w:t>
      </w:r>
      <w:r w:rsidRPr="00C91F40">
        <w:rPr>
          <w:rFonts w:ascii="Times New Roman" w:hAnsi="Times New Roman" w:cs="Times New Roman"/>
          <w:sz w:val="24"/>
          <w:szCs w:val="24"/>
        </w:rPr>
        <w:t>he participant scores were generally high</w:t>
      </w:r>
      <w:r w:rsidR="009403F6">
        <w:rPr>
          <w:rFonts w:ascii="Times New Roman" w:hAnsi="Times New Roman" w:cs="Times New Roman"/>
          <w:sz w:val="24"/>
          <w:szCs w:val="24"/>
        </w:rPr>
        <w:t>, and all agreed or strongly agreed that the application made learning anatomy easy and enjoyable.</w:t>
      </w:r>
    </w:p>
    <w:p w14:paraId="4A3B0354" w14:textId="77777777" w:rsidR="000C4F5F" w:rsidRDefault="000C4F5F" w:rsidP="009119A7">
      <w:pPr>
        <w:keepNext/>
        <w:spacing w:line="360" w:lineRule="auto"/>
        <w:ind w:firstLine="720"/>
      </w:pPr>
      <w:r w:rsidRPr="00F559A0">
        <w:rPr>
          <w:rFonts w:ascii="Times New Roman" w:hAnsi="Times New Roman" w:cs="Times New Roman"/>
          <w:noProof/>
          <w:lang w:val="en-GB" w:eastAsia="en-GB"/>
        </w:rPr>
        <w:drawing>
          <wp:inline distT="0" distB="0" distL="0" distR="0" wp14:anchorId="63654DE7" wp14:editId="406A72DB">
            <wp:extent cx="5394960" cy="2796540"/>
            <wp:effectExtent l="0" t="0" r="0" b="3810"/>
            <wp:docPr id="55" name="Chart 55">
              <a:extLst xmlns:a="http://schemas.openxmlformats.org/drawingml/2006/main">
                <a:ext uri="{FF2B5EF4-FFF2-40B4-BE49-F238E27FC236}">
                  <a16:creationId xmlns:a16="http://schemas.microsoft.com/office/drawing/2014/main" id="{B1E8853F-2B91-4C8A-876C-E7BC2EB5B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4FB78F8" w14:textId="44B4C02C" w:rsidR="000C4F5F" w:rsidRPr="00C91F40" w:rsidRDefault="000C4F5F" w:rsidP="009119A7">
      <w:pPr>
        <w:pStyle w:val="Caption"/>
        <w:spacing w:line="360" w:lineRule="auto"/>
        <w:rPr>
          <w:rFonts w:ascii="Times New Roman" w:hAnsi="Times New Roman" w:cs="Times New Roman"/>
          <w:sz w:val="24"/>
          <w:szCs w:val="24"/>
        </w:rPr>
      </w:pPr>
      <w:bookmarkStart w:id="27" w:name="_Ref60999243"/>
      <w:r>
        <w:t xml:space="preserve">Figure </w:t>
      </w:r>
      <w:fldSimple w:instr=" SEQ Figure \* ARABIC ">
        <w:r w:rsidR="001D38D7">
          <w:rPr>
            <w:noProof/>
          </w:rPr>
          <w:t>19</w:t>
        </w:r>
      </w:fldSimple>
      <w:bookmarkEnd w:id="27"/>
      <w:r>
        <w:t xml:space="preserve"> </w:t>
      </w:r>
      <w:r w:rsidRPr="007D3815">
        <w:t>Bar graph displaying the average results from the Satisfaction section of the Participant Questionnaire. Error bars represent standard deviations.</w:t>
      </w:r>
    </w:p>
    <w:p w14:paraId="4E5C988F" w14:textId="749857DA" w:rsidR="000C4F5F" w:rsidRDefault="009403F6" w:rsidP="009403F6">
      <w:pPr>
        <w:pStyle w:val="ListParagraph"/>
        <w:numPr>
          <w:ilvl w:val="2"/>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Qualitative Comments </w:t>
      </w:r>
    </w:p>
    <w:p w14:paraId="1D077FF0" w14:textId="77777777" w:rsidR="00E92479" w:rsidRPr="00F559A0" w:rsidRDefault="00E92479" w:rsidP="00E92479">
      <w:pPr>
        <w:spacing w:line="480" w:lineRule="auto"/>
        <w:ind w:firstLine="720"/>
        <w:rPr>
          <w:rFonts w:ascii="Times New Roman" w:hAnsi="Times New Roman" w:cs="Times New Roman"/>
          <w:sz w:val="24"/>
          <w:szCs w:val="24"/>
        </w:rPr>
      </w:pPr>
      <w:r w:rsidRPr="00F559A0">
        <w:rPr>
          <w:rFonts w:ascii="Times New Roman" w:hAnsi="Times New Roman" w:cs="Times New Roman"/>
          <w:sz w:val="24"/>
          <w:szCs w:val="24"/>
        </w:rPr>
        <w:t>The final sections of the participant questionnaire included three prompts for any additional open-text comments from the participants. These included the questions:</w:t>
      </w:r>
    </w:p>
    <w:p w14:paraId="43C3E57E" w14:textId="77777777" w:rsidR="00E92479" w:rsidRPr="00F559A0" w:rsidRDefault="00E92479" w:rsidP="00E92479">
      <w:pPr>
        <w:pStyle w:val="ListParagraph"/>
        <w:numPr>
          <w:ilvl w:val="0"/>
          <w:numId w:val="4"/>
        </w:numPr>
        <w:spacing w:line="480" w:lineRule="auto"/>
        <w:rPr>
          <w:rFonts w:ascii="Times New Roman" w:hAnsi="Times New Roman" w:cs="Times New Roman"/>
          <w:sz w:val="24"/>
          <w:szCs w:val="24"/>
        </w:rPr>
      </w:pPr>
      <w:r w:rsidRPr="00F559A0">
        <w:rPr>
          <w:rFonts w:ascii="Times New Roman" w:hAnsi="Times New Roman" w:cs="Times New Roman"/>
          <w:sz w:val="24"/>
          <w:szCs w:val="24"/>
        </w:rPr>
        <w:t>What did you like most about the app?</w:t>
      </w:r>
    </w:p>
    <w:p w14:paraId="4D47DB4E" w14:textId="77777777" w:rsidR="00E92479" w:rsidRPr="00F559A0" w:rsidRDefault="00E92479" w:rsidP="00E92479">
      <w:pPr>
        <w:pStyle w:val="ListParagraph"/>
        <w:numPr>
          <w:ilvl w:val="0"/>
          <w:numId w:val="4"/>
        </w:numPr>
        <w:spacing w:line="480" w:lineRule="auto"/>
        <w:rPr>
          <w:rFonts w:ascii="Times New Roman" w:hAnsi="Times New Roman" w:cs="Times New Roman"/>
          <w:sz w:val="24"/>
          <w:szCs w:val="24"/>
        </w:rPr>
      </w:pPr>
      <w:r w:rsidRPr="00F559A0">
        <w:rPr>
          <w:rFonts w:ascii="Times New Roman" w:hAnsi="Times New Roman" w:cs="Times New Roman"/>
          <w:sz w:val="24"/>
          <w:szCs w:val="24"/>
        </w:rPr>
        <w:t>What did you like least about the app?</w:t>
      </w:r>
    </w:p>
    <w:p w14:paraId="58B51295" w14:textId="77777777" w:rsidR="00E92479" w:rsidRPr="00F559A0" w:rsidRDefault="00E92479" w:rsidP="00E92479">
      <w:pPr>
        <w:pStyle w:val="ListParagraph"/>
        <w:numPr>
          <w:ilvl w:val="0"/>
          <w:numId w:val="4"/>
        </w:numPr>
        <w:spacing w:line="480" w:lineRule="auto"/>
        <w:rPr>
          <w:rFonts w:ascii="Times New Roman" w:hAnsi="Times New Roman" w:cs="Times New Roman"/>
          <w:sz w:val="24"/>
          <w:szCs w:val="24"/>
        </w:rPr>
      </w:pPr>
      <w:r w:rsidRPr="00F559A0">
        <w:rPr>
          <w:rFonts w:ascii="Times New Roman" w:hAnsi="Times New Roman" w:cs="Times New Roman"/>
          <w:sz w:val="24"/>
          <w:szCs w:val="24"/>
        </w:rPr>
        <w:t>Any additional comments?</w:t>
      </w:r>
    </w:p>
    <w:p w14:paraId="136F36D1" w14:textId="44426967" w:rsidR="00E92479" w:rsidRPr="00E92479" w:rsidRDefault="00E92479" w:rsidP="00E92479">
      <w:pPr>
        <w:spacing w:line="360" w:lineRule="auto"/>
        <w:rPr>
          <w:rFonts w:ascii="Times New Roman" w:hAnsi="Times New Roman" w:cs="Times New Roman"/>
          <w:sz w:val="24"/>
          <w:szCs w:val="24"/>
        </w:rPr>
      </w:pPr>
      <w:r w:rsidRPr="00F559A0">
        <w:rPr>
          <w:rFonts w:ascii="Times New Roman" w:hAnsi="Times New Roman" w:cs="Times New Roman"/>
          <w:sz w:val="24"/>
          <w:szCs w:val="24"/>
        </w:rPr>
        <w:t>The comments left by the participants were generally positive</w:t>
      </w:r>
      <w:r>
        <w:rPr>
          <w:rFonts w:ascii="Times New Roman" w:hAnsi="Times New Roman" w:cs="Times New Roman"/>
          <w:sz w:val="24"/>
          <w:szCs w:val="24"/>
        </w:rPr>
        <w:t xml:space="preserve">, a general consensus was that the application made distinguishing between the carpal bones easy and aided them in their learning. The participants </w:t>
      </w:r>
      <w:r w:rsidR="00C52FB2">
        <w:rPr>
          <w:rFonts w:ascii="Times New Roman" w:hAnsi="Times New Roman" w:cs="Times New Roman"/>
          <w:sz w:val="24"/>
          <w:szCs w:val="24"/>
        </w:rPr>
        <w:t xml:space="preserve">suggested </w:t>
      </w:r>
      <w:r>
        <w:rPr>
          <w:rFonts w:ascii="Times New Roman" w:hAnsi="Times New Roman" w:cs="Times New Roman"/>
          <w:sz w:val="24"/>
          <w:szCs w:val="24"/>
        </w:rPr>
        <w:t xml:space="preserve">that adding elements such as arrows to the animations would better indicate which parts of the bones were being discussed during the modules. </w:t>
      </w:r>
    </w:p>
    <w:p w14:paraId="51559751" w14:textId="77777777" w:rsidR="000C4F5F" w:rsidRPr="00C91F40" w:rsidRDefault="000C4F5F" w:rsidP="009119A7">
      <w:pPr>
        <w:pStyle w:val="ListParagraph"/>
        <w:numPr>
          <w:ilvl w:val="0"/>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lastRenderedPageBreak/>
        <w:t>Discussion</w:t>
      </w:r>
    </w:p>
    <w:p w14:paraId="5B9AD172" w14:textId="77777777" w:rsidR="000C4F5F" w:rsidRDefault="000C4F5F" w:rsidP="009119A7">
      <w:pPr>
        <w:pStyle w:val="ListParagraph"/>
        <w:numPr>
          <w:ilvl w:val="1"/>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t>Summary of Findings</w:t>
      </w:r>
    </w:p>
    <w:p w14:paraId="5D61E624" w14:textId="74B255DB" w:rsidR="000C4F5F" w:rsidRDefault="002E0889" w:rsidP="009119A7">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sample size of the study was very limited due to the application only being available for Android devices. Many medical students had expressed interest in participating in the study and had signed up, but o</w:t>
      </w:r>
      <w:r w:rsidRPr="005153F9">
        <w:rPr>
          <w:rFonts w:ascii="Times New Roman" w:hAnsi="Times New Roman" w:cs="Times New Roman"/>
          <w:sz w:val="24"/>
          <w:szCs w:val="24"/>
        </w:rPr>
        <w:t>nly two</w:t>
      </w:r>
      <w:r>
        <w:rPr>
          <w:rFonts w:ascii="Times New Roman" w:hAnsi="Times New Roman" w:cs="Times New Roman"/>
          <w:sz w:val="24"/>
          <w:szCs w:val="24"/>
        </w:rPr>
        <w:t xml:space="preserve"> </w:t>
      </w:r>
      <w:r w:rsidRPr="005153F9">
        <w:rPr>
          <w:rFonts w:ascii="Times New Roman" w:hAnsi="Times New Roman" w:cs="Times New Roman"/>
          <w:sz w:val="24"/>
          <w:szCs w:val="24"/>
        </w:rPr>
        <w:t xml:space="preserve">whom had signed up had access to an Android device and were therefore able to participate in the study, while the rest had IOS (Apple) devices. </w:t>
      </w:r>
      <w:bookmarkStart w:id="28" w:name="_GoBack"/>
      <w:bookmarkEnd w:id="28"/>
      <w:r>
        <w:rPr>
          <w:rFonts w:ascii="Times New Roman" w:hAnsi="Times New Roman" w:cs="Times New Roman"/>
          <w:sz w:val="24"/>
          <w:szCs w:val="24"/>
        </w:rPr>
        <w:t xml:space="preserve"> Therefore, adapting the application for use on IOS devices would benefit future studies by increasing the scope of possible participants.</w:t>
      </w:r>
      <w:r w:rsidR="008904C0">
        <w:rPr>
          <w:rFonts w:ascii="Times New Roman" w:hAnsi="Times New Roman" w:cs="Times New Roman"/>
          <w:sz w:val="24"/>
          <w:szCs w:val="24"/>
        </w:rPr>
        <w:t xml:space="preserve"> </w:t>
      </w:r>
      <w:r w:rsidR="000C4F5F" w:rsidRPr="005C2603">
        <w:rPr>
          <w:rFonts w:ascii="Times New Roman" w:hAnsi="Times New Roman" w:cs="Times New Roman"/>
          <w:sz w:val="24"/>
          <w:szCs w:val="24"/>
        </w:rPr>
        <w:t>A</w:t>
      </w:r>
      <w:r w:rsidR="000C4F5F">
        <w:rPr>
          <w:rFonts w:ascii="Times New Roman" w:hAnsi="Times New Roman" w:cs="Times New Roman"/>
          <w:sz w:val="24"/>
          <w:szCs w:val="24"/>
        </w:rPr>
        <w:t>lthough limited in number, the a</w:t>
      </w:r>
      <w:r w:rsidR="000C4F5F" w:rsidRPr="005C2603">
        <w:rPr>
          <w:rFonts w:ascii="Times New Roman" w:hAnsi="Times New Roman" w:cs="Times New Roman"/>
          <w:sz w:val="24"/>
          <w:szCs w:val="24"/>
        </w:rPr>
        <w:t>nalysis of student pre- and post-test scores provide</w:t>
      </w:r>
      <w:r w:rsidR="000C4F5F">
        <w:rPr>
          <w:rFonts w:ascii="Times New Roman" w:hAnsi="Times New Roman" w:cs="Times New Roman"/>
          <w:sz w:val="24"/>
          <w:szCs w:val="24"/>
        </w:rPr>
        <w:t>s</w:t>
      </w:r>
      <w:r w:rsidR="000C4F5F" w:rsidRPr="005C2603">
        <w:rPr>
          <w:rFonts w:ascii="Times New Roman" w:hAnsi="Times New Roman" w:cs="Times New Roman"/>
          <w:sz w:val="24"/>
          <w:szCs w:val="24"/>
        </w:rPr>
        <w:t xml:space="preserve"> support for the project hypothesis. </w:t>
      </w:r>
      <w:r w:rsidR="000C4F5F">
        <w:rPr>
          <w:rFonts w:ascii="Times New Roman" w:hAnsi="Times New Roman" w:cs="Times New Roman"/>
          <w:sz w:val="24"/>
          <w:szCs w:val="24"/>
        </w:rPr>
        <w:t>It had been found</w:t>
      </w:r>
      <w:r w:rsidR="000C4F5F" w:rsidRPr="005C2603">
        <w:rPr>
          <w:rFonts w:ascii="Times New Roman" w:hAnsi="Times New Roman" w:cs="Times New Roman"/>
          <w:sz w:val="24"/>
          <w:szCs w:val="24"/>
        </w:rPr>
        <w:t xml:space="preserve"> that the mobile application aided medical students in their learning and retention of knowledge of carpal bones. </w:t>
      </w:r>
      <w:r w:rsidR="000C4F5F">
        <w:rPr>
          <w:rFonts w:ascii="Times New Roman" w:hAnsi="Times New Roman" w:cs="Times New Roman"/>
          <w:sz w:val="24"/>
          <w:szCs w:val="24"/>
        </w:rPr>
        <w:t>They</w:t>
      </w:r>
      <w:r w:rsidR="000C4F5F" w:rsidRPr="005C2603">
        <w:rPr>
          <w:rFonts w:ascii="Times New Roman" w:hAnsi="Times New Roman" w:cs="Times New Roman"/>
          <w:sz w:val="24"/>
          <w:szCs w:val="24"/>
        </w:rPr>
        <w:t xml:space="preserve"> were able to understand and retain the information given in each educational scene in the application and managed to easily navigate the application without help</w:t>
      </w:r>
      <w:r w:rsidR="000C4F5F">
        <w:rPr>
          <w:rFonts w:ascii="Times New Roman" w:hAnsi="Times New Roman" w:cs="Times New Roman"/>
          <w:sz w:val="24"/>
          <w:szCs w:val="24"/>
        </w:rPr>
        <w:t xml:space="preserve">, </w:t>
      </w:r>
      <w:r w:rsidR="002D691E">
        <w:rPr>
          <w:rFonts w:ascii="Times New Roman" w:hAnsi="Times New Roman" w:cs="Times New Roman"/>
          <w:sz w:val="24"/>
          <w:szCs w:val="24"/>
        </w:rPr>
        <w:t>stating</w:t>
      </w:r>
      <w:r w:rsidR="000C4F5F" w:rsidRPr="005C2603">
        <w:rPr>
          <w:rFonts w:ascii="Times New Roman" w:hAnsi="Times New Roman" w:cs="Times New Roman"/>
          <w:sz w:val="24"/>
          <w:szCs w:val="24"/>
        </w:rPr>
        <w:t xml:space="preserve"> that the app was easy to use and made learning carpal bone anatomy simple and entertaining. The graphic design of the application was commended for its simple and minimalistic aesthetic, which contributed to the ease of use and learning.</w:t>
      </w:r>
    </w:p>
    <w:p w14:paraId="0FC6EA38" w14:textId="77777777" w:rsidR="000C4F5F" w:rsidRDefault="000C4F5F" w:rsidP="009119A7">
      <w:pPr>
        <w:spacing w:line="360" w:lineRule="auto"/>
        <w:ind w:firstLine="720"/>
        <w:rPr>
          <w:rFonts w:ascii="Times New Roman" w:hAnsi="Times New Roman" w:cs="Times New Roman"/>
          <w:sz w:val="24"/>
          <w:szCs w:val="24"/>
        </w:rPr>
      </w:pPr>
      <w:r w:rsidRPr="004263F9">
        <w:rPr>
          <w:rFonts w:ascii="Times New Roman" w:hAnsi="Times New Roman" w:cs="Times New Roman"/>
          <w:sz w:val="24"/>
          <w:szCs w:val="24"/>
        </w:rPr>
        <w:t>When comparing the pre-test and post-test results, a clear</w:t>
      </w:r>
      <w:r>
        <w:rPr>
          <w:rFonts w:ascii="Times New Roman" w:hAnsi="Times New Roman" w:cs="Times New Roman"/>
          <w:sz w:val="24"/>
          <w:szCs w:val="24"/>
        </w:rPr>
        <w:t>,</w:t>
      </w:r>
      <w:r w:rsidRPr="004263F9">
        <w:rPr>
          <w:rFonts w:ascii="Times New Roman" w:hAnsi="Times New Roman" w:cs="Times New Roman"/>
          <w:sz w:val="24"/>
          <w:szCs w:val="24"/>
        </w:rPr>
        <w:t xml:space="preserve"> upwards trend can be recogni</w:t>
      </w:r>
      <w:r>
        <w:rPr>
          <w:rFonts w:ascii="Times New Roman" w:hAnsi="Times New Roman" w:cs="Times New Roman"/>
          <w:sz w:val="24"/>
          <w:szCs w:val="24"/>
        </w:rPr>
        <w:t>s</w:t>
      </w:r>
      <w:r w:rsidRPr="004263F9">
        <w:rPr>
          <w:rFonts w:ascii="Times New Roman" w:hAnsi="Times New Roman" w:cs="Times New Roman"/>
          <w:sz w:val="24"/>
          <w:szCs w:val="24"/>
        </w:rPr>
        <w:t xml:space="preserve">ed between the </w:t>
      </w:r>
      <w:r>
        <w:rPr>
          <w:rFonts w:ascii="Times New Roman" w:hAnsi="Times New Roman" w:cs="Times New Roman"/>
          <w:sz w:val="24"/>
          <w:szCs w:val="24"/>
        </w:rPr>
        <w:t>test</w:t>
      </w:r>
      <w:r w:rsidRPr="004263F9">
        <w:rPr>
          <w:rFonts w:ascii="Times New Roman" w:hAnsi="Times New Roman" w:cs="Times New Roman"/>
          <w:sz w:val="24"/>
          <w:szCs w:val="24"/>
        </w:rPr>
        <w:t xml:space="preserve"> scores. In the pre-test, </w:t>
      </w:r>
      <w:r>
        <w:rPr>
          <w:rFonts w:ascii="Times New Roman" w:hAnsi="Times New Roman" w:cs="Times New Roman"/>
          <w:sz w:val="24"/>
          <w:szCs w:val="24"/>
        </w:rPr>
        <w:t xml:space="preserve">medical students were only able to correctly identify </w:t>
      </w:r>
      <w:r w:rsidRPr="004263F9">
        <w:rPr>
          <w:rFonts w:ascii="Times New Roman" w:hAnsi="Times New Roman" w:cs="Times New Roman"/>
          <w:sz w:val="24"/>
          <w:szCs w:val="24"/>
        </w:rPr>
        <w:t xml:space="preserve">an average of 31.25% of the carpal bones, with their individual quiz scores being 25% and 37.5%. </w:t>
      </w:r>
      <w:r>
        <w:rPr>
          <w:rFonts w:ascii="Times New Roman" w:hAnsi="Times New Roman" w:cs="Times New Roman"/>
          <w:sz w:val="24"/>
          <w:szCs w:val="24"/>
        </w:rPr>
        <w:t>P</w:t>
      </w:r>
      <w:r w:rsidRPr="004263F9">
        <w:rPr>
          <w:rFonts w:ascii="Times New Roman" w:hAnsi="Times New Roman" w:cs="Times New Roman"/>
          <w:sz w:val="24"/>
          <w:szCs w:val="24"/>
        </w:rPr>
        <w:t xml:space="preserve">revious studies that have also used the carpal bones test to establish anatomical knowledge in medical students </w:t>
      </w:r>
      <w:r>
        <w:rPr>
          <w:rFonts w:ascii="Times New Roman" w:hAnsi="Times New Roman" w:cs="Times New Roman"/>
          <w:sz w:val="24"/>
          <w:szCs w:val="24"/>
        </w:rPr>
        <w:t xml:space="preserve">have yielded similar results </w:t>
      </w:r>
      <w:r w:rsidRPr="004263F9">
        <w:rPr>
          <w:rFonts w:ascii="Times New Roman" w:hAnsi="Times New Roman" w:cs="Times New Roman"/>
          <w:sz w:val="24"/>
          <w:szCs w:val="24"/>
        </w:rPr>
        <w:t xml:space="preserve">(see </w:t>
      </w:r>
      <w:r>
        <w:rPr>
          <w:rFonts w:ascii="Times New Roman" w:hAnsi="Times New Roman" w:cs="Times New Roman"/>
          <w:sz w:val="24"/>
          <w:szCs w:val="24"/>
        </w:rPr>
        <w:t>section</w:t>
      </w:r>
      <w:r w:rsidRPr="004263F9">
        <w:rPr>
          <w:rFonts w:ascii="Times New Roman" w:hAnsi="Times New Roman" w:cs="Times New Roman"/>
          <w:sz w:val="24"/>
          <w:szCs w:val="24"/>
        </w:rPr>
        <w:t xml:space="preserve"> </w:t>
      </w:r>
      <w:r>
        <w:rPr>
          <w:rFonts w:ascii="Times New Roman" w:hAnsi="Times New Roman" w:cs="Times New Roman"/>
          <w:sz w:val="24"/>
          <w:szCs w:val="24"/>
        </w:rPr>
        <w:t>1.2: Why Carpal Bones?</w:t>
      </w:r>
      <w:r w:rsidRPr="004263F9">
        <w:rPr>
          <w:rFonts w:ascii="Times New Roman" w:hAnsi="Times New Roman" w:cs="Times New Roman"/>
          <w:sz w:val="24"/>
          <w:szCs w:val="24"/>
        </w:rPr>
        <w:t xml:space="preserve">). </w:t>
      </w:r>
      <w:r>
        <w:rPr>
          <w:rFonts w:ascii="Times New Roman" w:hAnsi="Times New Roman" w:cs="Times New Roman"/>
          <w:sz w:val="24"/>
          <w:szCs w:val="24"/>
        </w:rPr>
        <w:t xml:space="preserve">An average increase of </w:t>
      </w:r>
      <w:r w:rsidRPr="004263F9">
        <w:rPr>
          <w:rFonts w:ascii="Times New Roman" w:hAnsi="Times New Roman" w:cs="Times New Roman"/>
          <w:sz w:val="24"/>
          <w:szCs w:val="24"/>
        </w:rPr>
        <w:t xml:space="preserve">68.75% in </w:t>
      </w:r>
      <w:r>
        <w:rPr>
          <w:rFonts w:ascii="Times New Roman" w:hAnsi="Times New Roman" w:cs="Times New Roman"/>
          <w:sz w:val="24"/>
          <w:szCs w:val="24"/>
        </w:rPr>
        <w:t>test</w:t>
      </w:r>
      <w:r w:rsidRPr="004263F9">
        <w:rPr>
          <w:rFonts w:ascii="Times New Roman" w:hAnsi="Times New Roman" w:cs="Times New Roman"/>
          <w:sz w:val="24"/>
          <w:szCs w:val="24"/>
        </w:rPr>
        <w:t xml:space="preserve"> scores was observed</w:t>
      </w:r>
      <w:r>
        <w:rPr>
          <w:rFonts w:ascii="Times New Roman" w:hAnsi="Times New Roman" w:cs="Times New Roman"/>
          <w:sz w:val="24"/>
          <w:szCs w:val="24"/>
        </w:rPr>
        <w:t xml:space="preserve"> in the post-test, where both participants</w:t>
      </w:r>
      <w:r w:rsidRPr="004263F9">
        <w:rPr>
          <w:rFonts w:ascii="Times New Roman" w:hAnsi="Times New Roman" w:cs="Times New Roman"/>
          <w:sz w:val="24"/>
          <w:szCs w:val="24"/>
        </w:rPr>
        <w:t xml:space="preserve"> were 100% successful in correctly identifying the eight carpal bones. These results suggest that the mobile application does, in fact, aid medical students in their learning and retention of knowledge of the carpal bones.</w:t>
      </w:r>
    </w:p>
    <w:p w14:paraId="5D14127A" w14:textId="77777777" w:rsidR="000C4F5F" w:rsidRPr="005C2603" w:rsidRDefault="000C4F5F" w:rsidP="009119A7">
      <w:pPr>
        <w:spacing w:line="360" w:lineRule="auto"/>
        <w:ind w:firstLine="720"/>
        <w:rPr>
          <w:rFonts w:ascii="Times New Roman" w:hAnsi="Times New Roman" w:cs="Times New Roman"/>
          <w:sz w:val="24"/>
          <w:szCs w:val="24"/>
        </w:rPr>
      </w:pPr>
      <w:r w:rsidRPr="004263F9">
        <w:rPr>
          <w:rFonts w:ascii="Times New Roman" w:hAnsi="Times New Roman" w:cs="Times New Roman"/>
          <w:sz w:val="24"/>
          <w:szCs w:val="24"/>
        </w:rPr>
        <w:t xml:space="preserve">The Participant Questionnaire </w:t>
      </w:r>
      <w:r>
        <w:rPr>
          <w:rFonts w:ascii="Times New Roman" w:hAnsi="Times New Roman" w:cs="Times New Roman"/>
          <w:sz w:val="24"/>
          <w:szCs w:val="24"/>
        </w:rPr>
        <w:t xml:space="preserve">to collect feedback </w:t>
      </w:r>
      <w:r w:rsidRPr="004263F9">
        <w:rPr>
          <w:rFonts w:ascii="Times New Roman" w:hAnsi="Times New Roman" w:cs="Times New Roman"/>
          <w:sz w:val="24"/>
          <w:szCs w:val="24"/>
        </w:rPr>
        <w:t>used a Likert scale to gage participant responses on a scale of 1 to 7</w:t>
      </w:r>
      <w:r>
        <w:rPr>
          <w:rFonts w:ascii="Times New Roman" w:hAnsi="Times New Roman" w:cs="Times New Roman"/>
          <w:sz w:val="24"/>
          <w:szCs w:val="24"/>
        </w:rPr>
        <w:t>, allowing the</w:t>
      </w:r>
      <w:r w:rsidRPr="004263F9">
        <w:rPr>
          <w:rFonts w:ascii="Times New Roman" w:hAnsi="Times New Roman" w:cs="Times New Roman"/>
          <w:sz w:val="24"/>
          <w:szCs w:val="24"/>
        </w:rPr>
        <w:t xml:space="preserve"> participants to record their responses to a high degree of accuracy. There was a general consensus of user satisfaction of the mobile application, and no negative feelings towards the validity of the application as an aid to anatomical learning. However, one must note that there is a possibility of bias that could have influenced the participants’ questionnaire answers. For example, if the participant knew the desired outcome of </w:t>
      </w:r>
      <w:r w:rsidRPr="004263F9">
        <w:rPr>
          <w:rFonts w:ascii="Times New Roman" w:hAnsi="Times New Roman" w:cs="Times New Roman"/>
          <w:sz w:val="24"/>
          <w:szCs w:val="24"/>
        </w:rPr>
        <w:lastRenderedPageBreak/>
        <w:t>the study, this could have skewed their results, either knowingly or unknowingly. Taking the results of the Participant Questionnaire as an indication of the success of the application, it can be assumed that the application has carried out its intended purpose, and can be used as evidence to support the hypothesis of the study.</w:t>
      </w:r>
    </w:p>
    <w:p w14:paraId="6615ABA2" w14:textId="3F7801EF" w:rsidR="000C4F5F" w:rsidRDefault="003D1EB4" w:rsidP="009119A7">
      <w:pPr>
        <w:pStyle w:val="ListParagraph"/>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Limitations</w:t>
      </w:r>
    </w:p>
    <w:p w14:paraId="68665378" w14:textId="4D97E62F" w:rsidR="000C4F5F" w:rsidRPr="00BD2C94" w:rsidRDefault="000C4F5F" w:rsidP="009119A7">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w:t>
      </w:r>
      <w:r w:rsidRPr="00BD2C94">
        <w:rPr>
          <w:rFonts w:ascii="Times New Roman" w:hAnsi="Times New Roman" w:cs="Times New Roman"/>
          <w:sz w:val="24"/>
          <w:szCs w:val="24"/>
        </w:rPr>
        <w:t xml:space="preserve"> process of designing and developing the mobile application followed a logical and pragmatic approach</w:t>
      </w:r>
      <w:r>
        <w:rPr>
          <w:rFonts w:ascii="Times New Roman" w:hAnsi="Times New Roman" w:cs="Times New Roman"/>
          <w:sz w:val="24"/>
          <w:szCs w:val="24"/>
        </w:rPr>
        <w:t xml:space="preserve">, outlined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_Ref60997197 \h </w:instrText>
      </w:r>
      <w:r w:rsidR="009119A7">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1D38D7">
        <w:t xml:space="preserve">Figure </w:t>
      </w:r>
      <w:r w:rsidR="001D38D7">
        <w:rPr>
          <w:noProof/>
        </w:rPr>
        <w:t>1</w:t>
      </w:r>
      <w:r>
        <w:rPr>
          <w:rFonts w:ascii="Times New Roman" w:hAnsi="Times New Roman" w:cs="Times New Roman"/>
          <w:sz w:val="24"/>
          <w:szCs w:val="24"/>
        </w:rPr>
        <w:fldChar w:fldCharType="end"/>
      </w:r>
      <w:r>
        <w:rPr>
          <w:rFonts w:ascii="Times New Roman" w:hAnsi="Times New Roman" w:cs="Times New Roman"/>
          <w:sz w:val="24"/>
          <w:szCs w:val="24"/>
        </w:rPr>
        <w:t>, allowing the</w:t>
      </w:r>
      <w:r w:rsidRPr="00BD2C94">
        <w:rPr>
          <w:rFonts w:ascii="Times New Roman" w:hAnsi="Times New Roman" w:cs="Times New Roman"/>
          <w:sz w:val="24"/>
          <w:szCs w:val="24"/>
        </w:rPr>
        <w:t xml:space="preserve"> timeline of the project to be well managed, while avoiding any unnecessary time loss, despite the many challenges.</w:t>
      </w:r>
    </w:p>
    <w:p w14:paraId="3CB501A4" w14:textId="6532AD32" w:rsidR="00E42F75" w:rsidRPr="00BD2C94" w:rsidRDefault="000E50C2" w:rsidP="00E42F75">
      <w:pPr>
        <w:spacing w:line="360" w:lineRule="auto"/>
        <w:ind w:firstLine="720"/>
        <w:rPr>
          <w:rFonts w:ascii="Times New Roman" w:hAnsi="Times New Roman" w:cs="Times New Roman"/>
          <w:sz w:val="24"/>
          <w:szCs w:val="24"/>
        </w:rPr>
      </w:pPr>
      <w:r>
        <w:rPr>
          <w:rFonts w:ascii="Times New Roman" w:hAnsi="Times New Roman" w:cs="Times New Roman"/>
          <w:sz w:val="24"/>
          <w:szCs w:val="24"/>
        </w:rPr>
        <w:t>Due</w:t>
      </w:r>
      <w:r w:rsidR="000C4F5F" w:rsidRPr="00BD2C94">
        <w:rPr>
          <w:rFonts w:ascii="Times New Roman" w:hAnsi="Times New Roman" w:cs="Times New Roman"/>
          <w:sz w:val="24"/>
          <w:szCs w:val="24"/>
        </w:rPr>
        <w:t xml:space="preserve"> to </w:t>
      </w:r>
      <w:r w:rsidR="000C4F5F">
        <w:rPr>
          <w:rFonts w:ascii="Times New Roman" w:hAnsi="Times New Roman" w:cs="Times New Roman"/>
          <w:sz w:val="24"/>
          <w:szCs w:val="24"/>
        </w:rPr>
        <w:t>obstacles presented by</w:t>
      </w:r>
      <w:r w:rsidR="000C4F5F" w:rsidRPr="00BD2C94">
        <w:rPr>
          <w:rFonts w:ascii="Times New Roman" w:hAnsi="Times New Roman" w:cs="Times New Roman"/>
          <w:sz w:val="24"/>
          <w:szCs w:val="24"/>
        </w:rPr>
        <w:t xml:space="preserve"> the COVID-19 pandemic, </w:t>
      </w:r>
      <w:r>
        <w:rPr>
          <w:rFonts w:ascii="Times New Roman" w:hAnsi="Times New Roman" w:cs="Times New Roman"/>
          <w:sz w:val="24"/>
          <w:szCs w:val="24"/>
        </w:rPr>
        <w:t xml:space="preserve">time constraints and limited </w:t>
      </w:r>
      <w:r w:rsidR="000C4F5F" w:rsidRPr="00BD2C94">
        <w:rPr>
          <w:rFonts w:ascii="Times New Roman" w:hAnsi="Times New Roman" w:cs="Times New Roman"/>
          <w:sz w:val="24"/>
          <w:szCs w:val="24"/>
        </w:rPr>
        <w:t>access t</w:t>
      </w:r>
      <w:r>
        <w:rPr>
          <w:rFonts w:ascii="Times New Roman" w:hAnsi="Times New Roman" w:cs="Times New Roman"/>
          <w:sz w:val="24"/>
          <w:szCs w:val="24"/>
        </w:rPr>
        <w:t xml:space="preserve">o real specimens, </w:t>
      </w:r>
      <w:r w:rsidR="000C4F5F" w:rsidRPr="00BD2C94">
        <w:rPr>
          <w:rFonts w:ascii="Times New Roman" w:hAnsi="Times New Roman" w:cs="Times New Roman"/>
          <w:sz w:val="24"/>
          <w:szCs w:val="24"/>
        </w:rPr>
        <w:t>caus</w:t>
      </w:r>
      <w:r>
        <w:rPr>
          <w:rFonts w:ascii="Times New Roman" w:hAnsi="Times New Roman" w:cs="Times New Roman"/>
          <w:sz w:val="24"/>
          <w:szCs w:val="24"/>
        </w:rPr>
        <w:t>ed</w:t>
      </w:r>
      <w:r w:rsidR="000C4F5F" w:rsidRPr="00BD2C94">
        <w:rPr>
          <w:rFonts w:ascii="Times New Roman" w:hAnsi="Times New Roman" w:cs="Times New Roman"/>
          <w:sz w:val="24"/>
          <w:szCs w:val="24"/>
        </w:rPr>
        <w:t xml:space="preserve"> a delay in the development and design process. </w:t>
      </w:r>
      <w:r w:rsidR="00EE1BA6" w:rsidRPr="00BD2C94">
        <w:rPr>
          <w:rFonts w:ascii="Times New Roman" w:hAnsi="Times New Roman" w:cs="Times New Roman"/>
          <w:sz w:val="24"/>
          <w:szCs w:val="24"/>
        </w:rPr>
        <w:t xml:space="preserve">Access to carpal bones held within the University of Glasgow Anatomy Facility was not possible due to COVID-19 related restrictions, so </w:t>
      </w:r>
      <w:r w:rsidR="00EE1BA6">
        <w:rPr>
          <w:rFonts w:ascii="Times New Roman" w:hAnsi="Times New Roman" w:cs="Times New Roman"/>
          <w:sz w:val="24"/>
          <w:szCs w:val="24"/>
        </w:rPr>
        <w:t>photos</w:t>
      </w:r>
      <w:r w:rsidR="00EE1BA6" w:rsidRPr="00BD2C94">
        <w:rPr>
          <w:rFonts w:ascii="Times New Roman" w:hAnsi="Times New Roman" w:cs="Times New Roman"/>
          <w:sz w:val="24"/>
          <w:szCs w:val="24"/>
        </w:rPr>
        <w:t xml:space="preserve"> of the </w:t>
      </w:r>
      <w:r w:rsidR="00EE1BA6">
        <w:rPr>
          <w:rFonts w:ascii="Times New Roman" w:hAnsi="Times New Roman" w:cs="Times New Roman"/>
          <w:sz w:val="24"/>
          <w:szCs w:val="24"/>
        </w:rPr>
        <w:t xml:space="preserve">carpal </w:t>
      </w:r>
      <w:r w:rsidR="00EE1BA6" w:rsidRPr="00BD2C94">
        <w:rPr>
          <w:rFonts w:ascii="Times New Roman" w:hAnsi="Times New Roman" w:cs="Times New Roman"/>
          <w:sz w:val="24"/>
          <w:szCs w:val="24"/>
        </w:rPr>
        <w:t xml:space="preserve">bones were used from textbooks, specifically, Chapter 13 of the Human Bone Manual, and 3D models from Sketchfab (White and Folkens, 2005). </w:t>
      </w:r>
      <w:r w:rsidR="000C4F5F">
        <w:rPr>
          <w:rFonts w:ascii="Times New Roman" w:hAnsi="Times New Roman" w:cs="Times New Roman"/>
          <w:sz w:val="24"/>
          <w:szCs w:val="24"/>
        </w:rPr>
        <w:t>B</w:t>
      </w:r>
      <w:r w:rsidR="000C4F5F" w:rsidRPr="00BD2C94">
        <w:rPr>
          <w:rFonts w:ascii="Times New Roman" w:hAnsi="Times New Roman" w:cs="Times New Roman"/>
          <w:sz w:val="24"/>
          <w:szCs w:val="24"/>
        </w:rPr>
        <w:t>ecause of the lack of real reference bones</w:t>
      </w:r>
      <w:r w:rsidR="000C4F5F">
        <w:rPr>
          <w:rFonts w:ascii="Times New Roman" w:hAnsi="Times New Roman" w:cs="Times New Roman"/>
          <w:sz w:val="24"/>
          <w:szCs w:val="24"/>
        </w:rPr>
        <w:t>, m</w:t>
      </w:r>
      <w:r w:rsidR="000C4F5F" w:rsidRPr="00BD2C94">
        <w:rPr>
          <w:rFonts w:ascii="Times New Roman" w:hAnsi="Times New Roman" w:cs="Times New Roman"/>
          <w:sz w:val="24"/>
          <w:szCs w:val="24"/>
        </w:rPr>
        <w:t>odelling the carpal bones proved to be time consuming</w:t>
      </w:r>
      <w:r w:rsidR="000C4F5F">
        <w:rPr>
          <w:rFonts w:ascii="Times New Roman" w:hAnsi="Times New Roman" w:cs="Times New Roman"/>
          <w:sz w:val="24"/>
          <w:szCs w:val="24"/>
        </w:rPr>
        <w:t>, as reference for the shapes of each had to be taken from photographs</w:t>
      </w:r>
      <w:r w:rsidR="000C4F5F" w:rsidRPr="00BD2C94">
        <w:rPr>
          <w:rFonts w:ascii="Times New Roman" w:hAnsi="Times New Roman" w:cs="Times New Roman"/>
          <w:sz w:val="24"/>
          <w:szCs w:val="24"/>
        </w:rPr>
        <w:t xml:space="preserve">. </w:t>
      </w:r>
      <w:r w:rsidR="00EE1BA6">
        <w:rPr>
          <w:rFonts w:ascii="Times New Roman" w:hAnsi="Times New Roman" w:cs="Times New Roman"/>
          <w:sz w:val="24"/>
          <w:szCs w:val="24"/>
        </w:rPr>
        <w:t xml:space="preserve">Another limitation of the study was the </w:t>
      </w:r>
      <w:r w:rsidR="007C562F">
        <w:rPr>
          <w:rFonts w:ascii="Times New Roman" w:hAnsi="Times New Roman" w:cs="Times New Roman"/>
          <w:sz w:val="24"/>
          <w:szCs w:val="24"/>
        </w:rPr>
        <w:t>inaccessibility</w:t>
      </w:r>
      <w:r w:rsidR="00EE1BA6">
        <w:rPr>
          <w:rFonts w:ascii="Times New Roman" w:hAnsi="Times New Roman" w:cs="Times New Roman"/>
          <w:sz w:val="24"/>
          <w:szCs w:val="24"/>
        </w:rPr>
        <w:t xml:space="preserve"> of the university campus, where all the specialty equipment for developing applications</w:t>
      </w:r>
      <w:r w:rsidR="007C562F">
        <w:rPr>
          <w:rFonts w:ascii="Times New Roman" w:hAnsi="Times New Roman" w:cs="Times New Roman"/>
          <w:sz w:val="24"/>
          <w:szCs w:val="24"/>
        </w:rPr>
        <w:t>, like computers, mobile devices, etc,</w:t>
      </w:r>
      <w:r w:rsidR="00EE1BA6">
        <w:rPr>
          <w:rFonts w:ascii="Times New Roman" w:hAnsi="Times New Roman" w:cs="Times New Roman"/>
          <w:sz w:val="24"/>
          <w:szCs w:val="24"/>
        </w:rPr>
        <w:t xml:space="preserve"> are kept. Because there was no access to a Macintosh computer, the application was only able to be developed for </w:t>
      </w:r>
      <w:r w:rsidR="00E42F75">
        <w:rPr>
          <w:rFonts w:ascii="Times New Roman" w:hAnsi="Times New Roman" w:cs="Times New Roman"/>
          <w:sz w:val="24"/>
          <w:szCs w:val="24"/>
        </w:rPr>
        <w:t>A</w:t>
      </w:r>
      <w:r w:rsidR="00EE1BA6">
        <w:rPr>
          <w:rFonts w:ascii="Times New Roman" w:hAnsi="Times New Roman" w:cs="Times New Roman"/>
          <w:sz w:val="24"/>
          <w:szCs w:val="24"/>
        </w:rPr>
        <w:t xml:space="preserve">ndroid. This caused </w:t>
      </w:r>
      <w:r w:rsidR="007C562F">
        <w:rPr>
          <w:rFonts w:ascii="Times New Roman" w:hAnsi="Times New Roman" w:cs="Times New Roman"/>
          <w:sz w:val="24"/>
          <w:szCs w:val="24"/>
        </w:rPr>
        <w:t>a large decrease in the participants eligible to test the application on their own mobile devices, as most of the medical students who had signed up only owned Apple products.</w:t>
      </w:r>
      <w:r w:rsidR="00E42F75">
        <w:rPr>
          <w:rFonts w:ascii="Times New Roman" w:hAnsi="Times New Roman" w:cs="Times New Roman"/>
          <w:sz w:val="24"/>
          <w:szCs w:val="24"/>
        </w:rPr>
        <w:t xml:space="preserve"> The limitations proposed by small participant numbers are the insignificance of the results obtained from the study. Although promising, the results cannot be considered significant without having tested on a larger participant pool.</w:t>
      </w:r>
    </w:p>
    <w:p w14:paraId="73847796" w14:textId="77777777" w:rsidR="000C4F5F" w:rsidRDefault="000C4F5F" w:rsidP="009119A7">
      <w:pPr>
        <w:pStyle w:val="ListParagraph"/>
        <w:numPr>
          <w:ilvl w:val="1"/>
          <w:numId w:val="3"/>
        </w:numPr>
        <w:spacing w:line="360" w:lineRule="auto"/>
        <w:rPr>
          <w:rFonts w:ascii="Times New Roman" w:hAnsi="Times New Roman" w:cs="Times New Roman"/>
          <w:sz w:val="24"/>
          <w:szCs w:val="24"/>
        </w:rPr>
      </w:pPr>
      <w:r w:rsidRPr="00386768">
        <w:rPr>
          <w:rFonts w:ascii="Times New Roman" w:hAnsi="Times New Roman" w:cs="Times New Roman"/>
          <w:sz w:val="24"/>
          <w:szCs w:val="24"/>
        </w:rPr>
        <w:t>Post Evaluation Modifications</w:t>
      </w:r>
    </w:p>
    <w:p w14:paraId="3BEC9E9E" w14:textId="77777777" w:rsidR="000C4F5F" w:rsidRPr="00386768" w:rsidRDefault="000C4F5F" w:rsidP="009119A7">
      <w:pPr>
        <w:spacing w:line="360" w:lineRule="auto"/>
        <w:ind w:firstLine="720"/>
        <w:rPr>
          <w:rFonts w:ascii="Times New Roman" w:hAnsi="Times New Roman" w:cs="Times New Roman"/>
          <w:sz w:val="24"/>
          <w:szCs w:val="24"/>
        </w:rPr>
      </w:pPr>
      <w:r>
        <w:rPr>
          <w:rFonts w:ascii="Times New Roman" w:hAnsi="Times New Roman" w:cs="Times New Roman"/>
          <w:sz w:val="24"/>
          <w:szCs w:val="24"/>
        </w:rPr>
        <w:t>T</w:t>
      </w:r>
      <w:r w:rsidRPr="00386768">
        <w:rPr>
          <w:rFonts w:ascii="Times New Roman" w:hAnsi="Times New Roman" w:cs="Times New Roman"/>
          <w:sz w:val="24"/>
          <w:szCs w:val="24"/>
        </w:rPr>
        <w:t>he results from Participant Questionnaires</w:t>
      </w:r>
      <w:r>
        <w:rPr>
          <w:rFonts w:ascii="Times New Roman" w:hAnsi="Times New Roman" w:cs="Times New Roman"/>
          <w:sz w:val="24"/>
          <w:szCs w:val="24"/>
        </w:rPr>
        <w:t xml:space="preserve"> were analysed</w:t>
      </w:r>
      <w:r w:rsidRPr="00386768">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386768">
        <w:rPr>
          <w:rFonts w:ascii="Times New Roman" w:hAnsi="Times New Roman" w:cs="Times New Roman"/>
          <w:sz w:val="24"/>
          <w:szCs w:val="24"/>
        </w:rPr>
        <w:t>the feedback given was used to implement changes into the application for further improvement. The m</w:t>
      </w:r>
      <w:r>
        <w:rPr>
          <w:rFonts w:ascii="Times New Roman" w:hAnsi="Times New Roman" w:cs="Times New Roman"/>
          <w:sz w:val="24"/>
          <w:szCs w:val="24"/>
        </w:rPr>
        <w:t>ost significant</w:t>
      </w:r>
      <w:r w:rsidRPr="00386768">
        <w:rPr>
          <w:rFonts w:ascii="Times New Roman" w:hAnsi="Times New Roman" w:cs="Times New Roman"/>
          <w:sz w:val="24"/>
          <w:szCs w:val="24"/>
        </w:rPr>
        <w:t xml:space="preserve"> changes made concerned UI elements of the application</w:t>
      </w:r>
      <w:r>
        <w:rPr>
          <w:rFonts w:ascii="Times New Roman" w:hAnsi="Times New Roman" w:cs="Times New Roman"/>
          <w:sz w:val="24"/>
          <w:szCs w:val="24"/>
        </w:rPr>
        <w:t>, for example, t</w:t>
      </w:r>
      <w:r w:rsidRPr="00386768">
        <w:rPr>
          <w:rFonts w:ascii="Times New Roman" w:hAnsi="Times New Roman" w:cs="Times New Roman"/>
          <w:sz w:val="24"/>
          <w:szCs w:val="24"/>
        </w:rPr>
        <w:t xml:space="preserve">he placements of the UI elements, specifically the home buttons, next buttons, and information buttons, were adjusted so that they would appear more clearly on smaller mobile phone screens; this was not found to be </w:t>
      </w:r>
      <w:r w:rsidRPr="00386768">
        <w:rPr>
          <w:rFonts w:ascii="Times New Roman" w:hAnsi="Times New Roman" w:cs="Times New Roman"/>
          <w:sz w:val="24"/>
          <w:szCs w:val="24"/>
        </w:rPr>
        <w:lastRenderedPageBreak/>
        <w:t>an issue on larger tablet screens used during development. There were comments regarding the animations, claiming that adding arrows or highlighting the parts of the bone being talked about as each voiceover played in the modules would help student’s follow along with the modules. Given more time, this would have been a</w:t>
      </w:r>
      <w:r>
        <w:rPr>
          <w:rFonts w:ascii="Times New Roman" w:hAnsi="Times New Roman" w:cs="Times New Roman"/>
          <w:sz w:val="24"/>
          <w:szCs w:val="24"/>
        </w:rPr>
        <w:t>nother</w:t>
      </w:r>
      <w:r w:rsidRPr="00386768">
        <w:rPr>
          <w:rFonts w:ascii="Times New Roman" w:hAnsi="Times New Roman" w:cs="Times New Roman"/>
          <w:sz w:val="24"/>
          <w:szCs w:val="24"/>
        </w:rPr>
        <w:t xml:space="preserve"> change implemented into the application.</w:t>
      </w:r>
    </w:p>
    <w:p w14:paraId="7F8DE73D" w14:textId="77777777" w:rsidR="000C4F5F" w:rsidRDefault="000C4F5F" w:rsidP="009119A7">
      <w:pPr>
        <w:pStyle w:val="ListParagraph"/>
        <w:numPr>
          <w:ilvl w:val="1"/>
          <w:numId w:val="3"/>
        </w:numPr>
        <w:spacing w:line="360" w:lineRule="auto"/>
        <w:rPr>
          <w:rFonts w:ascii="Times New Roman" w:hAnsi="Times New Roman" w:cs="Times New Roman"/>
          <w:sz w:val="24"/>
          <w:szCs w:val="24"/>
        </w:rPr>
      </w:pPr>
      <w:r w:rsidRPr="00386768">
        <w:rPr>
          <w:rFonts w:ascii="Times New Roman" w:hAnsi="Times New Roman" w:cs="Times New Roman"/>
          <w:sz w:val="24"/>
          <w:szCs w:val="24"/>
        </w:rPr>
        <w:t>Future Development</w:t>
      </w:r>
    </w:p>
    <w:p w14:paraId="01ED192F" w14:textId="77777777" w:rsidR="000C4F5F" w:rsidRPr="00633FE6" w:rsidRDefault="000C4F5F" w:rsidP="009119A7">
      <w:pPr>
        <w:spacing w:line="360" w:lineRule="auto"/>
        <w:ind w:firstLine="360"/>
        <w:rPr>
          <w:rFonts w:ascii="Times New Roman" w:hAnsi="Times New Roman" w:cs="Times New Roman"/>
          <w:sz w:val="24"/>
          <w:szCs w:val="24"/>
        </w:rPr>
      </w:pPr>
      <w:r w:rsidRPr="00633FE6">
        <w:rPr>
          <w:rFonts w:ascii="Times New Roman" w:hAnsi="Times New Roman" w:cs="Times New Roman"/>
          <w:sz w:val="24"/>
          <w:szCs w:val="24"/>
        </w:rPr>
        <w:t xml:space="preserve">The results from the study are promising and can therefore provide reason to develop the research project further in the future. As discussed in </w:t>
      </w:r>
      <w:r>
        <w:rPr>
          <w:rFonts w:ascii="Times New Roman" w:hAnsi="Times New Roman" w:cs="Times New Roman"/>
          <w:sz w:val="24"/>
          <w:szCs w:val="24"/>
        </w:rPr>
        <w:t>the beginning of the chapter</w:t>
      </w:r>
      <w:r w:rsidRPr="00633FE6">
        <w:rPr>
          <w:rFonts w:ascii="Times New Roman" w:hAnsi="Times New Roman" w:cs="Times New Roman"/>
          <w:sz w:val="24"/>
          <w:szCs w:val="24"/>
        </w:rPr>
        <w:t>, previous studies regarding the impact of understanding etymology on learning anatomy have result</w:t>
      </w:r>
      <w:r>
        <w:rPr>
          <w:rFonts w:ascii="Times New Roman" w:hAnsi="Times New Roman" w:cs="Times New Roman"/>
          <w:sz w:val="24"/>
          <w:szCs w:val="24"/>
        </w:rPr>
        <w:t>ed</w:t>
      </w:r>
      <w:r w:rsidRPr="00633FE6">
        <w:rPr>
          <w:rFonts w:ascii="Times New Roman" w:hAnsi="Times New Roman" w:cs="Times New Roman"/>
          <w:sz w:val="24"/>
          <w:szCs w:val="24"/>
        </w:rPr>
        <w:t xml:space="preserve"> </w:t>
      </w:r>
      <w:r>
        <w:rPr>
          <w:rFonts w:ascii="Times New Roman" w:hAnsi="Times New Roman" w:cs="Times New Roman"/>
          <w:sz w:val="24"/>
          <w:szCs w:val="24"/>
        </w:rPr>
        <w:t>in similar findings to</w:t>
      </w:r>
      <w:r w:rsidRPr="00633FE6">
        <w:rPr>
          <w:rFonts w:ascii="Times New Roman" w:hAnsi="Times New Roman" w:cs="Times New Roman"/>
          <w:sz w:val="24"/>
          <w:szCs w:val="24"/>
        </w:rPr>
        <w:t xml:space="preserve"> this study. </w:t>
      </w:r>
      <w:r>
        <w:rPr>
          <w:rFonts w:ascii="Times New Roman" w:hAnsi="Times New Roman" w:cs="Times New Roman"/>
          <w:sz w:val="24"/>
          <w:szCs w:val="24"/>
        </w:rPr>
        <w:t xml:space="preserve">New </w:t>
      </w:r>
      <w:r w:rsidRPr="00633FE6">
        <w:rPr>
          <w:rFonts w:ascii="Times New Roman" w:hAnsi="Times New Roman" w:cs="Times New Roman"/>
          <w:sz w:val="24"/>
          <w:szCs w:val="24"/>
        </w:rPr>
        <w:t>cohorts of medical students entering the field of medicine</w:t>
      </w:r>
      <w:r>
        <w:rPr>
          <w:rFonts w:ascii="Times New Roman" w:hAnsi="Times New Roman" w:cs="Times New Roman"/>
          <w:sz w:val="24"/>
          <w:szCs w:val="24"/>
        </w:rPr>
        <w:t xml:space="preserve"> could benefit from more research into this topic</w:t>
      </w:r>
      <w:r w:rsidRPr="00633FE6">
        <w:rPr>
          <w:rFonts w:ascii="Times New Roman" w:hAnsi="Times New Roman" w:cs="Times New Roman"/>
          <w:sz w:val="24"/>
          <w:szCs w:val="24"/>
        </w:rPr>
        <w:t xml:space="preserve">, </w:t>
      </w:r>
      <w:r>
        <w:rPr>
          <w:rFonts w:ascii="Times New Roman" w:hAnsi="Times New Roman" w:cs="Times New Roman"/>
          <w:sz w:val="24"/>
          <w:szCs w:val="24"/>
        </w:rPr>
        <w:t xml:space="preserve">as it could provide insight into </w:t>
      </w:r>
      <w:r w:rsidRPr="00633FE6">
        <w:rPr>
          <w:rFonts w:ascii="Times New Roman" w:hAnsi="Times New Roman" w:cs="Times New Roman"/>
          <w:sz w:val="24"/>
          <w:szCs w:val="24"/>
        </w:rPr>
        <w:t xml:space="preserve">new methods of learning anatomy that </w:t>
      </w:r>
      <w:r>
        <w:rPr>
          <w:rFonts w:ascii="Times New Roman" w:hAnsi="Times New Roman" w:cs="Times New Roman"/>
          <w:sz w:val="24"/>
          <w:szCs w:val="24"/>
        </w:rPr>
        <w:t>are</w:t>
      </w:r>
      <w:r w:rsidRPr="00633FE6">
        <w:rPr>
          <w:rFonts w:ascii="Times New Roman" w:hAnsi="Times New Roman" w:cs="Times New Roman"/>
          <w:sz w:val="24"/>
          <w:szCs w:val="24"/>
        </w:rPr>
        <w:t xml:space="preserve"> simple and enjoyable. According to previous studies, preliminary feedback from anatomy instructors, and the participant feedback from this study, there seems to be a scope for an application such as</w:t>
      </w:r>
      <w:r>
        <w:rPr>
          <w:rFonts w:ascii="Times New Roman" w:hAnsi="Times New Roman" w:cs="Times New Roman"/>
          <w:sz w:val="24"/>
          <w:szCs w:val="24"/>
        </w:rPr>
        <w:t xml:space="preserve"> the one created in this research project </w:t>
      </w:r>
      <w:r w:rsidRPr="00633FE6">
        <w:rPr>
          <w:rFonts w:ascii="Times New Roman" w:hAnsi="Times New Roman" w:cs="Times New Roman"/>
          <w:sz w:val="24"/>
          <w:szCs w:val="24"/>
        </w:rPr>
        <w:t xml:space="preserve">as a teaching and study tool for medical students. Further, mobile devices are extremely common among today’s population, including medical students, making a mobile application like </w:t>
      </w:r>
      <w:r>
        <w:rPr>
          <w:rFonts w:ascii="Times New Roman" w:hAnsi="Times New Roman" w:cs="Times New Roman"/>
          <w:sz w:val="24"/>
          <w:szCs w:val="24"/>
        </w:rPr>
        <w:t>this one</w:t>
      </w:r>
      <w:r w:rsidRPr="00633FE6">
        <w:rPr>
          <w:rFonts w:ascii="Times New Roman" w:hAnsi="Times New Roman" w:cs="Times New Roman"/>
          <w:sz w:val="24"/>
          <w:szCs w:val="24"/>
        </w:rPr>
        <w:t xml:space="preserve"> extremely accessible and easy to use. It is</w:t>
      </w:r>
      <w:r>
        <w:rPr>
          <w:rFonts w:ascii="Times New Roman" w:hAnsi="Times New Roman" w:cs="Times New Roman"/>
          <w:sz w:val="24"/>
          <w:szCs w:val="24"/>
        </w:rPr>
        <w:t xml:space="preserve"> therefore</w:t>
      </w:r>
      <w:r w:rsidRPr="00633FE6">
        <w:rPr>
          <w:rFonts w:ascii="Times New Roman" w:hAnsi="Times New Roman" w:cs="Times New Roman"/>
          <w:sz w:val="24"/>
          <w:szCs w:val="24"/>
        </w:rPr>
        <w:t xml:space="preserve"> important that further studies are conducted on this topic to further understand how teaching anatomy to medical students can be improved through use of etymology and digital learning tools.</w:t>
      </w:r>
    </w:p>
    <w:p w14:paraId="7FEBC3A9" w14:textId="77777777" w:rsidR="000C4F5F" w:rsidRDefault="000C4F5F" w:rsidP="009119A7">
      <w:pPr>
        <w:pStyle w:val="ListParagraph"/>
        <w:numPr>
          <w:ilvl w:val="0"/>
          <w:numId w:val="3"/>
        </w:numPr>
        <w:spacing w:line="360" w:lineRule="auto"/>
        <w:rPr>
          <w:rFonts w:ascii="Times New Roman" w:hAnsi="Times New Roman" w:cs="Times New Roman"/>
          <w:sz w:val="24"/>
          <w:szCs w:val="24"/>
        </w:rPr>
      </w:pPr>
      <w:r w:rsidRPr="00C91F40">
        <w:rPr>
          <w:rFonts w:ascii="Times New Roman" w:hAnsi="Times New Roman" w:cs="Times New Roman"/>
          <w:sz w:val="24"/>
          <w:szCs w:val="24"/>
        </w:rPr>
        <w:t>Conclusion</w:t>
      </w:r>
    </w:p>
    <w:p w14:paraId="12BE3551" w14:textId="77777777" w:rsidR="000C4F5F" w:rsidRPr="007E6DAF" w:rsidRDefault="000C4F5F" w:rsidP="009119A7">
      <w:pPr>
        <w:spacing w:line="360" w:lineRule="auto"/>
        <w:ind w:firstLine="360"/>
        <w:rPr>
          <w:rFonts w:ascii="Times New Roman" w:hAnsi="Times New Roman" w:cs="Times New Roman"/>
          <w:sz w:val="24"/>
          <w:szCs w:val="24"/>
        </w:rPr>
      </w:pPr>
      <w:r w:rsidRPr="007E6DAF">
        <w:rPr>
          <w:rFonts w:ascii="Times New Roman" w:hAnsi="Times New Roman" w:cs="Times New Roman"/>
          <w:sz w:val="24"/>
          <w:szCs w:val="24"/>
        </w:rPr>
        <w:t xml:space="preserve">The creation and evaluation of this mobile application with medical students has demonstrated the potential that digital learning tools can have in improving learning and retention of knowledge of complex anatomical concepts, like that of the carpal bones. The mobile application </w:t>
      </w:r>
      <w:r>
        <w:rPr>
          <w:rFonts w:ascii="Times New Roman" w:hAnsi="Times New Roman" w:cs="Times New Roman"/>
          <w:sz w:val="24"/>
          <w:szCs w:val="24"/>
        </w:rPr>
        <w:t xml:space="preserve">in this research project </w:t>
      </w:r>
      <w:r w:rsidRPr="007E6DAF">
        <w:rPr>
          <w:rFonts w:ascii="Times New Roman" w:hAnsi="Times New Roman" w:cs="Times New Roman"/>
          <w:sz w:val="24"/>
          <w:szCs w:val="24"/>
        </w:rPr>
        <w:t>was developed with a clear concept in mind: to aid medical students in learning carpal bone anatomy by visuali</w:t>
      </w:r>
      <w:r>
        <w:rPr>
          <w:rFonts w:ascii="Times New Roman" w:hAnsi="Times New Roman" w:cs="Times New Roman"/>
          <w:sz w:val="24"/>
          <w:szCs w:val="24"/>
        </w:rPr>
        <w:t>s</w:t>
      </w:r>
      <w:r w:rsidRPr="007E6DAF">
        <w:rPr>
          <w:rFonts w:ascii="Times New Roman" w:hAnsi="Times New Roman" w:cs="Times New Roman"/>
          <w:sz w:val="24"/>
          <w:szCs w:val="24"/>
        </w:rPr>
        <w:t xml:space="preserve">ing the links between the bones and their etymologies. The use of animations, illustrations, and 3D models in addition to anatomical and etymological information allowed for medical students to improve their learning and retention of knowledge of the carpal bones, which was demonstrated </w:t>
      </w:r>
      <w:r>
        <w:rPr>
          <w:rFonts w:ascii="Times New Roman" w:hAnsi="Times New Roman" w:cs="Times New Roman"/>
          <w:sz w:val="24"/>
          <w:szCs w:val="24"/>
        </w:rPr>
        <w:t>through</w:t>
      </w:r>
      <w:r w:rsidRPr="007E6DAF">
        <w:rPr>
          <w:rFonts w:ascii="Times New Roman" w:hAnsi="Times New Roman" w:cs="Times New Roman"/>
          <w:sz w:val="24"/>
          <w:szCs w:val="24"/>
        </w:rPr>
        <w:t xml:space="preserve"> the pre-test and post-test results. The positive results in this study can therefore justify the scope of etymology visuali</w:t>
      </w:r>
      <w:r>
        <w:rPr>
          <w:rFonts w:ascii="Times New Roman" w:hAnsi="Times New Roman" w:cs="Times New Roman"/>
          <w:sz w:val="24"/>
          <w:szCs w:val="24"/>
        </w:rPr>
        <w:t>s</w:t>
      </w:r>
      <w:r w:rsidRPr="007E6DAF">
        <w:rPr>
          <w:rFonts w:ascii="Times New Roman" w:hAnsi="Times New Roman" w:cs="Times New Roman"/>
          <w:sz w:val="24"/>
          <w:szCs w:val="24"/>
        </w:rPr>
        <w:t xml:space="preserve">ation through digital learning tools in the field of medical teaching. Mobile applications </w:t>
      </w:r>
      <w:r w:rsidRPr="007E6DAF">
        <w:rPr>
          <w:rFonts w:ascii="Times New Roman" w:hAnsi="Times New Roman" w:cs="Times New Roman"/>
          <w:sz w:val="24"/>
          <w:szCs w:val="24"/>
        </w:rPr>
        <w:lastRenderedPageBreak/>
        <w:t>for teaching and learning anatomy can benefit medical students by providing anatomy content that is simplified, entertaining, and accessible.</w:t>
      </w:r>
    </w:p>
    <w:p w14:paraId="261025D7" w14:textId="77777777" w:rsidR="000C4F5F" w:rsidRDefault="000C4F5F" w:rsidP="009119A7">
      <w:pPr>
        <w:spacing w:line="360" w:lineRule="auto"/>
        <w:ind w:firstLine="360"/>
        <w:rPr>
          <w:rFonts w:ascii="Times New Roman" w:hAnsi="Times New Roman" w:cs="Times New Roman"/>
          <w:sz w:val="24"/>
          <w:szCs w:val="24"/>
        </w:rPr>
      </w:pPr>
      <w:r w:rsidRPr="007E6DAF">
        <w:rPr>
          <w:rFonts w:ascii="Times New Roman" w:hAnsi="Times New Roman" w:cs="Times New Roman"/>
          <w:sz w:val="24"/>
          <w:szCs w:val="24"/>
        </w:rPr>
        <w:t>The research field would benefit from further study into the feasibility of mobile device integration into medical education and testing sessions with larger participant pools. The results presented in this</w:t>
      </w:r>
      <w:r>
        <w:rPr>
          <w:rFonts w:ascii="Times New Roman" w:hAnsi="Times New Roman" w:cs="Times New Roman"/>
          <w:sz w:val="24"/>
          <w:szCs w:val="24"/>
        </w:rPr>
        <w:t xml:space="preserve"> chapter</w:t>
      </w:r>
      <w:r w:rsidRPr="007E6DAF">
        <w:rPr>
          <w:rFonts w:ascii="Times New Roman" w:hAnsi="Times New Roman" w:cs="Times New Roman"/>
          <w:sz w:val="24"/>
          <w:szCs w:val="24"/>
        </w:rPr>
        <w:t xml:space="preserve"> support the use of a mobile application that visuali</w:t>
      </w:r>
      <w:r>
        <w:rPr>
          <w:rFonts w:ascii="Times New Roman" w:hAnsi="Times New Roman" w:cs="Times New Roman"/>
          <w:sz w:val="24"/>
          <w:szCs w:val="24"/>
        </w:rPr>
        <w:t>s</w:t>
      </w:r>
      <w:r w:rsidRPr="007E6DAF">
        <w:rPr>
          <w:rFonts w:ascii="Times New Roman" w:hAnsi="Times New Roman" w:cs="Times New Roman"/>
          <w:sz w:val="24"/>
          <w:szCs w:val="24"/>
        </w:rPr>
        <w:t>es the link between carpal bones and their etymologies to aid medical students in their learning and retention of knowledge of carpal bone anatomy.</w:t>
      </w:r>
    </w:p>
    <w:p w14:paraId="54887289" w14:textId="368858F2" w:rsidR="000C4F5F" w:rsidRPr="003A7265" w:rsidRDefault="000C4F5F" w:rsidP="009119A7">
      <w:pPr>
        <w:pStyle w:val="Heading1"/>
        <w:spacing w:line="360" w:lineRule="auto"/>
        <w:ind w:left="432" w:hanging="432"/>
        <w:rPr>
          <w:color w:val="auto"/>
          <w:lang w:val="en-GB"/>
        </w:rPr>
      </w:pPr>
      <w:bookmarkStart w:id="29" w:name="_Toc48310847"/>
      <w:r w:rsidRPr="003A7265">
        <w:rPr>
          <w:color w:val="auto"/>
          <w:lang w:val="en-GB"/>
        </w:rPr>
        <w:t>References</w:t>
      </w:r>
      <w:bookmarkEnd w:id="29"/>
    </w:p>
    <w:p w14:paraId="119ECBE9" w14:textId="77777777" w:rsidR="000C4F5F" w:rsidRPr="00F559A0" w:rsidRDefault="000C4F5F" w:rsidP="009119A7">
      <w:pPr>
        <w:widowControl w:val="0"/>
        <w:autoSpaceDE w:val="0"/>
        <w:autoSpaceDN w:val="0"/>
        <w:adjustRightInd w:val="0"/>
        <w:spacing w:line="360" w:lineRule="auto"/>
        <w:rPr>
          <w:rFonts w:ascii="Times New Roman" w:hAnsi="Times New Roman" w:cs="Times New Roman"/>
          <w:noProof/>
          <w:sz w:val="24"/>
          <w:szCs w:val="24"/>
        </w:rPr>
      </w:pPr>
      <w:r w:rsidRPr="00F559A0">
        <w:rPr>
          <w:rFonts w:ascii="Times New Roman" w:hAnsi="Times New Roman" w:cs="Times New Roman"/>
          <w:sz w:val="24"/>
          <w:szCs w:val="24"/>
        </w:rPr>
        <w:fldChar w:fldCharType="begin" w:fldLock="1"/>
      </w:r>
      <w:r w:rsidRPr="003A7265">
        <w:rPr>
          <w:rFonts w:ascii="Times New Roman" w:hAnsi="Times New Roman" w:cs="Times New Roman"/>
          <w:sz w:val="24"/>
          <w:szCs w:val="24"/>
          <w:lang w:val="en-GB"/>
        </w:rPr>
        <w:instrText xml:space="preserve">ADDIN Mendeley Bibliography CSL_BIBLIOGRAPHY </w:instrText>
      </w:r>
      <w:r w:rsidRPr="00F559A0">
        <w:rPr>
          <w:rFonts w:ascii="Times New Roman" w:hAnsi="Times New Roman" w:cs="Times New Roman"/>
          <w:sz w:val="24"/>
          <w:szCs w:val="24"/>
        </w:rPr>
        <w:fldChar w:fldCharType="separate"/>
      </w:r>
      <w:r w:rsidRPr="003A7265">
        <w:rPr>
          <w:rFonts w:ascii="Times New Roman" w:hAnsi="Times New Roman" w:cs="Times New Roman"/>
          <w:noProof/>
          <w:sz w:val="24"/>
          <w:szCs w:val="24"/>
          <w:lang w:val="en-GB"/>
        </w:rPr>
        <w:t xml:space="preserve">Bice, M. R. </w:t>
      </w:r>
      <w:r w:rsidRPr="003A7265">
        <w:rPr>
          <w:rFonts w:ascii="Times New Roman" w:hAnsi="Times New Roman" w:cs="Times New Roman"/>
          <w:i/>
          <w:iCs/>
          <w:noProof/>
          <w:sz w:val="24"/>
          <w:szCs w:val="24"/>
          <w:lang w:val="en-GB"/>
        </w:rPr>
        <w:t>et al.</w:t>
      </w:r>
      <w:r w:rsidRPr="003A7265">
        <w:rPr>
          <w:rFonts w:ascii="Times New Roman" w:hAnsi="Times New Roman" w:cs="Times New Roman"/>
          <w:noProof/>
          <w:sz w:val="24"/>
          <w:szCs w:val="24"/>
          <w:lang w:val="en-GB"/>
        </w:rPr>
        <w:t xml:space="preserve"> </w:t>
      </w:r>
      <w:r w:rsidRPr="00F559A0">
        <w:rPr>
          <w:rFonts w:ascii="Times New Roman" w:hAnsi="Times New Roman" w:cs="Times New Roman"/>
          <w:noProof/>
          <w:sz w:val="24"/>
          <w:szCs w:val="24"/>
        </w:rPr>
        <w:t>(2016) ‘The Use of Mobile Application to Enhance Learning of the Skeletal System in Introductory Anatomy &amp; Physiology Students’, 27(1), pp. 16–22.</w:t>
      </w:r>
    </w:p>
    <w:p w14:paraId="140170D4" w14:textId="77777777" w:rsidR="000C4F5F" w:rsidRPr="00F559A0" w:rsidRDefault="000C4F5F" w:rsidP="009119A7">
      <w:pPr>
        <w:widowControl w:val="0"/>
        <w:autoSpaceDE w:val="0"/>
        <w:autoSpaceDN w:val="0"/>
        <w:adjustRightInd w:val="0"/>
        <w:spacing w:line="360" w:lineRule="auto"/>
        <w:rPr>
          <w:rFonts w:ascii="Times New Roman" w:hAnsi="Times New Roman" w:cs="Times New Roman"/>
          <w:noProof/>
          <w:sz w:val="24"/>
          <w:szCs w:val="24"/>
        </w:rPr>
      </w:pPr>
      <w:r w:rsidRPr="003E20CB">
        <w:rPr>
          <w:rFonts w:ascii="Times New Roman" w:hAnsi="Times New Roman" w:cs="Times New Roman"/>
          <w:noProof/>
          <w:sz w:val="24"/>
          <w:szCs w:val="24"/>
          <w:lang w:val="nl-NL"/>
        </w:rPr>
        <w:t xml:space="preserve">Brewer, D. N. </w:t>
      </w:r>
      <w:r w:rsidRPr="003E20CB">
        <w:rPr>
          <w:rFonts w:ascii="Times New Roman" w:hAnsi="Times New Roman" w:cs="Times New Roman"/>
          <w:i/>
          <w:iCs/>
          <w:noProof/>
          <w:sz w:val="24"/>
          <w:szCs w:val="24"/>
          <w:lang w:val="nl-NL"/>
        </w:rPr>
        <w:t>et al.</w:t>
      </w:r>
      <w:r w:rsidRPr="003E20CB">
        <w:rPr>
          <w:rFonts w:ascii="Times New Roman" w:hAnsi="Times New Roman" w:cs="Times New Roman"/>
          <w:noProof/>
          <w:sz w:val="24"/>
          <w:szCs w:val="24"/>
          <w:lang w:val="nl-NL"/>
        </w:rPr>
        <w:t xml:space="preserve"> </w:t>
      </w:r>
      <w:r w:rsidRPr="00F559A0">
        <w:rPr>
          <w:rFonts w:ascii="Times New Roman" w:hAnsi="Times New Roman" w:cs="Times New Roman"/>
          <w:noProof/>
          <w:sz w:val="24"/>
          <w:szCs w:val="24"/>
        </w:rPr>
        <w:t xml:space="preserve">(2012) ‘Evaluation of neuroanatomical training using a 3D visual reality model’, </w:t>
      </w:r>
      <w:r w:rsidRPr="00F559A0">
        <w:rPr>
          <w:rFonts w:ascii="Times New Roman" w:hAnsi="Times New Roman" w:cs="Times New Roman"/>
          <w:i/>
          <w:iCs/>
          <w:noProof/>
          <w:sz w:val="24"/>
          <w:szCs w:val="24"/>
        </w:rPr>
        <w:t>Studies in Health Technology and Informatics</w:t>
      </w:r>
      <w:r w:rsidRPr="00F559A0">
        <w:rPr>
          <w:rFonts w:ascii="Times New Roman" w:hAnsi="Times New Roman" w:cs="Times New Roman"/>
          <w:noProof/>
          <w:sz w:val="24"/>
          <w:szCs w:val="24"/>
        </w:rPr>
        <w:t>, 173, pp. 85–91. doi: 10.3233/978-1-61499-022-2-85.</w:t>
      </w:r>
    </w:p>
    <w:p w14:paraId="16523DEC" w14:textId="77777777" w:rsidR="000C4F5F" w:rsidRPr="00F559A0" w:rsidRDefault="000C4F5F" w:rsidP="009119A7">
      <w:pPr>
        <w:widowControl w:val="0"/>
        <w:autoSpaceDE w:val="0"/>
        <w:autoSpaceDN w:val="0"/>
        <w:adjustRightInd w:val="0"/>
        <w:spacing w:line="360" w:lineRule="auto"/>
        <w:rPr>
          <w:rFonts w:ascii="Times New Roman" w:hAnsi="Times New Roman" w:cs="Times New Roman"/>
          <w:noProof/>
          <w:sz w:val="24"/>
          <w:szCs w:val="24"/>
        </w:rPr>
      </w:pPr>
      <w:r w:rsidRPr="00F559A0">
        <w:rPr>
          <w:rFonts w:ascii="Times New Roman" w:hAnsi="Times New Roman" w:cs="Times New Roman"/>
          <w:noProof/>
          <w:sz w:val="24"/>
          <w:szCs w:val="24"/>
        </w:rPr>
        <w:t xml:space="preserve">Brown, A. O. (2014) ‘Lexical access, knowledge transfer and meaningful learning of scientific terminology via an etymological approach’, </w:t>
      </w:r>
      <w:r w:rsidRPr="00F559A0">
        <w:rPr>
          <w:rFonts w:ascii="Times New Roman" w:hAnsi="Times New Roman" w:cs="Times New Roman"/>
          <w:i/>
          <w:iCs/>
          <w:noProof/>
          <w:sz w:val="24"/>
          <w:szCs w:val="24"/>
        </w:rPr>
        <w:t>International Journal Of Biology Education</w:t>
      </w:r>
      <w:r w:rsidRPr="00F559A0">
        <w:rPr>
          <w:rFonts w:ascii="Times New Roman" w:hAnsi="Times New Roman" w:cs="Times New Roman"/>
          <w:noProof/>
          <w:sz w:val="24"/>
          <w:szCs w:val="24"/>
        </w:rPr>
        <w:t>, 3(2). doi: 10.20876/ijobed.92616.</w:t>
      </w:r>
    </w:p>
    <w:p w14:paraId="6C1E5675" w14:textId="77777777" w:rsidR="000C4F5F" w:rsidRPr="00F559A0" w:rsidRDefault="000C4F5F" w:rsidP="009119A7">
      <w:pPr>
        <w:widowControl w:val="0"/>
        <w:autoSpaceDE w:val="0"/>
        <w:autoSpaceDN w:val="0"/>
        <w:adjustRightInd w:val="0"/>
        <w:spacing w:line="360" w:lineRule="auto"/>
        <w:rPr>
          <w:rFonts w:ascii="Times New Roman" w:hAnsi="Times New Roman" w:cs="Times New Roman"/>
          <w:noProof/>
          <w:sz w:val="24"/>
          <w:szCs w:val="24"/>
        </w:rPr>
      </w:pPr>
      <w:r w:rsidRPr="00F559A0">
        <w:rPr>
          <w:rFonts w:ascii="Times New Roman" w:hAnsi="Times New Roman" w:cs="Times New Roman"/>
          <w:noProof/>
          <w:sz w:val="24"/>
          <w:szCs w:val="24"/>
        </w:rPr>
        <w:t xml:space="preserve">Drury, N. E., Powell-Smith, E. and McKeever, J. A. (2002) ‘Medical practitioners’ knowledge of Latin’, </w:t>
      </w:r>
      <w:r w:rsidRPr="00F559A0">
        <w:rPr>
          <w:rFonts w:ascii="Times New Roman" w:hAnsi="Times New Roman" w:cs="Times New Roman"/>
          <w:i/>
          <w:iCs/>
          <w:noProof/>
          <w:sz w:val="24"/>
          <w:szCs w:val="24"/>
        </w:rPr>
        <w:t>Medical Education</w:t>
      </w:r>
      <w:r w:rsidRPr="00F559A0">
        <w:rPr>
          <w:rFonts w:ascii="Times New Roman" w:hAnsi="Times New Roman" w:cs="Times New Roman"/>
          <w:noProof/>
          <w:sz w:val="24"/>
          <w:szCs w:val="24"/>
        </w:rPr>
        <w:t>, 36(12), p. 1175. doi: 10.1046/j.1365-2923.2002.01369.x.</w:t>
      </w:r>
    </w:p>
    <w:p w14:paraId="62E7AA88" w14:textId="77777777" w:rsidR="000C4F5F" w:rsidRPr="00F559A0" w:rsidRDefault="000C4F5F" w:rsidP="009119A7">
      <w:pPr>
        <w:widowControl w:val="0"/>
        <w:autoSpaceDE w:val="0"/>
        <w:autoSpaceDN w:val="0"/>
        <w:adjustRightInd w:val="0"/>
        <w:spacing w:line="360" w:lineRule="auto"/>
        <w:rPr>
          <w:rFonts w:ascii="Times New Roman" w:hAnsi="Times New Roman" w:cs="Times New Roman"/>
          <w:noProof/>
          <w:sz w:val="24"/>
          <w:szCs w:val="24"/>
        </w:rPr>
      </w:pPr>
      <w:r w:rsidRPr="00F559A0">
        <w:rPr>
          <w:rFonts w:ascii="Times New Roman" w:hAnsi="Times New Roman" w:cs="Times New Roman"/>
          <w:noProof/>
          <w:sz w:val="24"/>
          <w:szCs w:val="24"/>
        </w:rPr>
        <w:t>Ebenezer, D. A. and Mohanraj, S. (2020) ‘UNDERSTANDING ETYMOLOGY : AWARENESS AMONG DOCTORS AND A TOOL IN SUCCESSFUL MEDICAL EDUCATION’, 7(1), pp. 8–11.</w:t>
      </w:r>
    </w:p>
    <w:p w14:paraId="6C861020" w14:textId="77777777" w:rsidR="000C4F5F" w:rsidRPr="00F559A0" w:rsidRDefault="000C4F5F" w:rsidP="009119A7">
      <w:pPr>
        <w:widowControl w:val="0"/>
        <w:autoSpaceDE w:val="0"/>
        <w:autoSpaceDN w:val="0"/>
        <w:adjustRightInd w:val="0"/>
        <w:spacing w:line="360" w:lineRule="auto"/>
        <w:rPr>
          <w:rFonts w:ascii="Times New Roman" w:hAnsi="Times New Roman" w:cs="Times New Roman"/>
          <w:noProof/>
          <w:sz w:val="24"/>
          <w:szCs w:val="24"/>
        </w:rPr>
      </w:pPr>
      <w:r w:rsidRPr="00F559A0">
        <w:rPr>
          <w:rFonts w:ascii="Times New Roman" w:hAnsi="Times New Roman" w:cs="Times New Roman"/>
          <w:noProof/>
          <w:sz w:val="24"/>
          <w:szCs w:val="24"/>
        </w:rPr>
        <w:t xml:space="preserve">Gilbert, J. K. (2004) ‘Models and modelling: Routes to more authentic science education’, in </w:t>
      </w:r>
      <w:r w:rsidRPr="00F559A0">
        <w:rPr>
          <w:rFonts w:ascii="Times New Roman" w:hAnsi="Times New Roman" w:cs="Times New Roman"/>
          <w:i/>
          <w:iCs/>
          <w:noProof/>
          <w:sz w:val="24"/>
          <w:szCs w:val="24"/>
        </w:rPr>
        <w:t>International Journal of Science and Mathematics Education</w:t>
      </w:r>
      <w:r w:rsidRPr="00F559A0">
        <w:rPr>
          <w:rFonts w:ascii="Times New Roman" w:hAnsi="Times New Roman" w:cs="Times New Roman"/>
          <w:noProof/>
          <w:sz w:val="24"/>
          <w:szCs w:val="24"/>
        </w:rPr>
        <w:t>. doi: 10.1007/s10763-004-3186-4.</w:t>
      </w:r>
    </w:p>
    <w:p w14:paraId="6E258AF7" w14:textId="77777777" w:rsidR="000C4F5F" w:rsidRPr="00F559A0" w:rsidRDefault="000C4F5F" w:rsidP="009119A7">
      <w:pPr>
        <w:widowControl w:val="0"/>
        <w:autoSpaceDE w:val="0"/>
        <w:autoSpaceDN w:val="0"/>
        <w:adjustRightInd w:val="0"/>
        <w:spacing w:line="360" w:lineRule="auto"/>
        <w:rPr>
          <w:rFonts w:ascii="Times New Roman" w:hAnsi="Times New Roman" w:cs="Times New Roman"/>
          <w:noProof/>
          <w:sz w:val="24"/>
          <w:szCs w:val="24"/>
        </w:rPr>
      </w:pPr>
      <w:r w:rsidRPr="00F559A0">
        <w:rPr>
          <w:rFonts w:ascii="Times New Roman" w:hAnsi="Times New Roman" w:cs="Times New Roman"/>
          <w:noProof/>
          <w:sz w:val="24"/>
          <w:szCs w:val="24"/>
        </w:rPr>
        <w:t xml:space="preserve">Haghshenas, M. S. M. and Hashemian, M. (2016) ‘A Comparative Study of the Effectiveness of Two Strategies of Etymological Elaboration and Pictorial Elucidation on Idiom Learning: A Case of Young EFL Iranian Learners’, </w:t>
      </w:r>
      <w:r w:rsidRPr="00F559A0">
        <w:rPr>
          <w:rFonts w:ascii="Times New Roman" w:hAnsi="Times New Roman" w:cs="Times New Roman"/>
          <w:i/>
          <w:iCs/>
          <w:noProof/>
          <w:sz w:val="24"/>
          <w:szCs w:val="24"/>
        </w:rPr>
        <w:t>English Language Teaching</w:t>
      </w:r>
      <w:r w:rsidRPr="00F559A0">
        <w:rPr>
          <w:rFonts w:ascii="Times New Roman" w:hAnsi="Times New Roman" w:cs="Times New Roman"/>
          <w:noProof/>
          <w:sz w:val="24"/>
          <w:szCs w:val="24"/>
        </w:rPr>
        <w:t>, 9(8), p. 140. doi: 10.5539/elt.v9n8p140.</w:t>
      </w:r>
    </w:p>
    <w:p w14:paraId="315122F0" w14:textId="77777777" w:rsidR="000C4F5F" w:rsidRPr="00F559A0" w:rsidRDefault="000C4F5F" w:rsidP="009119A7">
      <w:pPr>
        <w:widowControl w:val="0"/>
        <w:autoSpaceDE w:val="0"/>
        <w:autoSpaceDN w:val="0"/>
        <w:adjustRightInd w:val="0"/>
        <w:spacing w:line="360" w:lineRule="auto"/>
        <w:rPr>
          <w:rFonts w:ascii="Times New Roman" w:hAnsi="Times New Roman" w:cs="Times New Roman"/>
          <w:noProof/>
          <w:sz w:val="24"/>
          <w:szCs w:val="24"/>
        </w:rPr>
      </w:pPr>
      <w:r w:rsidRPr="003E20CB">
        <w:rPr>
          <w:rFonts w:ascii="Times New Roman" w:hAnsi="Times New Roman" w:cs="Times New Roman"/>
          <w:noProof/>
          <w:sz w:val="24"/>
          <w:szCs w:val="24"/>
          <w:lang w:val="fr-FR"/>
        </w:rPr>
        <w:lastRenderedPageBreak/>
        <w:t xml:space="preserve">Lerner, E. B. </w:t>
      </w:r>
      <w:r w:rsidRPr="003E20CB">
        <w:rPr>
          <w:rFonts w:ascii="Times New Roman" w:hAnsi="Times New Roman" w:cs="Times New Roman"/>
          <w:i/>
          <w:iCs/>
          <w:noProof/>
          <w:sz w:val="24"/>
          <w:szCs w:val="24"/>
          <w:lang w:val="fr-FR"/>
        </w:rPr>
        <w:t>et al.</w:t>
      </w:r>
      <w:r w:rsidRPr="003E20CB">
        <w:rPr>
          <w:rFonts w:ascii="Times New Roman" w:hAnsi="Times New Roman" w:cs="Times New Roman"/>
          <w:noProof/>
          <w:sz w:val="24"/>
          <w:szCs w:val="24"/>
          <w:lang w:val="fr-FR"/>
        </w:rPr>
        <w:t xml:space="preserve"> </w:t>
      </w:r>
      <w:r w:rsidRPr="00F559A0">
        <w:rPr>
          <w:rFonts w:ascii="Times New Roman" w:hAnsi="Times New Roman" w:cs="Times New Roman"/>
          <w:noProof/>
          <w:sz w:val="24"/>
          <w:szCs w:val="24"/>
        </w:rPr>
        <w:t xml:space="preserve">(2000) ‘Medical communication: Do our patients understand?’, </w:t>
      </w:r>
      <w:r w:rsidRPr="00F559A0">
        <w:rPr>
          <w:rFonts w:ascii="Times New Roman" w:hAnsi="Times New Roman" w:cs="Times New Roman"/>
          <w:i/>
          <w:iCs/>
          <w:noProof/>
          <w:sz w:val="24"/>
          <w:szCs w:val="24"/>
        </w:rPr>
        <w:t>American Journal of Emergency Medicine</w:t>
      </w:r>
      <w:r w:rsidRPr="00F559A0">
        <w:rPr>
          <w:rFonts w:ascii="Times New Roman" w:hAnsi="Times New Roman" w:cs="Times New Roman"/>
          <w:noProof/>
          <w:sz w:val="24"/>
          <w:szCs w:val="24"/>
        </w:rPr>
        <w:t>, 18(7), pp. 764–766. doi: 10.1053/ajem.2000.18040.</w:t>
      </w:r>
    </w:p>
    <w:p w14:paraId="10B618BF" w14:textId="77777777" w:rsidR="000C4F5F" w:rsidRPr="00F559A0" w:rsidRDefault="000C4F5F" w:rsidP="009119A7">
      <w:pPr>
        <w:widowControl w:val="0"/>
        <w:autoSpaceDE w:val="0"/>
        <w:autoSpaceDN w:val="0"/>
        <w:adjustRightInd w:val="0"/>
        <w:spacing w:line="360" w:lineRule="auto"/>
        <w:rPr>
          <w:rFonts w:ascii="Times New Roman" w:hAnsi="Times New Roman" w:cs="Times New Roman"/>
          <w:noProof/>
          <w:sz w:val="24"/>
          <w:szCs w:val="24"/>
        </w:rPr>
      </w:pPr>
      <w:r w:rsidRPr="003E20CB">
        <w:rPr>
          <w:rFonts w:ascii="Times New Roman" w:hAnsi="Times New Roman" w:cs="Times New Roman"/>
          <w:noProof/>
          <w:sz w:val="24"/>
          <w:szCs w:val="24"/>
          <w:lang w:val="fr-FR"/>
        </w:rPr>
        <w:t xml:space="preserve">Lewis, T. L. </w:t>
      </w:r>
      <w:r w:rsidRPr="003E20CB">
        <w:rPr>
          <w:rFonts w:ascii="Times New Roman" w:hAnsi="Times New Roman" w:cs="Times New Roman"/>
          <w:i/>
          <w:iCs/>
          <w:noProof/>
          <w:sz w:val="24"/>
          <w:szCs w:val="24"/>
          <w:lang w:val="fr-FR"/>
        </w:rPr>
        <w:t>et al.</w:t>
      </w:r>
      <w:r w:rsidRPr="003E20CB">
        <w:rPr>
          <w:rFonts w:ascii="Times New Roman" w:hAnsi="Times New Roman" w:cs="Times New Roman"/>
          <w:noProof/>
          <w:sz w:val="24"/>
          <w:szCs w:val="24"/>
          <w:lang w:val="fr-FR"/>
        </w:rPr>
        <w:t xml:space="preserve"> </w:t>
      </w:r>
      <w:r w:rsidRPr="00F559A0">
        <w:rPr>
          <w:rFonts w:ascii="Times New Roman" w:hAnsi="Times New Roman" w:cs="Times New Roman"/>
          <w:noProof/>
          <w:sz w:val="24"/>
          <w:szCs w:val="24"/>
        </w:rPr>
        <w:t xml:space="preserve">(2014) ‘Complementing anatomy education using three-dimensional anatomy mobile software applications on tablet computers’, </w:t>
      </w:r>
      <w:r w:rsidRPr="00F559A0">
        <w:rPr>
          <w:rFonts w:ascii="Times New Roman" w:hAnsi="Times New Roman" w:cs="Times New Roman"/>
          <w:i/>
          <w:iCs/>
          <w:noProof/>
          <w:sz w:val="24"/>
          <w:szCs w:val="24"/>
        </w:rPr>
        <w:t>Clinical Anatomy</w:t>
      </w:r>
      <w:r w:rsidRPr="00F559A0">
        <w:rPr>
          <w:rFonts w:ascii="Times New Roman" w:hAnsi="Times New Roman" w:cs="Times New Roman"/>
          <w:noProof/>
          <w:sz w:val="24"/>
          <w:szCs w:val="24"/>
        </w:rPr>
        <w:t>, 27(3), pp. 313–320. doi: 10.1002/ca.22256.</w:t>
      </w:r>
    </w:p>
    <w:p w14:paraId="34E01CC5" w14:textId="77777777" w:rsidR="000C4F5F" w:rsidRPr="00F559A0" w:rsidRDefault="000C4F5F" w:rsidP="009119A7">
      <w:pPr>
        <w:widowControl w:val="0"/>
        <w:autoSpaceDE w:val="0"/>
        <w:autoSpaceDN w:val="0"/>
        <w:adjustRightInd w:val="0"/>
        <w:spacing w:line="360" w:lineRule="auto"/>
        <w:rPr>
          <w:rFonts w:ascii="Times New Roman" w:hAnsi="Times New Roman" w:cs="Times New Roman"/>
          <w:noProof/>
          <w:sz w:val="24"/>
          <w:szCs w:val="24"/>
        </w:rPr>
      </w:pPr>
      <w:r w:rsidRPr="00F559A0">
        <w:rPr>
          <w:rFonts w:ascii="Times New Roman" w:hAnsi="Times New Roman" w:cs="Times New Roman"/>
          <w:noProof/>
          <w:sz w:val="24"/>
          <w:szCs w:val="24"/>
        </w:rPr>
        <w:t xml:space="preserve">Mayer, R. E. (2002) ‘Rote Versus Meaningful Learning’, </w:t>
      </w:r>
      <w:r w:rsidRPr="00F559A0">
        <w:rPr>
          <w:rFonts w:ascii="Times New Roman" w:hAnsi="Times New Roman" w:cs="Times New Roman"/>
          <w:i/>
          <w:iCs/>
          <w:noProof/>
          <w:sz w:val="24"/>
          <w:szCs w:val="24"/>
        </w:rPr>
        <w:t>Theory Into Practice</w:t>
      </w:r>
      <w:r w:rsidRPr="00F559A0">
        <w:rPr>
          <w:rFonts w:ascii="Times New Roman" w:hAnsi="Times New Roman" w:cs="Times New Roman"/>
          <w:noProof/>
          <w:sz w:val="24"/>
          <w:szCs w:val="24"/>
        </w:rPr>
        <w:t>, 41(4), pp. 219–225. doi: 10.1207/s15430421tip4104.</w:t>
      </w:r>
    </w:p>
    <w:p w14:paraId="14BC930D" w14:textId="77777777" w:rsidR="000C4F5F" w:rsidRPr="003E20CB" w:rsidRDefault="000C4F5F" w:rsidP="009119A7">
      <w:pPr>
        <w:widowControl w:val="0"/>
        <w:autoSpaceDE w:val="0"/>
        <w:autoSpaceDN w:val="0"/>
        <w:adjustRightInd w:val="0"/>
        <w:spacing w:line="360" w:lineRule="auto"/>
        <w:rPr>
          <w:rFonts w:ascii="Times New Roman" w:hAnsi="Times New Roman" w:cs="Times New Roman"/>
          <w:noProof/>
          <w:sz w:val="24"/>
          <w:szCs w:val="24"/>
          <w:lang w:val="fr-FR"/>
        </w:rPr>
      </w:pPr>
      <w:r w:rsidRPr="00F559A0">
        <w:rPr>
          <w:rFonts w:ascii="Times New Roman" w:hAnsi="Times New Roman" w:cs="Times New Roman"/>
          <w:noProof/>
          <w:sz w:val="24"/>
          <w:szCs w:val="24"/>
        </w:rPr>
        <w:t xml:space="preserve">Murgitroyd, E. </w:t>
      </w:r>
      <w:r w:rsidRPr="00F559A0">
        <w:rPr>
          <w:rFonts w:ascii="Times New Roman" w:hAnsi="Times New Roman" w:cs="Times New Roman"/>
          <w:i/>
          <w:iCs/>
          <w:noProof/>
          <w:sz w:val="24"/>
          <w:szCs w:val="24"/>
        </w:rPr>
        <w:t>et al.</w:t>
      </w:r>
      <w:r w:rsidRPr="00F559A0">
        <w:rPr>
          <w:rFonts w:ascii="Times New Roman" w:hAnsi="Times New Roman" w:cs="Times New Roman"/>
          <w:noProof/>
          <w:sz w:val="24"/>
          <w:szCs w:val="24"/>
        </w:rPr>
        <w:t xml:space="preserve"> (2015) ‘3D digital anatomy modelling - Practical or pretty?’, </w:t>
      </w:r>
      <w:r w:rsidRPr="00F559A0">
        <w:rPr>
          <w:rFonts w:ascii="Times New Roman" w:hAnsi="Times New Roman" w:cs="Times New Roman"/>
          <w:i/>
          <w:iCs/>
          <w:noProof/>
          <w:sz w:val="24"/>
          <w:szCs w:val="24"/>
        </w:rPr>
        <w:t>Surgeon</w:t>
      </w:r>
      <w:r w:rsidRPr="00F559A0">
        <w:rPr>
          <w:rFonts w:ascii="Times New Roman" w:hAnsi="Times New Roman" w:cs="Times New Roman"/>
          <w:noProof/>
          <w:sz w:val="24"/>
          <w:szCs w:val="24"/>
        </w:rPr>
        <w:t xml:space="preserve">. </w:t>
      </w:r>
      <w:r w:rsidRPr="003E20CB">
        <w:rPr>
          <w:rFonts w:ascii="Times New Roman" w:hAnsi="Times New Roman" w:cs="Times New Roman"/>
          <w:noProof/>
          <w:sz w:val="24"/>
          <w:szCs w:val="24"/>
          <w:lang w:val="fr-FR"/>
        </w:rPr>
        <w:t>Elsevier Ltd, 13(3), pp. 177–180. doi: 10.1016/j.surge.2014.10.007.</w:t>
      </w:r>
    </w:p>
    <w:p w14:paraId="21621944" w14:textId="77777777" w:rsidR="000C4F5F" w:rsidRPr="00F559A0" w:rsidRDefault="000C4F5F" w:rsidP="009119A7">
      <w:pPr>
        <w:widowControl w:val="0"/>
        <w:autoSpaceDE w:val="0"/>
        <w:autoSpaceDN w:val="0"/>
        <w:adjustRightInd w:val="0"/>
        <w:spacing w:line="360" w:lineRule="auto"/>
        <w:rPr>
          <w:rFonts w:ascii="Times New Roman" w:hAnsi="Times New Roman" w:cs="Times New Roman"/>
          <w:noProof/>
          <w:sz w:val="24"/>
          <w:szCs w:val="24"/>
        </w:rPr>
      </w:pPr>
      <w:r w:rsidRPr="003E20CB">
        <w:rPr>
          <w:rFonts w:ascii="Times New Roman" w:hAnsi="Times New Roman" w:cs="Times New Roman"/>
          <w:noProof/>
          <w:sz w:val="24"/>
          <w:szCs w:val="24"/>
          <w:lang w:val="fr-FR"/>
        </w:rPr>
        <w:t xml:space="preserve">Nicholson, D. T. </w:t>
      </w:r>
      <w:r w:rsidRPr="003E20CB">
        <w:rPr>
          <w:rFonts w:ascii="Times New Roman" w:hAnsi="Times New Roman" w:cs="Times New Roman"/>
          <w:i/>
          <w:iCs/>
          <w:noProof/>
          <w:sz w:val="24"/>
          <w:szCs w:val="24"/>
          <w:lang w:val="fr-FR"/>
        </w:rPr>
        <w:t>et al.</w:t>
      </w:r>
      <w:r w:rsidRPr="003E20CB">
        <w:rPr>
          <w:rFonts w:ascii="Times New Roman" w:hAnsi="Times New Roman" w:cs="Times New Roman"/>
          <w:noProof/>
          <w:sz w:val="24"/>
          <w:szCs w:val="24"/>
          <w:lang w:val="fr-FR"/>
        </w:rPr>
        <w:t xml:space="preserve"> </w:t>
      </w:r>
      <w:r w:rsidRPr="00F559A0">
        <w:rPr>
          <w:rFonts w:ascii="Times New Roman" w:hAnsi="Times New Roman" w:cs="Times New Roman"/>
          <w:noProof/>
          <w:sz w:val="24"/>
          <w:szCs w:val="24"/>
        </w:rPr>
        <w:t xml:space="preserve">(2006) ‘Can virtual reality improve anatomy education? A randomised controlled study of a computer-generated three-dimensional anatomical ear model’, </w:t>
      </w:r>
      <w:r w:rsidRPr="00F559A0">
        <w:rPr>
          <w:rFonts w:ascii="Times New Roman" w:hAnsi="Times New Roman" w:cs="Times New Roman"/>
          <w:i/>
          <w:iCs/>
          <w:noProof/>
          <w:sz w:val="24"/>
          <w:szCs w:val="24"/>
        </w:rPr>
        <w:t>Medical Education</w:t>
      </w:r>
      <w:r w:rsidRPr="00F559A0">
        <w:rPr>
          <w:rFonts w:ascii="Times New Roman" w:hAnsi="Times New Roman" w:cs="Times New Roman"/>
          <w:noProof/>
          <w:sz w:val="24"/>
          <w:szCs w:val="24"/>
        </w:rPr>
        <w:t>, 40(11), pp. 1081–1087. doi: 10.1111/j.1365-2929.2006.02611.x.</w:t>
      </w:r>
    </w:p>
    <w:p w14:paraId="4B6FFA61" w14:textId="77777777" w:rsidR="000C4F5F" w:rsidRPr="00F559A0" w:rsidRDefault="000C4F5F" w:rsidP="009119A7">
      <w:pPr>
        <w:widowControl w:val="0"/>
        <w:autoSpaceDE w:val="0"/>
        <w:autoSpaceDN w:val="0"/>
        <w:adjustRightInd w:val="0"/>
        <w:spacing w:line="360" w:lineRule="auto"/>
        <w:rPr>
          <w:rFonts w:ascii="Times New Roman" w:hAnsi="Times New Roman" w:cs="Times New Roman"/>
          <w:noProof/>
          <w:sz w:val="24"/>
          <w:szCs w:val="24"/>
        </w:rPr>
      </w:pPr>
      <w:r w:rsidRPr="00F559A0">
        <w:rPr>
          <w:rFonts w:ascii="Times New Roman" w:hAnsi="Times New Roman" w:cs="Times New Roman"/>
          <w:noProof/>
          <w:sz w:val="24"/>
          <w:szCs w:val="24"/>
        </w:rPr>
        <w:t xml:space="preserve">Pampush, J. D. and Petto, A. J. (2011) ‘Familiarity with Latin and Greek anatomical terms and course performance in undergraduates’, </w:t>
      </w:r>
      <w:r w:rsidRPr="00F559A0">
        <w:rPr>
          <w:rFonts w:ascii="Times New Roman" w:hAnsi="Times New Roman" w:cs="Times New Roman"/>
          <w:i/>
          <w:iCs/>
          <w:noProof/>
          <w:sz w:val="24"/>
          <w:szCs w:val="24"/>
        </w:rPr>
        <w:t>Anatomical Sciences Education</w:t>
      </w:r>
      <w:r w:rsidRPr="00F559A0">
        <w:rPr>
          <w:rFonts w:ascii="Times New Roman" w:hAnsi="Times New Roman" w:cs="Times New Roman"/>
          <w:noProof/>
          <w:sz w:val="24"/>
          <w:szCs w:val="24"/>
        </w:rPr>
        <w:t>, 4(1), pp. 9–15. doi: 10.1002/ase.189.</w:t>
      </w:r>
    </w:p>
    <w:p w14:paraId="21E52951" w14:textId="77777777" w:rsidR="000C4F5F" w:rsidRPr="00F559A0" w:rsidRDefault="000C4F5F" w:rsidP="009119A7">
      <w:pPr>
        <w:widowControl w:val="0"/>
        <w:autoSpaceDE w:val="0"/>
        <w:autoSpaceDN w:val="0"/>
        <w:adjustRightInd w:val="0"/>
        <w:spacing w:line="360" w:lineRule="auto"/>
        <w:rPr>
          <w:rFonts w:ascii="Times New Roman" w:hAnsi="Times New Roman" w:cs="Times New Roman"/>
          <w:noProof/>
          <w:sz w:val="24"/>
          <w:szCs w:val="24"/>
        </w:rPr>
      </w:pPr>
      <w:r w:rsidRPr="00F559A0">
        <w:rPr>
          <w:rFonts w:ascii="Times New Roman" w:hAnsi="Times New Roman" w:cs="Times New Roman"/>
          <w:noProof/>
          <w:sz w:val="24"/>
          <w:szCs w:val="24"/>
        </w:rPr>
        <w:t xml:space="preserve">Pierson, H. D. (1989) ‘Using etymology in the classroom’, </w:t>
      </w:r>
      <w:r w:rsidRPr="00F559A0">
        <w:rPr>
          <w:rFonts w:ascii="Times New Roman" w:hAnsi="Times New Roman" w:cs="Times New Roman"/>
          <w:i/>
          <w:iCs/>
          <w:noProof/>
          <w:sz w:val="24"/>
          <w:szCs w:val="24"/>
        </w:rPr>
        <w:t>ELT Journal</w:t>
      </w:r>
      <w:r w:rsidRPr="00F559A0">
        <w:rPr>
          <w:rFonts w:ascii="Times New Roman" w:hAnsi="Times New Roman" w:cs="Times New Roman"/>
          <w:noProof/>
          <w:sz w:val="24"/>
          <w:szCs w:val="24"/>
        </w:rPr>
        <w:t>, 43(1), pp. 57–63. doi: 10.1093/elt/43.1.57.</w:t>
      </w:r>
    </w:p>
    <w:p w14:paraId="6F6EC63D" w14:textId="77777777" w:rsidR="000C4F5F" w:rsidRPr="00F559A0" w:rsidRDefault="000C4F5F" w:rsidP="009119A7">
      <w:pPr>
        <w:widowControl w:val="0"/>
        <w:autoSpaceDE w:val="0"/>
        <w:autoSpaceDN w:val="0"/>
        <w:adjustRightInd w:val="0"/>
        <w:spacing w:line="360" w:lineRule="auto"/>
        <w:rPr>
          <w:rFonts w:ascii="Times New Roman" w:hAnsi="Times New Roman" w:cs="Times New Roman"/>
          <w:noProof/>
          <w:sz w:val="24"/>
          <w:szCs w:val="24"/>
        </w:rPr>
      </w:pPr>
      <w:r w:rsidRPr="00F559A0">
        <w:rPr>
          <w:rFonts w:ascii="Times New Roman" w:hAnsi="Times New Roman" w:cs="Times New Roman"/>
          <w:noProof/>
          <w:sz w:val="24"/>
          <w:szCs w:val="24"/>
        </w:rPr>
        <w:t xml:space="preserve">Pujol, S. </w:t>
      </w:r>
      <w:r w:rsidRPr="00F559A0">
        <w:rPr>
          <w:rFonts w:ascii="Times New Roman" w:hAnsi="Times New Roman" w:cs="Times New Roman"/>
          <w:i/>
          <w:iCs/>
          <w:noProof/>
          <w:sz w:val="24"/>
          <w:szCs w:val="24"/>
        </w:rPr>
        <w:t>et al.</w:t>
      </w:r>
      <w:r w:rsidRPr="00F559A0">
        <w:rPr>
          <w:rFonts w:ascii="Times New Roman" w:hAnsi="Times New Roman" w:cs="Times New Roman"/>
          <w:noProof/>
          <w:sz w:val="24"/>
          <w:szCs w:val="24"/>
        </w:rPr>
        <w:t xml:space="preserve"> (2016) ‘Using 3D Modeling Techniques to Enhance Teaching of Difficult Anatomical Concepts’, </w:t>
      </w:r>
      <w:r w:rsidRPr="00F559A0">
        <w:rPr>
          <w:rFonts w:ascii="Times New Roman" w:hAnsi="Times New Roman" w:cs="Times New Roman"/>
          <w:i/>
          <w:iCs/>
          <w:noProof/>
          <w:sz w:val="24"/>
          <w:szCs w:val="24"/>
        </w:rPr>
        <w:t>Academic Radiology</w:t>
      </w:r>
      <w:r w:rsidRPr="00F559A0">
        <w:rPr>
          <w:rFonts w:ascii="Times New Roman" w:hAnsi="Times New Roman" w:cs="Times New Roman"/>
          <w:noProof/>
          <w:sz w:val="24"/>
          <w:szCs w:val="24"/>
        </w:rPr>
        <w:t>, 23(4), pp. 507–516. doi: 10.1016/j.acra.2015.12.012.</w:t>
      </w:r>
    </w:p>
    <w:p w14:paraId="07B80CBF" w14:textId="77777777" w:rsidR="000C4F5F" w:rsidRPr="00F559A0" w:rsidRDefault="000C4F5F" w:rsidP="009119A7">
      <w:pPr>
        <w:widowControl w:val="0"/>
        <w:autoSpaceDE w:val="0"/>
        <w:autoSpaceDN w:val="0"/>
        <w:adjustRightInd w:val="0"/>
        <w:spacing w:line="360" w:lineRule="auto"/>
        <w:rPr>
          <w:rFonts w:ascii="Times New Roman" w:hAnsi="Times New Roman" w:cs="Times New Roman"/>
          <w:noProof/>
          <w:sz w:val="24"/>
          <w:szCs w:val="24"/>
        </w:rPr>
      </w:pPr>
      <w:r w:rsidRPr="00F559A0">
        <w:rPr>
          <w:rFonts w:ascii="Times New Roman" w:hAnsi="Times New Roman" w:cs="Times New Roman"/>
          <w:noProof/>
          <w:sz w:val="24"/>
          <w:szCs w:val="24"/>
        </w:rPr>
        <w:t xml:space="preserve">Saidin, N. F., Halim, N. D. A. and Yahaya, N. (2015) ‘A review of research on augmented reality in education: Advantages and applications’, </w:t>
      </w:r>
      <w:r w:rsidRPr="00F559A0">
        <w:rPr>
          <w:rFonts w:ascii="Times New Roman" w:hAnsi="Times New Roman" w:cs="Times New Roman"/>
          <w:i/>
          <w:iCs/>
          <w:noProof/>
          <w:sz w:val="24"/>
          <w:szCs w:val="24"/>
        </w:rPr>
        <w:t>International Education Studies</w:t>
      </w:r>
      <w:r w:rsidRPr="00F559A0">
        <w:rPr>
          <w:rFonts w:ascii="Times New Roman" w:hAnsi="Times New Roman" w:cs="Times New Roman"/>
          <w:noProof/>
          <w:sz w:val="24"/>
          <w:szCs w:val="24"/>
        </w:rPr>
        <w:t>. Canadian Center of Science and Education, (13), pp. 1–8. doi: 10.5539/ies.v8n13p1.</w:t>
      </w:r>
    </w:p>
    <w:p w14:paraId="3ACDB528" w14:textId="77777777" w:rsidR="000C4F5F" w:rsidRPr="00F559A0" w:rsidRDefault="000C4F5F" w:rsidP="009119A7">
      <w:pPr>
        <w:widowControl w:val="0"/>
        <w:autoSpaceDE w:val="0"/>
        <w:autoSpaceDN w:val="0"/>
        <w:adjustRightInd w:val="0"/>
        <w:spacing w:line="360" w:lineRule="auto"/>
        <w:rPr>
          <w:rFonts w:ascii="Times New Roman" w:hAnsi="Times New Roman" w:cs="Times New Roman"/>
          <w:noProof/>
          <w:sz w:val="24"/>
          <w:szCs w:val="24"/>
        </w:rPr>
      </w:pPr>
      <w:r w:rsidRPr="00F559A0">
        <w:rPr>
          <w:rFonts w:ascii="Times New Roman" w:hAnsi="Times New Roman" w:cs="Times New Roman"/>
          <w:noProof/>
          <w:sz w:val="24"/>
          <w:szCs w:val="24"/>
        </w:rPr>
        <w:t xml:space="preserve">Sevinc, A., Buyukberber, S. and Camci, C. (2005) ‘Medical jargon: Obstacle to effective communication between physicians and patients’, </w:t>
      </w:r>
      <w:r w:rsidRPr="00F559A0">
        <w:rPr>
          <w:rFonts w:ascii="Times New Roman" w:hAnsi="Times New Roman" w:cs="Times New Roman"/>
          <w:i/>
          <w:iCs/>
          <w:noProof/>
          <w:sz w:val="24"/>
          <w:szCs w:val="24"/>
        </w:rPr>
        <w:t>Medical Principles and Practice</w:t>
      </w:r>
      <w:r w:rsidRPr="00F559A0">
        <w:rPr>
          <w:rFonts w:ascii="Times New Roman" w:hAnsi="Times New Roman" w:cs="Times New Roman"/>
          <w:noProof/>
          <w:sz w:val="24"/>
          <w:szCs w:val="24"/>
        </w:rPr>
        <w:t>, 14(4), p. 292. doi: 10.1159/000085754.</w:t>
      </w:r>
    </w:p>
    <w:p w14:paraId="00AB9B19" w14:textId="77777777" w:rsidR="000C4F5F" w:rsidRPr="00F559A0" w:rsidRDefault="000C4F5F" w:rsidP="009119A7">
      <w:pPr>
        <w:widowControl w:val="0"/>
        <w:autoSpaceDE w:val="0"/>
        <w:autoSpaceDN w:val="0"/>
        <w:adjustRightInd w:val="0"/>
        <w:spacing w:line="360" w:lineRule="auto"/>
        <w:rPr>
          <w:rFonts w:ascii="Times New Roman" w:hAnsi="Times New Roman" w:cs="Times New Roman"/>
          <w:noProof/>
          <w:sz w:val="24"/>
          <w:szCs w:val="24"/>
        </w:rPr>
      </w:pPr>
      <w:r w:rsidRPr="00F559A0">
        <w:rPr>
          <w:rFonts w:ascii="Times New Roman" w:hAnsi="Times New Roman" w:cs="Times New Roman"/>
          <w:noProof/>
          <w:sz w:val="24"/>
          <w:szCs w:val="24"/>
        </w:rPr>
        <w:t xml:space="preserve">Smith, S. B. </w:t>
      </w:r>
      <w:r w:rsidRPr="00F559A0">
        <w:rPr>
          <w:rFonts w:ascii="Times New Roman" w:hAnsi="Times New Roman" w:cs="Times New Roman"/>
          <w:i/>
          <w:iCs/>
          <w:noProof/>
          <w:sz w:val="24"/>
          <w:szCs w:val="24"/>
        </w:rPr>
        <w:t>et al.</w:t>
      </w:r>
      <w:r w:rsidRPr="00F559A0">
        <w:rPr>
          <w:rFonts w:ascii="Times New Roman" w:hAnsi="Times New Roman" w:cs="Times New Roman"/>
          <w:noProof/>
          <w:sz w:val="24"/>
          <w:szCs w:val="24"/>
        </w:rPr>
        <w:t xml:space="preserve"> (2007) ‘Latin and Greek in gross anatomy’, </w:t>
      </w:r>
      <w:r w:rsidRPr="00F559A0">
        <w:rPr>
          <w:rFonts w:ascii="Times New Roman" w:hAnsi="Times New Roman" w:cs="Times New Roman"/>
          <w:i/>
          <w:iCs/>
          <w:noProof/>
          <w:sz w:val="24"/>
          <w:szCs w:val="24"/>
        </w:rPr>
        <w:t>Clinical Anatomy</w:t>
      </w:r>
      <w:r w:rsidRPr="00F559A0">
        <w:rPr>
          <w:rFonts w:ascii="Times New Roman" w:hAnsi="Times New Roman" w:cs="Times New Roman"/>
          <w:noProof/>
          <w:sz w:val="24"/>
          <w:szCs w:val="24"/>
        </w:rPr>
        <w:t>, 20(3), pp. 332–</w:t>
      </w:r>
      <w:r w:rsidRPr="00F559A0">
        <w:rPr>
          <w:rFonts w:ascii="Times New Roman" w:hAnsi="Times New Roman" w:cs="Times New Roman"/>
          <w:noProof/>
          <w:sz w:val="24"/>
          <w:szCs w:val="24"/>
        </w:rPr>
        <w:lastRenderedPageBreak/>
        <w:t>337. doi: 10.1002/ca.20342.</w:t>
      </w:r>
    </w:p>
    <w:p w14:paraId="5269C035" w14:textId="77777777" w:rsidR="000C4F5F" w:rsidRPr="00F559A0" w:rsidRDefault="000C4F5F" w:rsidP="009119A7">
      <w:pPr>
        <w:widowControl w:val="0"/>
        <w:autoSpaceDE w:val="0"/>
        <w:autoSpaceDN w:val="0"/>
        <w:adjustRightInd w:val="0"/>
        <w:spacing w:line="360" w:lineRule="auto"/>
        <w:rPr>
          <w:rFonts w:ascii="Times New Roman" w:hAnsi="Times New Roman" w:cs="Times New Roman"/>
          <w:noProof/>
          <w:sz w:val="24"/>
          <w:szCs w:val="24"/>
        </w:rPr>
      </w:pPr>
      <w:r w:rsidRPr="00F559A0">
        <w:rPr>
          <w:rFonts w:ascii="Times New Roman" w:hAnsi="Times New Roman" w:cs="Times New Roman"/>
          <w:noProof/>
          <w:sz w:val="24"/>
          <w:szCs w:val="24"/>
        </w:rPr>
        <w:t xml:space="preserve">Spielmann, P. M. and Oliver, C. W. (2005) ‘The carpal bones: A basic test of medical students’ and junior doctors’ knowledge of anatomy’, </w:t>
      </w:r>
      <w:r w:rsidRPr="00F559A0">
        <w:rPr>
          <w:rFonts w:ascii="Times New Roman" w:hAnsi="Times New Roman" w:cs="Times New Roman"/>
          <w:i/>
          <w:iCs/>
          <w:noProof/>
          <w:sz w:val="24"/>
          <w:szCs w:val="24"/>
        </w:rPr>
        <w:t>Surgeon</w:t>
      </w:r>
      <w:r w:rsidRPr="00F559A0">
        <w:rPr>
          <w:rFonts w:ascii="Times New Roman" w:hAnsi="Times New Roman" w:cs="Times New Roman"/>
          <w:noProof/>
          <w:sz w:val="24"/>
          <w:szCs w:val="24"/>
        </w:rPr>
        <w:t>. Royal College of Surgeons of Edinburgh and Royal College of Surgeons in Ireland, 3(4), pp. 257–259. doi: 10.1016/S1479-666X(05)80087-3.</w:t>
      </w:r>
    </w:p>
    <w:p w14:paraId="3DFF9EF3" w14:textId="77777777" w:rsidR="000C4F5F" w:rsidRPr="00F559A0" w:rsidRDefault="000C4F5F" w:rsidP="009119A7">
      <w:pPr>
        <w:widowControl w:val="0"/>
        <w:autoSpaceDE w:val="0"/>
        <w:autoSpaceDN w:val="0"/>
        <w:adjustRightInd w:val="0"/>
        <w:spacing w:line="360" w:lineRule="auto"/>
        <w:rPr>
          <w:rFonts w:ascii="Times New Roman" w:hAnsi="Times New Roman" w:cs="Times New Roman"/>
          <w:noProof/>
          <w:sz w:val="24"/>
          <w:szCs w:val="24"/>
        </w:rPr>
      </w:pPr>
      <w:r w:rsidRPr="00F559A0">
        <w:rPr>
          <w:rFonts w:ascii="Times New Roman" w:hAnsi="Times New Roman" w:cs="Times New Roman"/>
          <w:noProof/>
          <w:sz w:val="24"/>
          <w:szCs w:val="24"/>
        </w:rPr>
        <w:t xml:space="preserve">Teoh, B. and Neo, T.-K. (2007) ‘Interactive Multimedia Learning: Students’ Attitudes and Learning Impact in an Animation Course.’, </w:t>
      </w:r>
      <w:r w:rsidRPr="00F559A0">
        <w:rPr>
          <w:rFonts w:ascii="Times New Roman" w:hAnsi="Times New Roman" w:cs="Times New Roman"/>
          <w:i/>
          <w:iCs/>
          <w:noProof/>
          <w:sz w:val="24"/>
          <w:szCs w:val="24"/>
        </w:rPr>
        <w:t>Online Submission</w:t>
      </w:r>
      <w:r w:rsidRPr="00F559A0">
        <w:rPr>
          <w:rFonts w:ascii="Times New Roman" w:hAnsi="Times New Roman" w:cs="Times New Roman"/>
          <w:noProof/>
          <w:sz w:val="24"/>
          <w:szCs w:val="24"/>
        </w:rPr>
        <w:t>.</w:t>
      </w:r>
    </w:p>
    <w:p w14:paraId="1281B296" w14:textId="77777777" w:rsidR="000C4F5F" w:rsidRPr="00F559A0" w:rsidRDefault="000C4F5F" w:rsidP="009119A7">
      <w:pPr>
        <w:widowControl w:val="0"/>
        <w:autoSpaceDE w:val="0"/>
        <w:autoSpaceDN w:val="0"/>
        <w:adjustRightInd w:val="0"/>
        <w:spacing w:line="360" w:lineRule="auto"/>
        <w:rPr>
          <w:rFonts w:ascii="Times New Roman" w:hAnsi="Times New Roman" w:cs="Times New Roman"/>
          <w:noProof/>
          <w:sz w:val="24"/>
          <w:szCs w:val="24"/>
        </w:rPr>
      </w:pPr>
      <w:r w:rsidRPr="003E20CB">
        <w:rPr>
          <w:rFonts w:ascii="Times New Roman" w:hAnsi="Times New Roman" w:cs="Times New Roman"/>
          <w:noProof/>
          <w:sz w:val="24"/>
          <w:szCs w:val="24"/>
          <w:lang w:val="it-IT"/>
        </w:rPr>
        <w:t xml:space="preserve">Valenza, M. C. </w:t>
      </w:r>
      <w:r w:rsidRPr="003E20CB">
        <w:rPr>
          <w:rFonts w:ascii="Times New Roman" w:hAnsi="Times New Roman" w:cs="Times New Roman"/>
          <w:i/>
          <w:iCs/>
          <w:noProof/>
          <w:sz w:val="24"/>
          <w:szCs w:val="24"/>
          <w:lang w:val="it-IT"/>
        </w:rPr>
        <w:t>et al.</w:t>
      </w:r>
      <w:r w:rsidRPr="003E20CB">
        <w:rPr>
          <w:rFonts w:ascii="Times New Roman" w:hAnsi="Times New Roman" w:cs="Times New Roman"/>
          <w:noProof/>
          <w:sz w:val="24"/>
          <w:szCs w:val="24"/>
          <w:lang w:val="it-IT"/>
        </w:rPr>
        <w:t xml:space="preserve"> </w:t>
      </w:r>
      <w:r w:rsidRPr="00F559A0">
        <w:rPr>
          <w:rFonts w:ascii="Times New Roman" w:hAnsi="Times New Roman" w:cs="Times New Roman"/>
          <w:noProof/>
          <w:sz w:val="24"/>
          <w:szCs w:val="24"/>
        </w:rPr>
        <w:t xml:space="preserve">(2012) ‘Comparison of third-year medical and physical therapy students’ knowledge of anatomy using the carpal bone test’, </w:t>
      </w:r>
      <w:r w:rsidRPr="00F559A0">
        <w:rPr>
          <w:rFonts w:ascii="Times New Roman" w:hAnsi="Times New Roman" w:cs="Times New Roman"/>
          <w:i/>
          <w:iCs/>
          <w:noProof/>
          <w:sz w:val="24"/>
          <w:szCs w:val="24"/>
        </w:rPr>
        <w:t>Journal of Manipulative and Physiological Therapeutics</w:t>
      </w:r>
      <w:r w:rsidRPr="00F559A0">
        <w:rPr>
          <w:rFonts w:ascii="Times New Roman" w:hAnsi="Times New Roman" w:cs="Times New Roman"/>
          <w:noProof/>
          <w:sz w:val="24"/>
          <w:szCs w:val="24"/>
        </w:rPr>
        <w:t>. National University of Health Sciences, 35(2), pp. 121–126. doi: 10.1016/j.jmpt.2011.12.005.</w:t>
      </w:r>
    </w:p>
    <w:p w14:paraId="14ACE3F6" w14:textId="77777777" w:rsidR="000C4F5F" w:rsidRPr="00F559A0" w:rsidRDefault="000C4F5F" w:rsidP="009119A7">
      <w:pPr>
        <w:widowControl w:val="0"/>
        <w:autoSpaceDE w:val="0"/>
        <w:autoSpaceDN w:val="0"/>
        <w:adjustRightInd w:val="0"/>
        <w:spacing w:line="360" w:lineRule="auto"/>
        <w:rPr>
          <w:rFonts w:ascii="Times New Roman" w:hAnsi="Times New Roman" w:cs="Times New Roman"/>
          <w:noProof/>
          <w:sz w:val="24"/>
        </w:rPr>
      </w:pPr>
      <w:r w:rsidRPr="00F559A0">
        <w:rPr>
          <w:rFonts w:ascii="Times New Roman" w:hAnsi="Times New Roman" w:cs="Times New Roman"/>
          <w:sz w:val="24"/>
          <w:szCs w:val="24"/>
          <w:shd w:val="clear" w:color="auto" w:fill="FFFFFF"/>
        </w:rPr>
        <w:t>White, T. D., &amp; Folkens, P. A. (2005). </w:t>
      </w:r>
      <w:r w:rsidRPr="00F559A0">
        <w:rPr>
          <w:rFonts w:ascii="Times New Roman" w:hAnsi="Times New Roman" w:cs="Times New Roman"/>
          <w:i/>
          <w:iCs/>
          <w:sz w:val="24"/>
          <w:szCs w:val="24"/>
          <w:shd w:val="clear" w:color="auto" w:fill="FFFFFF"/>
        </w:rPr>
        <w:t>The human bone manual</w:t>
      </w:r>
      <w:r w:rsidRPr="00F559A0">
        <w:rPr>
          <w:rFonts w:ascii="Times New Roman" w:hAnsi="Times New Roman" w:cs="Times New Roman"/>
          <w:sz w:val="24"/>
          <w:szCs w:val="24"/>
          <w:shd w:val="clear" w:color="auto" w:fill="FFFFFF"/>
        </w:rPr>
        <w:t>. Amsterdam, Elsevier Academic.</w:t>
      </w:r>
    </w:p>
    <w:p w14:paraId="397618E9" w14:textId="3597A4F3" w:rsidR="00932412" w:rsidRPr="000C4F5F" w:rsidRDefault="000C4F5F" w:rsidP="009119A7">
      <w:pPr>
        <w:spacing w:line="360" w:lineRule="auto"/>
        <w:rPr>
          <w:rFonts w:ascii="Times New Roman" w:hAnsi="Times New Roman" w:cs="Times New Roman"/>
        </w:rPr>
      </w:pPr>
      <w:r w:rsidRPr="00F559A0">
        <w:rPr>
          <w:rFonts w:ascii="Times New Roman" w:hAnsi="Times New Roman" w:cs="Times New Roman"/>
          <w:sz w:val="24"/>
          <w:szCs w:val="24"/>
        </w:rPr>
        <w:fldChar w:fldCharType="end"/>
      </w:r>
    </w:p>
    <w:sectPr w:rsidR="00932412" w:rsidRPr="000C4F5F">
      <w:footerReference w:type="default" r:id="rId42"/>
      <w:pgSz w:w="12240" w:h="15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18663" w16cex:dateUtc="2021-01-31T19:41:00Z"/>
  <w16cex:commentExtensible w16cex:durableId="23CE4D5F" w16cex:dateUtc="2021-02-10T12:17:00Z"/>
  <w16cex:commentExtensible w16cex:durableId="23CE64DD" w16cex:dateUtc="2021-02-10T13:57:00Z"/>
  <w16cex:commentExtensible w16cex:durableId="23CE65F0" w16cex:dateUtc="2021-02-10T14:02:00Z"/>
  <w16cex:commentExtensible w16cex:durableId="23C18DDF" w16cex:dateUtc="2021-01-31T20:13:00Z"/>
  <w16cex:commentExtensible w16cex:durableId="23C6EA4A" w16cex:dateUtc="2021-02-05T02:48:00Z"/>
  <w16cex:commentExtensible w16cex:durableId="23CE6675" w16cex:dateUtc="2021-02-10T14:04:00Z"/>
  <w16cex:commentExtensible w16cex:durableId="23C19024" w16cex:dateUtc="2021-01-31T20:23:00Z"/>
  <w16cex:commentExtensible w16cex:durableId="23CE68F1" w16cex:dateUtc="2021-02-10T14:15:00Z"/>
  <w16cex:commentExtensible w16cex:durableId="23CE67F5" w16cex:dateUtc="2021-02-10T14:11:00Z"/>
  <w16cex:commentExtensible w16cex:durableId="23C1946C" w16cex:dateUtc="2021-01-31T20:41:00Z"/>
  <w16cex:commentExtensible w16cex:durableId="23CE68D8" w16cex:dateUtc="2021-02-10T14:14:00Z"/>
  <w16cex:commentExtensible w16cex:durableId="23CE7195" w16cex:dateUtc="2021-02-10T14:52:00Z"/>
  <w16cex:commentExtensible w16cex:durableId="23CE68CA" w16cex:dateUtc="2021-02-10T14:14:00Z"/>
  <w16cex:commentExtensible w16cex:durableId="23C195F1" w16cex:dateUtc="2021-01-31T20:47:00Z"/>
  <w16cex:commentExtensible w16cex:durableId="23C1960D" w16cex:dateUtc="2021-01-31T20:48:00Z"/>
  <w16cex:commentExtensible w16cex:durableId="23C6A6D5" w16cex:dateUtc="2021-02-04T22:01:00Z"/>
  <w16cex:commentExtensible w16cex:durableId="23C6A763" w16cex:dateUtc="2021-02-04T22:03:00Z"/>
  <w16cex:commentExtensible w16cex:durableId="23CE8EF1" w16cex:dateUtc="2021-02-10T16:57:00Z"/>
  <w16cex:commentExtensible w16cex:durableId="23C19694" w16cex:dateUtc="2021-01-31T20:50:00Z"/>
  <w16cex:commentExtensible w16cex:durableId="23C6A791" w16cex:dateUtc="2021-02-04T22:04:00Z"/>
  <w16cex:commentExtensible w16cex:durableId="23C6A79E" w16cex:dateUtc="2021-02-04T22:04:00Z"/>
  <w16cex:commentExtensible w16cex:durableId="23CE8F50" w16cex:dateUtc="2021-02-10T16:58:00Z"/>
  <w16cex:commentExtensible w16cex:durableId="23CE8709" w16cex:dateUtc="2021-02-10T16: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F9DC63F" w16cid:durableId="23C18663"/>
  <w16cid:commentId w16cid:paraId="65F8E7D5" w16cid:durableId="23CE4D5F"/>
  <w16cid:commentId w16cid:paraId="32238B38" w16cid:durableId="23CE64DD"/>
  <w16cid:commentId w16cid:paraId="21EE29B4" w16cid:durableId="23CE65F0"/>
  <w16cid:commentId w16cid:paraId="33454C58" w16cid:durableId="23C18DDF"/>
  <w16cid:commentId w16cid:paraId="03E495F7" w16cid:durableId="23C6EA4A"/>
  <w16cid:commentId w16cid:paraId="22B962D5" w16cid:durableId="23CE6675"/>
  <w16cid:commentId w16cid:paraId="7A79BF48" w16cid:durableId="23C19024"/>
  <w16cid:commentId w16cid:paraId="2DD45F35" w16cid:durableId="23CE68F1"/>
  <w16cid:commentId w16cid:paraId="2EB79183" w16cid:durableId="23CE67F5"/>
  <w16cid:commentId w16cid:paraId="4D0CD594" w16cid:durableId="23C1946C"/>
  <w16cid:commentId w16cid:paraId="3509F2FE" w16cid:durableId="23CE68D8"/>
  <w16cid:commentId w16cid:paraId="244E34C2" w16cid:durableId="23CE7195"/>
  <w16cid:commentId w16cid:paraId="44A9CAF7" w16cid:durableId="23CE68CA"/>
  <w16cid:commentId w16cid:paraId="28BE2D02" w16cid:durableId="23C195F1"/>
  <w16cid:commentId w16cid:paraId="5A9DFB11" w16cid:durableId="23C1960D"/>
  <w16cid:commentId w16cid:paraId="458340F2" w16cid:durableId="23C6A6D5"/>
  <w16cid:commentId w16cid:paraId="5745AD6A" w16cid:durableId="23C6A763"/>
  <w16cid:commentId w16cid:paraId="0041CA98" w16cid:durableId="23CE8EF1"/>
  <w16cid:commentId w16cid:paraId="1F5246CA" w16cid:durableId="23C19694"/>
  <w16cid:commentId w16cid:paraId="057E92C0" w16cid:durableId="23C6A791"/>
  <w16cid:commentId w16cid:paraId="470EADF6" w16cid:durableId="23C6A79E"/>
  <w16cid:commentId w16cid:paraId="5CC851E4" w16cid:durableId="23CE8F50"/>
  <w16cid:commentId w16cid:paraId="4F711CD4" w16cid:durableId="23CE870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370C6A" w14:textId="77777777" w:rsidR="00315EB7" w:rsidRDefault="00315EB7" w:rsidP="00026353">
      <w:pPr>
        <w:spacing w:after="0" w:line="240" w:lineRule="auto"/>
      </w:pPr>
      <w:r>
        <w:separator/>
      </w:r>
    </w:p>
  </w:endnote>
  <w:endnote w:type="continuationSeparator" w:id="0">
    <w:p w14:paraId="051F3927" w14:textId="77777777" w:rsidR="00315EB7" w:rsidRDefault="00315EB7" w:rsidP="00026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3224371"/>
      <w:docPartObj>
        <w:docPartGallery w:val="Page Numbers (Bottom of Page)"/>
        <w:docPartUnique/>
      </w:docPartObj>
    </w:sdtPr>
    <w:sdtEndPr>
      <w:rPr>
        <w:noProof/>
      </w:rPr>
    </w:sdtEndPr>
    <w:sdtContent>
      <w:p w14:paraId="17F79DB8" w14:textId="3F588EB9" w:rsidR="001E0E9A" w:rsidRDefault="001E0E9A">
        <w:pPr>
          <w:pStyle w:val="Footer"/>
          <w:jc w:val="right"/>
        </w:pPr>
        <w:r>
          <w:fldChar w:fldCharType="begin"/>
        </w:r>
        <w:r>
          <w:instrText xml:space="preserve"> PAGE   \* MERGEFORMAT </w:instrText>
        </w:r>
        <w:r>
          <w:fldChar w:fldCharType="separate"/>
        </w:r>
        <w:r w:rsidR="003A7265">
          <w:rPr>
            <w:noProof/>
          </w:rPr>
          <w:t>29</w:t>
        </w:r>
        <w:r>
          <w:rPr>
            <w:noProof/>
          </w:rPr>
          <w:fldChar w:fldCharType="end"/>
        </w:r>
      </w:p>
    </w:sdtContent>
  </w:sdt>
  <w:p w14:paraId="0F000683" w14:textId="77777777" w:rsidR="001E0E9A" w:rsidRDefault="001E0E9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0AC1C4" w14:textId="77777777" w:rsidR="00315EB7" w:rsidRDefault="00315EB7" w:rsidP="00026353">
      <w:pPr>
        <w:spacing w:after="0" w:line="240" w:lineRule="auto"/>
      </w:pPr>
      <w:r>
        <w:separator/>
      </w:r>
    </w:p>
  </w:footnote>
  <w:footnote w:type="continuationSeparator" w:id="0">
    <w:p w14:paraId="1A08704C" w14:textId="77777777" w:rsidR="00315EB7" w:rsidRDefault="00315EB7" w:rsidP="00026353">
      <w:pPr>
        <w:spacing w:after="0" w:line="240" w:lineRule="auto"/>
      </w:pPr>
      <w:r>
        <w:continuationSeparator/>
      </w:r>
    </w:p>
  </w:footnote>
  <w:footnote w:id="1">
    <w:p w14:paraId="0A78940F" w14:textId="59490041" w:rsidR="006A4AF6" w:rsidRDefault="006A4AF6">
      <w:pPr>
        <w:pStyle w:val="FootnoteText"/>
      </w:pPr>
      <w:r>
        <w:rPr>
          <w:rStyle w:val="FootnoteReference"/>
        </w:rPr>
        <w:footnoteRef/>
      </w:r>
      <w:r>
        <w:t xml:space="preserve"> </w:t>
      </w:r>
      <w:r>
        <w:rPr>
          <w:rFonts w:ascii="Times New Roman" w:hAnsi="Times New Roman" w:cs="Times New Roman"/>
          <w:sz w:val="24"/>
          <w:szCs w:val="24"/>
        </w:rPr>
        <w:t xml:space="preserve">Patient data </w:t>
      </w:r>
      <w:r w:rsidR="00F315DD">
        <w:rPr>
          <w:rFonts w:ascii="Times New Roman" w:hAnsi="Times New Roman" w:cs="Times New Roman"/>
          <w:sz w:val="24"/>
          <w:szCs w:val="24"/>
        </w:rPr>
        <w:t>from the Visible Human Project (</w:t>
      </w:r>
      <w:hyperlink r:id="rId1" w:history="1">
        <w:r w:rsidR="00F315DD" w:rsidRPr="00531FA5">
          <w:rPr>
            <w:rStyle w:val="Hyperlink"/>
            <w:rFonts w:ascii="Times New Roman" w:hAnsi="Times New Roman" w:cs="Times New Roman"/>
            <w:sz w:val="24"/>
            <w:szCs w:val="24"/>
          </w:rPr>
          <w:t>https://www.nlm.nih.gov/research/visible/applications.html</w:t>
        </w:r>
      </w:hyperlink>
      <w:r w:rsidR="00F315DD">
        <w:rPr>
          <w:rFonts w:ascii="Times New Roman" w:hAnsi="Times New Roman" w:cs="Times New Roman"/>
          <w:sz w:val="24"/>
          <w:szCs w:val="24"/>
        </w:rPr>
        <w:t>) were used for research purposes.</w:t>
      </w:r>
      <w:r>
        <w:rPr>
          <w:rFonts w:ascii="Times New Roman" w:hAnsi="Times New Roman" w:cs="Times New Roman"/>
          <w:sz w:val="24"/>
          <w:szCs w:val="24"/>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43DA3"/>
    <w:multiLevelType w:val="multilevel"/>
    <w:tmpl w:val="48C29122"/>
    <w:lvl w:ilvl="0">
      <w:start w:val="1"/>
      <w:numFmt w:val="decimal"/>
      <w:lvlText w:val="%1."/>
      <w:lvlJc w:val="left"/>
      <w:pPr>
        <w:ind w:left="720" w:hanging="360"/>
      </w:pPr>
      <w:rPr>
        <w:rFonts w:hint="default"/>
      </w:rPr>
    </w:lvl>
    <w:lvl w:ilvl="1">
      <w:start w:val="2"/>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39511A6"/>
    <w:multiLevelType w:val="multilevel"/>
    <w:tmpl w:val="6F8A727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CDF2828"/>
    <w:multiLevelType w:val="hybridMultilevel"/>
    <w:tmpl w:val="9FCAB16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4E6B30EC"/>
    <w:multiLevelType w:val="multilevel"/>
    <w:tmpl w:val="1A580514"/>
    <w:lvl w:ilvl="0">
      <w:start w:val="1"/>
      <w:numFmt w:val="decimal"/>
      <w:lvlText w:val="%1"/>
      <w:lvlJc w:val="left"/>
      <w:pPr>
        <w:ind w:left="360" w:hanging="360"/>
      </w:pPr>
      <w:rPr>
        <w:rFonts w:hint="default"/>
      </w:rPr>
    </w:lvl>
    <w:lvl w:ilvl="1">
      <w:start w:val="1"/>
      <w:numFmt w:val="decimal"/>
      <w:lvlText w:val="%1.%2"/>
      <w:lvlJc w:val="left"/>
      <w:pPr>
        <w:ind w:left="1104" w:hanging="360"/>
      </w:pPr>
      <w:rPr>
        <w:rFonts w:hint="default"/>
      </w:rPr>
    </w:lvl>
    <w:lvl w:ilvl="2">
      <w:start w:val="1"/>
      <w:numFmt w:val="decimal"/>
      <w:lvlText w:val="%1.%2.%3"/>
      <w:lvlJc w:val="left"/>
      <w:pPr>
        <w:ind w:left="2208"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4056" w:hanging="1080"/>
      </w:pPr>
      <w:rPr>
        <w:rFonts w:hint="default"/>
      </w:rPr>
    </w:lvl>
    <w:lvl w:ilvl="5">
      <w:start w:val="1"/>
      <w:numFmt w:val="decimal"/>
      <w:lvlText w:val="%1.%2.%3.%4.%5.%6"/>
      <w:lvlJc w:val="left"/>
      <w:pPr>
        <w:ind w:left="5160" w:hanging="1440"/>
      </w:pPr>
      <w:rPr>
        <w:rFonts w:hint="default"/>
      </w:rPr>
    </w:lvl>
    <w:lvl w:ilvl="6">
      <w:start w:val="1"/>
      <w:numFmt w:val="decimal"/>
      <w:lvlText w:val="%1.%2.%3.%4.%5.%6.%7"/>
      <w:lvlJc w:val="left"/>
      <w:pPr>
        <w:ind w:left="5904" w:hanging="1440"/>
      </w:pPr>
      <w:rPr>
        <w:rFonts w:hint="default"/>
      </w:rPr>
    </w:lvl>
    <w:lvl w:ilvl="7">
      <w:start w:val="1"/>
      <w:numFmt w:val="decimal"/>
      <w:lvlText w:val="%1.%2.%3.%4.%5.%6.%7.%8"/>
      <w:lvlJc w:val="left"/>
      <w:pPr>
        <w:ind w:left="7008" w:hanging="1800"/>
      </w:pPr>
      <w:rPr>
        <w:rFonts w:hint="default"/>
      </w:rPr>
    </w:lvl>
    <w:lvl w:ilvl="8">
      <w:start w:val="1"/>
      <w:numFmt w:val="decimal"/>
      <w:lvlText w:val="%1.%2.%3.%4.%5.%6.%7.%8.%9"/>
      <w:lvlJc w:val="left"/>
      <w:pPr>
        <w:ind w:left="7752" w:hanging="1800"/>
      </w:pPr>
      <w:rPr>
        <w:rFont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F5F"/>
    <w:rsid w:val="00002052"/>
    <w:rsid w:val="00003C3C"/>
    <w:rsid w:val="00016D9B"/>
    <w:rsid w:val="00023634"/>
    <w:rsid w:val="00026353"/>
    <w:rsid w:val="00054474"/>
    <w:rsid w:val="000678D5"/>
    <w:rsid w:val="000838A6"/>
    <w:rsid w:val="00087C49"/>
    <w:rsid w:val="000B10AB"/>
    <w:rsid w:val="000B1357"/>
    <w:rsid w:val="000B554B"/>
    <w:rsid w:val="000B7E9B"/>
    <w:rsid w:val="000C244E"/>
    <w:rsid w:val="000C4F5F"/>
    <w:rsid w:val="000D0DB1"/>
    <w:rsid w:val="000E50C2"/>
    <w:rsid w:val="000E56DF"/>
    <w:rsid w:val="000E5CDD"/>
    <w:rsid w:val="000F1E28"/>
    <w:rsid w:val="00102F11"/>
    <w:rsid w:val="00106274"/>
    <w:rsid w:val="0011705B"/>
    <w:rsid w:val="001202D0"/>
    <w:rsid w:val="0013078B"/>
    <w:rsid w:val="0013710E"/>
    <w:rsid w:val="001466A1"/>
    <w:rsid w:val="00155113"/>
    <w:rsid w:val="00171197"/>
    <w:rsid w:val="001743CD"/>
    <w:rsid w:val="00196190"/>
    <w:rsid w:val="001972F7"/>
    <w:rsid w:val="001B1582"/>
    <w:rsid w:val="001B6D69"/>
    <w:rsid w:val="001B7278"/>
    <w:rsid w:val="001D38D7"/>
    <w:rsid w:val="001D4FAC"/>
    <w:rsid w:val="001E0339"/>
    <w:rsid w:val="001E0E9A"/>
    <w:rsid w:val="001E2A84"/>
    <w:rsid w:val="00207440"/>
    <w:rsid w:val="00231286"/>
    <w:rsid w:val="002425D9"/>
    <w:rsid w:val="00260AF4"/>
    <w:rsid w:val="00262F0E"/>
    <w:rsid w:val="00270FE4"/>
    <w:rsid w:val="002A03A7"/>
    <w:rsid w:val="002A5D23"/>
    <w:rsid w:val="002B2374"/>
    <w:rsid w:val="002D691E"/>
    <w:rsid w:val="002E0889"/>
    <w:rsid w:val="002E4D78"/>
    <w:rsid w:val="002E4F71"/>
    <w:rsid w:val="002E6E3E"/>
    <w:rsid w:val="002F05E5"/>
    <w:rsid w:val="002F0B46"/>
    <w:rsid w:val="00304C2C"/>
    <w:rsid w:val="00315803"/>
    <w:rsid w:val="00315EB7"/>
    <w:rsid w:val="003220D5"/>
    <w:rsid w:val="00322680"/>
    <w:rsid w:val="00322C43"/>
    <w:rsid w:val="003368C4"/>
    <w:rsid w:val="00342663"/>
    <w:rsid w:val="0035295C"/>
    <w:rsid w:val="00361265"/>
    <w:rsid w:val="00361B1D"/>
    <w:rsid w:val="00362FB1"/>
    <w:rsid w:val="003639EB"/>
    <w:rsid w:val="00364657"/>
    <w:rsid w:val="00372603"/>
    <w:rsid w:val="00374BCF"/>
    <w:rsid w:val="003856DA"/>
    <w:rsid w:val="00390367"/>
    <w:rsid w:val="003A706A"/>
    <w:rsid w:val="003A7265"/>
    <w:rsid w:val="003A7793"/>
    <w:rsid w:val="003C307C"/>
    <w:rsid w:val="003D189F"/>
    <w:rsid w:val="003D1EB4"/>
    <w:rsid w:val="003D27F4"/>
    <w:rsid w:val="003E20CB"/>
    <w:rsid w:val="003E561D"/>
    <w:rsid w:val="003F2F1D"/>
    <w:rsid w:val="003F7490"/>
    <w:rsid w:val="0042115D"/>
    <w:rsid w:val="00425529"/>
    <w:rsid w:val="00434BEF"/>
    <w:rsid w:val="00435734"/>
    <w:rsid w:val="00461E46"/>
    <w:rsid w:val="00481453"/>
    <w:rsid w:val="0048373C"/>
    <w:rsid w:val="004850A2"/>
    <w:rsid w:val="00493828"/>
    <w:rsid w:val="004A71C7"/>
    <w:rsid w:val="004B228B"/>
    <w:rsid w:val="004C3181"/>
    <w:rsid w:val="004D5581"/>
    <w:rsid w:val="004E4020"/>
    <w:rsid w:val="004E7210"/>
    <w:rsid w:val="00513758"/>
    <w:rsid w:val="005153F9"/>
    <w:rsid w:val="00522460"/>
    <w:rsid w:val="005263DB"/>
    <w:rsid w:val="005274EE"/>
    <w:rsid w:val="00535075"/>
    <w:rsid w:val="005618CE"/>
    <w:rsid w:val="00564EB5"/>
    <w:rsid w:val="005661A9"/>
    <w:rsid w:val="00566B32"/>
    <w:rsid w:val="00570C9E"/>
    <w:rsid w:val="00587404"/>
    <w:rsid w:val="00592A15"/>
    <w:rsid w:val="005A3FA4"/>
    <w:rsid w:val="005B3A72"/>
    <w:rsid w:val="005C75AC"/>
    <w:rsid w:val="006101F0"/>
    <w:rsid w:val="006369B6"/>
    <w:rsid w:val="006452B1"/>
    <w:rsid w:val="00657B72"/>
    <w:rsid w:val="0066718F"/>
    <w:rsid w:val="00671724"/>
    <w:rsid w:val="006812BC"/>
    <w:rsid w:val="00681A1D"/>
    <w:rsid w:val="0069448A"/>
    <w:rsid w:val="006A4AF6"/>
    <w:rsid w:val="006A7E02"/>
    <w:rsid w:val="006B59D5"/>
    <w:rsid w:val="006B63D1"/>
    <w:rsid w:val="00707749"/>
    <w:rsid w:val="00712C6C"/>
    <w:rsid w:val="0071379C"/>
    <w:rsid w:val="00714E9C"/>
    <w:rsid w:val="0072330A"/>
    <w:rsid w:val="00731C95"/>
    <w:rsid w:val="0074260F"/>
    <w:rsid w:val="007460C5"/>
    <w:rsid w:val="00767D14"/>
    <w:rsid w:val="0077022B"/>
    <w:rsid w:val="00775016"/>
    <w:rsid w:val="007825E5"/>
    <w:rsid w:val="00787AB3"/>
    <w:rsid w:val="007B2643"/>
    <w:rsid w:val="007C280D"/>
    <w:rsid w:val="007C562F"/>
    <w:rsid w:val="007D1F90"/>
    <w:rsid w:val="007E163F"/>
    <w:rsid w:val="007E39AD"/>
    <w:rsid w:val="007E4A67"/>
    <w:rsid w:val="00800981"/>
    <w:rsid w:val="00803E98"/>
    <w:rsid w:val="008077FA"/>
    <w:rsid w:val="0083585C"/>
    <w:rsid w:val="00843CA9"/>
    <w:rsid w:val="0085121C"/>
    <w:rsid w:val="008524C5"/>
    <w:rsid w:val="0085698C"/>
    <w:rsid w:val="00870671"/>
    <w:rsid w:val="008904C0"/>
    <w:rsid w:val="00896FF3"/>
    <w:rsid w:val="0089796A"/>
    <w:rsid w:val="008C0042"/>
    <w:rsid w:val="008C1B6E"/>
    <w:rsid w:val="008C521F"/>
    <w:rsid w:val="008D3CA2"/>
    <w:rsid w:val="008D4F50"/>
    <w:rsid w:val="008E6E2B"/>
    <w:rsid w:val="008F325C"/>
    <w:rsid w:val="008F43E3"/>
    <w:rsid w:val="00900322"/>
    <w:rsid w:val="00900668"/>
    <w:rsid w:val="009119A7"/>
    <w:rsid w:val="00920FA9"/>
    <w:rsid w:val="009223C7"/>
    <w:rsid w:val="0092455C"/>
    <w:rsid w:val="009304B0"/>
    <w:rsid w:val="009310B8"/>
    <w:rsid w:val="00932412"/>
    <w:rsid w:val="00933C9F"/>
    <w:rsid w:val="00934A8E"/>
    <w:rsid w:val="00937267"/>
    <w:rsid w:val="009403F6"/>
    <w:rsid w:val="009617F9"/>
    <w:rsid w:val="009642C3"/>
    <w:rsid w:val="009776CC"/>
    <w:rsid w:val="00980A1B"/>
    <w:rsid w:val="009979EB"/>
    <w:rsid w:val="009E0B08"/>
    <w:rsid w:val="009E683F"/>
    <w:rsid w:val="009F7293"/>
    <w:rsid w:val="00A06F35"/>
    <w:rsid w:val="00A13692"/>
    <w:rsid w:val="00A21DF0"/>
    <w:rsid w:val="00A24630"/>
    <w:rsid w:val="00A33E59"/>
    <w:rsid w:val="00A46159"/>
    <w:rsid w:val="00A529D5"/>
    <w:rsid w:val="00A55E33"/>
    <w:rsid w:val="00A56953"/>
    <w:rsid w:val="00A7372A"/>
    <w:rsid w:val="00A75714"/>
    <w:rsid w:val="00A81530"/>
    <w:rsid w:val="00A820F5"/>
    <w:rsid w:val="00A90AA0"/>
    <w:rsid w:val="00A971B2"/>
    <w:rsid w:val="00AB469F"/>
    <w:rsid w:val="00AB7332"/>
    <w:rsid w:val="00B14774"/>
    <w:rsid w:val="00B35005"/>
    <w:rsid w:val="00B455C0"/>
    <w:rsid w:val="00B5069E"/>
    <w:rsid w:val="00B62622"/>
    <w:rsid w:val="00B628B9"/>
    <w:rsid w:val="00B675F0"/>
    <w:rsid w:val="00B8474C"/>
    <w:rsid w:val="00B84BC4"/>
    <w:rsid w:val="00BA341D"/>
    <w:rsid w:val="00BA69AF"/>
    <w:rsid w:val="00BB3378"/>
    <w:rsid w:val="00BB61FF"/>
    <w:rsid w:val="00BC6BEB"/>
    <w:rsid w:val="00C062C9"/>
    <w:rsid w:val="00C2790E"/>
    <w:rsid w:val="00C43150"/>
    <w:rsid w:val="00C52E99"/>
    <w:rsid w:val="00C52FB2"/>
    <w:rsid w:val="00C5495C"/>
    <w:rsid w:val="00C60A5B"/>
    <w:rsid w:val="00C664FE"/>
    <w:rsid w:val="00C81037"/>
    <w:rsid w:val="00C841B0"/>
    <w:rsid w:val="00C845DA"/>
    <w:rsid w:val="00C86C96"/>
    <w:rsid w:val="00C9112E"/>
    <w:rsid w:val="00C952EB"/>
    <w:rsid w:val="00C95B02"/>
    <w:rsid w:val="00CA0723"/>
    <w:rsid w:val="00CA3000"/>
    <w:rsid w:val="00CA7183"/>
    <w:rsid w:val="00CC1EA6"/>
    <w:rsid w:val="00CC591E"/>
    <w:rsid w:val="00CD5F96"/>
    <w:rsid w:val="00D03904"/>
    <w:rsid w:val="00D055A3"/>
    <w:rsid w:val="00D26120"/>
    <w:rsid w:val="00D30291"/>
    <w:rsid w:val="00D4424C"/>
    <w:rsid w:val="00D45699"/>
    <w:rsid w:val="00D50B08"/>
    <w:rsid w:val="00D51FD6"/>
    <w:rsid w:val="00D65994"/>
    <w:rsid w:val="00D703C5"/>
    <w:rsid w:val="00D75DCA"/>
    <w:rsid w:val="00DC4DE5"/>
    <w:rsid w:val="00DC6AFC"/>
    <w:rsid w:val="00DF648E"/>
    <w:rsid w:val="00E27AC1"/>
    <w:rsid w:val="00E417CB"/>
    <w:rsid w:val="00E42F75"/>
    <w:rsid w:val="00E913E7"/>
    <w:rsid w:val="00E92479"/>
    <w:rsid w:val="00E96E23"/>
    <w:rsid w:val="00EB374D"/>
    <w:rsid w:val="00EB7DD2"/>
    <w:rsid w:val="00EC3971"/>
    <w:rsid w:val="00ED1721"/>
    <w:rsid w:val="00ED5348"/>
    <w:rsid w:val="00ED78B4"/>
    <w:rsid w:val="00EE1BA6"/>
    <w:rsid w:val="00EE5A61"/>
    <w:rsid w:val="00EE7396"/>
    <w:rsid w:val="00EF2FC9"/>
    <w:rsid w:val="00F04793"/>
    <w:rsid w:val="00F148CF"/>
    <w:rsid w:val="00F315DD"/>
    <w:rsid w:val="00F43922"/>
    <w:rsid w:val="00F4535F"/>
    <w:rsid w:val="00F54BFA"/>
    <w:rsid w:val="00F6326E"/>
    <w:rsid w:val="00F63F3C"/>
    <w:rsid w:val="00F71D18"/>
    <w:rsid w:val="00F760A9"/>
    <w:rsid w:val="00F92D02"/>
    <w:rsid w:val="00FA1E2D"/>
    <w:rsid w:val="00FA75EF"/>
    <w:rsid w:val="00FB2D6D"/>
    <w:rsid w:val="00FB3472"/>
    <w:rsid w:val="00FB7635"/>
    <w:rsid w:val="00FB7B9D"/>
    <w:rsid w:val="00FD0DD9"/>
    <w:rsid w:val="00FD25E6"/>
    <w:rsid w:val="00FE6F02"/>
    <w:rsid w:val="00FF2318"/>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A3EEE"/>
  <w15:docId w15:val="{8A077C50-6AA2-474E-AB60-339E7BDAD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F5F"/>
  </w:style>
  <w:style w:type="paragraph" w:styleId="Heading1">
    <w:name w:val="heading 1"/>
    <w:basedOn w:val="Normal"/>
    <w:next w:val="Normal"/>
    <w:link w:val="Heading1Char"/>
    <w:uiPriority w:val="9"/>
    <w:qFormat/>
    <w:rsid w:val="000C4F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C4F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C4F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4F5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C4F5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C4F5F"/>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0C4F5F"/>
    <w:pPr>
      <w:ind w:left="720"/>
      <w:contextualSpacing/>
    </w:pPr>
  </w:style>
  <w:style w:type="paragraph" w:styleId="Subtitle">
    <w:name w:val="Subtitle"/>
    <w:basedOn w:val="Normal"/>
    <w:next w:val="Normal"/>
    <w:link w:val="SubtitleChar"/>
    <w:uiPriority w:val="11"/>
    <w:qFormat/>
    <w:rsid w:val="000C4F5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C4F5F"/>
    <w:rPr>
      <w:rFonts w:eastAsiaTheme="minorEastAsia"/>
      <w:color w:val="5A5A5A" w:themeColor="text1" w:themeTint="A5"/>
      <w:spacing w:val="15"/>
    </w:rPr>
  </w:style>
  <w:style w:type="character" w:styleId="Hyperlink">
    <w:name w:val="Hyperlink"/>
    <w:basedOn w:val="DefaultParagraphFont"/>
    <w:uiPriority w:val="99"/>
    <w:unhideWhenUsed/>
    <w:rsid w:val="000C4F5F"/>
    <w:rPr>
      <w:color w:val="0563C1" w:themeColor="hyperlink"/>
      <w:u w:val="single"/>
    </w:rPr>
  </w:style>
  <w:style w:type="table" w:styleId="TableGrid">
    <w:name w:val="Table Grid"/>
    <w:basedOn w:val="TableNormal"/>
    <w:uiPriority w:val="39"/>
    <w:rsid w:val="000C4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C4F5F"/>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0D0DB1"/>
    <w:rPr>
      <w:sz w:val="16"/>
      <w:szCs w:val="16"/>
    </w:rPr>
  </w:style>
  <w:style w:type="paragraph" w:styleId="CommentText">
    <w:name w:val="annotation text"/>
    <w:basedOn w:val="Normal"/>
    <w:link w:val="CommentTextChar"/>
    <w:uiPriority w:val="99"/>
    <w:semiHidden/>
    <w:unhideWhenUsed/>
    <w:rsid w:val="000D0DB1"/>
    <w:pPr>
      <w:spacing w:line="240" w:lineRule="auto"/>
    </w:pPr>
    <w:rPr>
      <w:sz w:val="20"/>
      <w:szCs w:val="20"/>
    </w:rPr>
  </w:style>
  <w:style w:type="character" w:customStyle="1" w:styleId="CommentTextChar">
    <w:name w:val="Comment Text Char"/>
    <w:basedOn w:val="DefaultParagraphFont"/>
    <w:link w:val="CommentText"/>
    <w:uiPriority w:val="99"/>
    <w:semiHidden/>
    <w:rsid w:val="000D0DB1"/>
    <w:rPr>
      <w:sz w:val="20"/>
      <w:szCs w:val="20"/>
    </w:rPr>
  </w:style>
  <w:style w:type="paragraph" w:styleId="CommentSubject">
    <w:name w:val="annotation subject"/>
    <w:basedOn w:val="CommentText"/>
    <w:next w:val="CommentText"/>
    <w:link w:val="CommentSubjectChar"/>
    <w:uiPriority w:val="99"/>
    <w:semiHidden/>
    <w:unhideWhenUsed/>
    <w:rsid w:val="000D0DB1"/>
    <w:rPr>
      <w:b/>
      <w:bCs/>
    </w:rPr>
  </w:style>
  <w:style w:type="character" w:customStyle="1" w:styleId="CommentSubjectChar">
    <w:name w:val="Comment Subject Char"/>
    <w:basedOn w:val="CommentTextChar"/>
    <w:link w:val="CommentSubject"/>
    <w:uiPriority w:val="99"/>
    <w:semiHidden/>
    <w:rsid w:val="000D0DB1"/>
    <w:rPr>
      <w:b/>
      <w:bCs/>
      <w:sz w:val="20"/>
      <w:szCs w:val="20"/>
    </w:rPr>
  </w:style>
  <w:style w:type="paragraph" w:styleId="Revision">
    <w:name w:val="Revision"/>
    <w:hidden/>
    <w:uiPriority w:val="99"/>
    <w:semiHidden/>
    <w:rsid w:val="003E20CB"/>
    <w:pPr>
      <w:spacing w:after="0" w:line="240" w:lineRule="auto"/>
    </w:pPr>
  </w:style>
  <w:style w:type="paragraph" w:styleId="Header">
    <w:name w:val="header"/>
    <w:basedOn w:val="Normal"/>
    <w:link w:val="HeaderChar"/>
    <w:uiPriority w:val="99"/>
    <w:unhideWhenUsed/>
    <w:rsid w:val="00026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353"/>
  </w:style>
  <w:style w:type="paragraph" w:styleId="Footer">
    <w:name w:val="footer"/>
    <w:basedOn w:val="Normal"/>
    <w:link w:val="FooterChar"/>
    <w:uiPriority w:val="99"/>
    <w:unhideWhenUsed/>
    <w:rsid w:val="00026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353"/>
  </w:style>
  <w:style w:type="paragraph" w:styleId="BalloonText">
    <w:name w:val="Balloon Text"/>
    <w:basedOn w:val="Normal"/>
    <w:link w:val="BalloonTextChar"/>
    <w:uiPriority w:val="99"/>
    <w:semiHidden/>
    <w:unhideWhenUsed/>
    <w:rsid w:val="001D38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38D7"/>
    <w:rPr>
      <w:rFonts w:ascii="Segoe UI" w:hAnsi="Segoe UI" w:cs="Segoe UI"/>
      <w:sz w:val="18"/>
      <w:szCs w:val="18"/>
    </w:rPr>
  </w:style>
  <w:style w:type="paragraph" w:styleId="FootnoteText">
    <w:name w:val="footnote text"/>
    <w:basedOn w:val="Normal"/>
    <w:link w:val="FootnoteTextChar"/>
    <w:uiPriority w:val="99"/>
    <w:semiHidden/>
    <w:unhideWhenUsed/>
    <w:rsid w:val="006A4A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4AF6"/>
    <w:rPr>
      <w:sz w:val="20"/>
      <w:szCs w:val="20"/>
    </w:rPr>
  </w:style>
  <w:style w:type="character" w:styleId="FootnoteReference">
    <w:name w:val="footnote reference"/>
    <w:basedOn w:val="DefaultParagraphFont"/>
    <w:uiPriority w:val="99"/>
    <w:semiHidden/>
    <w:unhideWhenUsed/>
    <w:rsid w:val="006A4A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80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chart" Target="charts/chart4.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oter" Target="footer1.xml"/><Relationship Id="rId47"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ketchfab.com/ajlieurance" TargetMode="External"/><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chart" Target="charts/chart2.xml"/><Relationship Id="rId40"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 Id="rId48" Type="http://schemas.microsoft.com/office/2016/09/relationships/commentsIds" Target="commentsIds.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chart" Target="charts/chart3.xml"/><Relationship Id="rId20" Type="http://schemas.openxmlformats.org/officeDocument/2006/relationships/image" Target="media/image12.png"/><Relationship Id="rId41" Type="http://schemas.openxmlformats.org/officeDocument/2006/relationships/chart" Target="charts/chart6.xml"/></Relationships>
</file>

<file path=word/_rels/footnotes.xml.rels><?xml version="1.0" encoding="UTF-8" standalone="yes"?>
<Relationships xmlns="http://schemas.openxmlformats.org/package/2006/relationships"><Relationship Id="rId1" Type="http://schemas.openxmlformats.org/officeDocument/2006/relationships/hyperlink" Target="https://www.nlm.nih.gov/research/visible/applications.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Pre-test vs. Post-test Results</a:t>
            </a:r>
          </a:p>
        </c:rich>
      </c:tx>
      <c:overlay val="0"/>
      <c:spPr>
        <a:noFill/>
        <a:ln>
          <a:noFill/>
        </a:ln>
        <a:effectLst/>
      </c:spPr>
    </c:title>
    <c:autoTitleDeleted val="0"/>
    <c:plotArea>
      <c:layout/>
      <c:barChart>
        <c:barDir val="col"/>
        <c:grouping val="clustered"/>
        <c:varyColors val="0"/>
        <c:ser>
          <c:idx val="0"/>
          <c:order val="0"/>
          <c:tx>
            <c:strRef>
              <c:f>Sheet1!$B$8</c:f>
              <c:strCache>
                <c:ptCount val="1"/>
                <c:pt idx="0">
                  <c:v>Pre-test</c:v>
                </c:pt>
              </c:strCache>
            </c:strRef>
          </c:tx>
          <c:spPr>
            <a:solidFill>
              <a:schemeClr val="accent1"/>
            </a:solidFill>
            <a:ln>
              <a:noFill/>
            </a:ln>
            <a:effectLst/>
          </c:spPr>
          <c:invertIfNegative val="0"/>
          <c:cat>
            <c:strRef>
              <c:f>Sheet1!$A$9:$A$10</c:f>
              <c:strCache>
                <c:ptCount val="2"/>
                <c:pt idx="0">
                  <c:v>Medical Student 1</c:v>
                </c:pt>
                <c:pt idx="1">
                  <c:v>Medical Student 2</c:v>
                </c:pt>
              </c:strCache>
            </c:strRef>
          </c:cat>
          <c:val>
            <c:numRef>
              <c:f>Sheet1!$B$9:$B$10</c:f>
              <c:numCache>
                <c:formatCode>General</c:formatCode>
                <c:ptCount val="2"/>
                <c:pt idx="0">
                  <c:v>2</c:v>
                </c:pt>
                <c:pt idx="1">
                  <c:v>3</c:v>
                </c:pt>
              </c:numCache>
            </c:numRef>
          </c:val>
          <c:extLst>
            <c:ext xmlns:c16="http://schemas.microsoft.com/office/drawing/2014/chart" uri="{C3380CC4-5D6E-409C-BE32-E72D297353CC}">
              <c16:uniqueId val="{00000000-702F-4DB1-A3A0-60099C1E9E38}"/>
            </c:ext>
          </c:extLst>
        </c:ser>
        <c:ser>
          <c:idx val="1"/>
          <c:order val="1"/>
          <c:tx>
            <c:strRef>
              <c:f>Sheet1!$C$8</c:f>
              <c:strCache>
                <c:ptCount val="1"/>
                <c:pt idx="0">
                  <c:v>Post-test</c:v>
                </c:pt>
              </c:strCache>
            </c:strRef>
          </c:tx>
          <c:spPr>
            <a:solidFill>
              <a:schemeClr val="bg1">
                <a:lumMod val="85000"/>
              </a:schemeClr>
            </a:solidFill>
            <a:ln>
              <a:noFill/>
            </a:ln>
            <a:effectLst/>
          </c:spPr>
          <c:invertIfNegative val="0"/>
          <c:cat>
            <c:strRef>
              <c:f>Sheet1!$A$9:$A$10</c:f>
              <c:strCache>
                <c:ptCount val="2"/>
                <c:pt idx="0">
                  <c:v>Medical Student 1</c:v>
                </c:pt>
                <c:pt idx="1">
                  <c:v>Medical Student 2</c:v>
                </c:pt>
              </c:strCache>
            </c:strRef>
          </c:cat>
          <c:val>
            <c:numRef>
              <c:f>Sheet1!$C$9:$C$10</c:f>
              <c:numCache>
                <c:formatCode>General</c:formatCode>
                <c:ptCount val="2"/>
                <c:pt idx="0">
                  <c:v>8</c:v>
                </c:pt>
                <c:pt idx="1">
                  <c:v>8</c:v>
                </c:pt>
              </c:numCache>
            </c:numRef>
          </c:val>
          <c:extLst>
            <c:ext xmlns:c16="http://schemas.microsoft.com/office/drawing/2014/chart" uri="{C3380CC4-5D6E-409C-BE32-E72D297353CC}">
              <c16:uniqueId val="{00000001-702F-4DB1-A3A0-60099C1E9E38}"/>
            </c:ext>
          </c:extLst>
        </c:ser>
        <c:dLbls>
          <c:showLegendKey val="0"/>
          <c:showVal val="0"/>
          <c:showCatName val="0"/>
          <c:showSerName val="0"/>
          <c:showPercent val="0"/>
          <c:showBubbleSize val="0"/>
        </c:dLbls>
        <c:gapWidth val="219"/>
        <c:overlap val="-27"/>
        <c:axId val="150503424"/>
        <c:axId val="150505344"/>
      </c:barChart>
      <c:catAx>
        <c:axId val="150503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Participants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505344"/>
        <c:crosses val="autoZero"/>
        <c:auto val="1"/>
        <c:lblAlgn val="ctr"/>
        <c:lblOffset val="100"/>
        <c:noMultiLvlLbl val="0"/>
      </c:catAx>
      <c:valAx>
        <c:axId val="150505344"/>
        <c:scaling>
          <c:orientation val="minMax"/>
          <c:max val="8"/>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Number of carpal bones correctly identified</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50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Frequency of Correct</a:t>
            </a:r>
            <a:r>
              <a:rPr lang="en-CA" baseline="0"/>
              <a:t> Identification of Carpal Bones in Pre-Test and Post-Test</a:t>
            </a:r>
            <a:endParaRPr lang="en-CA"/>
          </a:p>
        </c:rich>
      </c:tx>
      <c:overlay val="0"/>
      <c:spPr>
        <a:noFill/>
        <a:ln>
          <a:noFill/>
        </a:ln>
        <a:effectLst/>
      </c:spPr>
    </c:title>
    <c:autoTitleDeleted val="0"/>
    <c:plotArea>
      <c:layout/>
      <c:barChart>
        <c:barDir val="col"/>
        <c:grouping val="clustered"/>
        <c:varyColors val="0"/>
        <c:ser>
          <c:idx val="0"/>
          <c:order val="0"/>
          <c:tx>
            <c:v>Pre-Test</c:v>
          </c:tx>
          <c:spPr>
            <a:solidFill>
              <a:schemeClr val="accent1"/>
            </a:solidFill>
            <a:ln>
              <a:noFill/>
            </a:ln>
            <a:effectLst/>
          </c:spPr>
          <c:invertIfNegative val="0"/>
          <c:cat>
            <c:strRef>
              <c:f>Sheet1!$A$14:$A$21</c:f>
              <c:strCache>
                <c:ptCount val="8"/>
                <c:pt idx="0">
                  <c:v>Scaphoid</c:v>
                </c:pt>
                <c:pt idx="1">
                  <c:v>Lunate</c:v>
                </c:pt>
                <c:pt idx="2">
                  <c:v>Triquetral</c:v>
                </c:pt>
                <c:pt idx="3">
                  <c:v>Pisiform</c:v>
                </c:pt>
                <c:pt idx="4">
                  <c:v>Trapezium</c:v>
                </c:pt>
                <c:pt idx="5">
                  <c:v>Trapezoid</c:v>
                </c:pt>
                <c:pt idx="6">
                  <c:v>Capitate</c:v>
                </c:pt>
                <c:pt idx="7">
                  <c:v>Hamate</c:v>
                </c:pt>
              </c:strCache>
            </c:strRef>
          </c:cat>
          <c:val>
            <c:numRef>
              <c:f>Sheet1!$B$14:$B$21</c:f>
              <c:numCache>
                <c:formatCode>General</c:formatCode>
                <c:ptCount val="8"/>
                <c:pt idx="0">
                  <c:v>1</c:v>
                </c:pt>
                <c:pt idx="1">
                  <c:v>2</c:v>
                </c:pt>
                <c:pt idx="2">
                  <c:v>0</c:v>
                </c:pt>
                <c:pt idx="3">
                  <c:v>1</c:v>
                </c:pt>
                <c:pt idx="4">
                  <c:v>0</c:v>
                </c:pt>
                <c:pt idx="5">
                  <c:v>0</c:v>
                </c:pt>
                <c:pt idx="6">
                  <c:v>0</c:v>
                </c:pt>
                <c:pt idx="7">
                  <c:v>1</c:v>
                </c:pt>
              </c:numCache>
            </c:numRef>
          </c:val>
          <c:extLst>
            <c:ext xmlns:c16="http://schemas.microsoft.com/office/drawing/2014/chart" uri="{C3380CC4-5D6E-409C-BE32-E72D297353CC}">
              <c16:uniqueId val="{00000000-2A5A-4920-8C12-14E26606C136}"/>
            </c:ext>
          </c:extLst>
        </c:ser>
        <c:ser>
          <c:idx val="1"/>
          <c:order val="1"/>
          <c:tx>
            <c:v>Post-Test</c:v>
          </c:tx>
          <c:spPr>
            <a:solidFill>
              <a:schemeClr val="bg1">
                <a:lumMod val="85000"/>
              </a:schemeClr>
            </a:solidFill>
            <a:ln>
              <a:noFill/>
            </a:ln>
            <a:effectLst/>
          </c:spPr>
          <c:invertIfNegative val="0"/>
          <c:cat>
            <c:strRef>
              <c:f>Sheet1!$A$14:$A$21</c:f>
              <c:strCache>
                <c:ptCount val="8"/>
                <c:pt idx="0">
                  <c:v>Scaphoid</c:v>
                </c:pt>
                <c:pt idx="1">
                  <c:v>Lunate</c:v>
                </c:pt>
                <c:pt idx="2">
                  <c:v>Triquetral</c:v>
                </c:pt>
                <c:pt idx="3">
                  <c:v>Pisiform</c:v>
                </c:pt>
                <c:pt idx="4">
                  <c:v>Trapezium</c:v>
                </c:pt>
                <c:pt idx="5">
                  <c:v>Trapezoid</c:v>
                </c:pt>
                <c:pt idx="6">
                  <c:v>Capitate</c:v>
                </c:pt>
                <c:pt idx="7">
                  <c:v>Hamate</c:v>
                </c:pt>
              </c:strCache>
            </c:strRef>
          </c:cat>
          <c:val>
            <c:numRef>
              <c:f>Sheet1!$C$14:$C$21</c:f>
              <c:numCache>
                <c:formatCode>General</c:formatCode>
                <c:ptCount val="8"/>
                <c:pt idx="0">
                  <c:v>2</c:v>
                </c:pt>
                <c:pt idx="1">
                  <c:v>2</c:v>
                </c:pt>
                <c:pt idx="2">
                  <c:v>2</c:v>
                </c:pt>
                <c:pt idx="3">
                  <c:v>2</c:v>
                </c:pt>
                <c:pt idx="4">
                  <c:v>2</c:v>
                </c:pt>
                <c:pt idx="5">
                  <c:v>2</c:v>
                </c:pt>
                <c:pt idx="6">
                  <c:v>2</c:v>
                </c:pt>
                <c:pt idx="7">
                  <c:v>2</c:v>
                </c:pt>
              </c:numCache>
            </c:numRef>
          </c:val>
          <c:extLst>
            <c:ext xmlns:c16="http://schemas.microsoft.com/office/drawing/2014/chart" uri="{C3380CC4-5D6E-409C-BE32-E72D297353CC}">
              <c16:uniqueId val="{00000001-2A5A-4920-8C12-14E26606C136}"/>
            </c:ext>
          </c:extLst>
        </c:ser>
        <c:dLbls>
          <c:showLegendKey val="0"/>
          <c:showVal val="0"/>
          <c:showCatName val="0"/>
          <c:showSerName val="0"/>
          <c:showPercent val="0"/>
          <c:showBubbleSize val="0"/>
        </c:dLbls>
        <c:gapWidth val="219"/>
        <c:overlap val="-27"/>
        <c:axId val="150516096"/>
        <c:axId val="150518016"/>
      </c:barChart>
      <c:catAx>
        <c:axId val="150516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Carpal Bone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518016"/>
        <c:crosses val="autoZero"/>
        <c:auto val="1"/>
        <c:lblAlgn val="ctr"/>
        <c:lblOffset val="100"/>
        <c:noMultiLvlLbl val="0"/>
      </c:catAx>
      <c:valAx>
        <c:axId val="150518016"/>
        <c:scaling>
          <c:orientation val="minMax"/>
          <c:max val="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Frequency of correct identification of carpal bones</a:t>
                </a:r>
              </a:p>
            </c:rich>
          </c:tx>
          <c:layout>
            <c:manualLayout>
              <c:xMode val="edge"/>
              <c:yMode val="edge"/>
              <c:x val="3.0555555555555555E-2"/>
              <c:y val="0.1489814814814814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51609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Participant Response: Usefulness</a:t>
            </a:r>
            <a:r>
              <a:rPr lang="en-CA" baseline="0"/>
              <a:t> </a:t>
            </a:r>
            <a:endParaRPr lang="en-CA"/>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Sheet1!$F$51:$F$54</c:f>
                <c:numCache>
                  <c:formatCode>General</c:formatCode>
                  <c:ptCount val="4"/>
                  <c:pt idx="0">
                    <c:v>0.47140452079103168</c:v>
                  </c:pt>
                  <c:pt idx="1">
                    <c:v>0.47140452079103168</c:v>
                  </c:pt>
                  <c:pt idx="2">
                    <c:v>0.47140452079103168</c:v>
                  </c:pt>
                  <c:pt idx="3">
                    <c:v>0.81649658092772603</c:v>
                  </c:pt>
                </c:numCache>
              </c:numRef>
            </c:plus>
            <c:minus>
              <c:numRef>
                <c:f>Sheet1!$F$51:$F$54</c:f>
                <c:numCache>
                  <c:formatCode>General</c:formatCode>
                  <c:ptCount val="4"/>
                  <c:pt idx="0">
                    <c:v>0.47140452079103168</c:v>
                  </c:pt>
                  <c:pt idx="1">
                    <c:v>0.47140452079103168</c:v>
                  </c:pt>
                  <c:pt idx="2">
                    <c:v>0.47140452079103168</c:v>
                  </c:pt>
                  <c:pt idx="3">
                    <c:v>0.81649658092772603</c:v>
                  </c:pt>
                </c:numCache>
              </c:numRef>
            </c:minus>
            <c:spPr>
              <a:noFill/>
              <a:ln w="9525" cap="flat" cmpd="sng" algn="ctr">
                <a:solidFill>
                  <a:schemeClr val="tx1">
                    <a:lumMod val="65000"/>
                    <a:lumOff val="35000"/>
                  </a:schemeClr>
                </a:solidFill>
                <a:round/>
              </a:ln>
              <a:effectLst/>
            </c:spPr>
          </c:errBars>
          <c:cat>
            <c:strRef>
              <c:f>Sheet1!$A$51:$A$54</c:f>
              <c:strCache>
                <c:ptCount val="4"/>
                <c:pt idx="0">
                  <c:v>It is useful</c:v>
                </c:pt>
                <c:pt idx="1">
                  <c:v>It does everything I expect It to do</c:v>
                </c:pt>
                <c:pt idx="2">
                  <c:v>It helped me learn about carpal bone anatomy</c:v>
                </c:pt>
                <c:pt idx="3">
                  <c:v>It helped me remember carpal bone anatomy by using etymology</c:v>
                </c:pt>
              </c:strCache>
            </c:strRef>
          </c:cat>
          <c:val>
            <c:numRef>
              <c:f>Sheet1!$E$51:$E$54</c:f>
              <c:numCache>
                <c:formatCode>General</c:formatCode>
                <c:ptCount val="4"/>
                <c:pt idx="0">
                  <c:v>6.666666666666667</c:v>
                </c:pt>
                <c:pt idx="1">
                  <c:v>5.666666666666667</c:v>
                </c:pt>
                <c:pt idx="2">
                  <c:v>6.666666666666667</c:v>
                </c:pt>
                <c:pt idx="3">
                  <c:v>6</c:v>
                </c:pt>
              </c:numCache>
            </c:numRef>
          </c:val>
          <c:extLst>
            <c:ext xmlns:c16="http://schemas.microsoft.com/office/drawing/2014/chart" uri="{C3380CC4-5D6E-409C-BE32-E72D297353CC}">
              <c16:uniqueId val="{00000000-1D33-443E-BFA3-92DDAD6CEEEC}"/>
            </c:ext>
          </c:extLst>
        </c:ser>
        <c:dLbls>
          <c:showLegendKey val="0"/>
          <c:showVal val="0"/>
          <c:showCatName val="0"/>
          <c:showSerName val="0"/>
          <c:showPercent val="0"/>
          <c:showBubbleSize val="0"/>
        </c:dLbls>
        <c:gapWidth val="219"/>
        <c:overlap val="-27"/>
        <c:axId val="150740992"/>
        <c:axId val="150742912"/>
      </c:barChart>
      <c:catAx>
        <c:axId val="150740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Questionnaire Statement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742912"/>
        <c:crosses val="autoZero"/>
        <c:auto val="1"/>
        <c:lblAlgn val="ctr"/>
        <c:lblOffset val="100"/>
        <c:noMultiLvlLbl val="0"/>
      </c:catAx>
      <c:valAx>
        <c:axId val="150742912"/>
        <c:scaling>
          <c:orientation val="minMax"/>
          <c:max val="7"/>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Participant</a:t>
                </a:r>
                <a:r>
                  <a:rPr lang="en-CA" baseline="0"/>
                  <a:t> Results (Mean)</a:t>
                </a:r>
                <a:endParaRPr lang="en-CA"/>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7409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Participant Response: Ease of Use</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Sheet1!$F$67:$F$70</c:f>
                <c:numCache>
                  <c:formatCode>General</c:formatCode>
                  <c:ptCount val="4"/>
                  <c:pt idx="0">
                    <c:v>0.47140452079103168</c:v>
                  </c:pt>
                  <c:pt idx="1">
                    <c:v>0.81649658092772603</c:v>
                  </c:pt>
                  <c:pt idx="2">
                    <c:v>0</c:v>
                  </c:pt>
                  <c:pt idx="3">
                    <c:v>0.47140452079103168</c:v>
                  </c:pt>
                </c:numCache>
              </c:numRef>
            </c:plus>
            <c:minus>
              <c:numRef>
                <c:f>Sheet1!$F$67:$F$70</c:f>
                <c:numCache>
                  <c:formatCode>General</c:formatCode>
                  <c:ptCount val="4"/>
                  <c:pt idx="0">
                    <c:v>0.47140452079103168</c:v>
                  </c:pt>
                  <c:pt idx="1">
                    <c:v>0.81649658092772603</c:v>
                  </c:pt>
                  <c:pt idx="2">
                    <c:v>0</c:v>
                  </c:pt>
                  <c:pt idx="3">
                    <c:v>0.47140452079103168</c:v>
                  </c:pt>
                </c:numCache>
              </c:numRef>
            </c:minus>
            <c:spPr>
              <a:noFill/>
              <a:ln w="9525" cap="flat" cmpd="sng" algn="ctr">
                <a:solidFill>
                  <a:schemeClr val="tx1">
                    <a:lumMod val="65000"/>
                    <a:lumOff val="35000"/>
                  </a:schemeClr>
                </a:solidFill>
                <a:round/>
              </a:ln>
              <a:effectLst/>
            </c:spPr>
          </c:errBars>
          <c:cat>
            <c:strRef>
              <c:f>Sheet1!$A$67:$A$70</c:f>
              <c:strCache>
                <c:ptCount val="4"/>
                <c:pt idx="0">
                  <c:v>It is simple/easy to use</c:v>
                </c:pt>
                <c:pt idx="1">
                  <c:v>It is user-friendly</c:v>
                </c:pt>
                <c:pt idx="2">
                  <c:v>I can use it without the need for help</c:v>
                </c:pt>
                <c:pt idx="3">
                  <c:v>I do not notice any inconsistencies as I use it</c:v>
                </c:pt>
              </c:strCache>
            </c:strRef>
          </c:cat>
          <c:val>
            <c:numRef>
              <c:f>Sheet1!$E$67:$E$70</c:f>
              <c:numCache>
                <c:formatCode>General</c:formatCode>
                <c:ptCount val="4"/>
                <c:pt idx="0">
                  <c:v>6.333333333333333</c:v>
                </c:pt>
                <c:pt idx="1">
                  <c:v>6</c:v>
                </c:pt>
                <c:pt idx="2">
                  <c:v>7</c:v>
                </c:pt>
                <c:pt idx="3">
                  <c:v>6.666666666666667</c:v>
                </c:pt>
              </c:numCache>
            </c:numRef>
          </c:val>
          <c:extLst>
            <c:ext xmlns:c16="http://schemas.microsoft.com/office/drawing/2014/chart" uri="{C3380CC4-5D6E-409C-BE32-E72D297353CC}">
              <c16:uniqueId val="{00000000-110F-480F-9A12-9D51505EE3D3}"/>
            </c:ext>
          </c:extLst>
        </c:ser>
        <c:dLbls>
          <c:showLegendKey val="0"/>
          <c:showVal val="0"/>
          <c:showCatName val="0"/>
          <c:showSerName val="0"/>
          <c:showPercent val="0"/>
          <c:showBubbleSize val="0"/>
        </c:dLbls>
        <c:gapWidth val="219"/>
        <c:overlap val="-27"/>
        <c:axId val="150764544"/>
        <c:axId val="150766720"/>
      </c:barChart>
      <c:catAx>
        <c:axId val="150764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Questionnaire Statement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766720"/>
        <c:crosses val="autoZero"/>
        <c:auto val="1"/>
        <c:lblAlgn val="ctr"/>
        <c:lblOffset val="100"/>
        <c:noMultiLvlLbl val="0"/>
      </c:catAx>
      <c:valAx>
        <c:axId val="150766720"/>
        <c:scaling>
          <c:orientation val="minMax"/>
          <c:max val="7"/>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Participant Results (Mean)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7645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Participant Response: Ease of Learning</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Sheet1!$F$83:$F$85</c:f>
                <c:numCache>
                  <c:formatCode>General</c:formatCode>
                  <c:ptCount val="3"/>
                  <c:pt idx="0">
                    <c:v>0</c:v>
                  </c:pt>
                  <c:pt idx="1">
                    <c:v>0.47140452079103168</c:v>
                  </c:pt>
                  <c:pt idx="2">
                    <c:v>0.47140452079103168</c:v>
                  </c:pt>
                </c:numCache>
              </c:numRef>
            </c:plus>
            <c:minus>
              <c:numRef>
                <c:f>Sheet1!$F$83:$F$85</c:f>
                <c:numCache>
                  <c:formatCode>General</c:formatCode>
                  <c:ptCount val="3"/>
                  <c:pt idx="0">
                    <c:v>0</c:v>
                  </c:pt>
                  <c:pt idx="1">
                    <c:v>0.47140452079103168</c:v>
                  </c:pt>
                  <c:pt idx="2">
                    <c:v>0.47140452079103168</c:v>
                  </c:pt>
                </c:numCache>
              </c:numRef>
            </c:minus>
            <c:spPr>
              <a:noFill/>
              <a:ln w="9525" cap="flat" cmpd="sng" algn="ctr">
                <a:solidFill>
                  <a:schemeClr val="tx1">
                    <a:lumMod val="65000"/>
                    <a:lumOff val="35000"/>
                  </a:schemeClr>
                </a:solidFill>
                <a:round/>
              </a:ln>
              <a:effectLst/>
            </c:spPr>
          </c:errBars>
          <c:cat>
            <c:strRef>
              <c:f>Sheet1!$A$83:$A$85</c:f>
              <c:strCache>
                <c:ptCount val="3"/>
                <c:pt idx="0">
                  <c:v>I learned to use it quickly</c:v>
                </c:pt>
                <c:pt idx="1">
                  <c:v>I easily remember how to use it </c:v>
                </c:pt>
                <c:pt idx="2">
                  <c:v>It is easy to learn to use</c:v>
                </c:pt>
              </c:strCache>
            </c:strRef>
          </c:cat>
          <c:val>
            <c:numRef>
              <c:f>Sheet1!$E$83:$E$85</c:f>
              <c:numCache>
                <c:formatCode>General</c:formatCode>
                <c:ptCount val="3"/>
                <c:pt idx="0">
                  <c:v>7</c:v>
                </c:pt>
                <c:pt idx="1">
                  <c:v>6.666666666666667</c:v>
                </c:pt>
                <c:pt idx="2">
                  <c:v>6.666666666666667</c:v>
                </c:pt>
              </c:numCache>
            </c:numRef>
          </c:val>
          <c:extLst>
            <c:ext xmlns:c16="http://schemas.microsoft.com/office/drawing/2014/chart" uri="{C3380CC4-5D6E-409C-BE32-E72D297353CC}">
              <c16:uniqueId val="{00000000-5595-41C1-9BE4-39AAFE04A765}"/>
            </c:ext>
          </c:extLst>
        </c:ser>
        <c:dLbls>
          <c:showLegendKey val="0"/>
          <c:showVal val="0"/>
          <c:showCatName val="0"/>
          <c:showSerName val="0"/>
          <c:showPercent val="0"/>
          <c:showBubbleSize val="0"/>
        </c:dLbls>
        <c:gapWidth val="219"/>
        <c:overlap val="-27"/>
        <c:axId val="150866176"/>
        <c:axId val="150868352"/>
      </c:barChart>
      <c:catAx>
        <c:axId val="150866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Questionnaire Statement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68352"/>
        <c:crosses val="autoZero"/>
        <c:auto val="1"/>
        <c:lblAlgn val="ctr"/>
        <c:lblOffset val="100"/>
        <c:noMultiLvlLbl val="0"/>
      </c:catAx>
      <c:valAx>
        <c:axId val="150868352"/>
        <c:scaling>
          <c:orientation val="minMax"/>
          <c:max val="7"/>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Participant Results (Mean)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661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Participant Response: Satisfaction</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Sheet1!$F$99:$F$102</c:f>
                <c:numCache>
                  <c:formatCode>General</c:formatCode>
                  <c:ptCount val="4"/>
                  <c:pt idx="0">
                    <c:v>0</c:v>
                  </c:pt>
                  <c:pt idx="1">
                    <c:v>0.47140452079103168</c:v>
                  </c:pt>
                  <c:pt idx="2">
                    <c:v>0.47140452079103168</c:v>
                  </c:pt>
                  <c:pt idx="3">
                    <c:v>0.47140452079103168</c:v>
                  </c:pt>
                </c:numCache>
              </c:numRef>
            </c:plus>
            <c:minus>
              <c:numRef>
                <c:f>Sheet1!$F$99:$F$102</c:f>
                <c:numCache>
                  <c:formatCode>General</c:formatCode>
                  <c:ptCount val="4"/>
                  <c:pt idx="0">
                    <c:v>0</c:v>
                  </c:pt>
                  <c:pt idx="1">
                    <c:v>0.47140452079103168</c:v>
                  </c:pt>
                  <c:pt idx="2">
                    <c:v>0.47140452079103168</c:v>
                  </c:pt>
                  <c:pt idx="3">
                    <c:v>0.47140452079103168</c:v>
                  </c:pt>
                </c:numCache>
              </c:numRef>
            </c:minus>
            <c:spPr>
              <a:noFill/>
              <a:ln w="9525" cap="flat" cmpd="sng" algn="ctr">
                <a:solidFill>
                  <a:schemeClr val="tx1">
                    <a:lumMod val="65000"/>
                    <a:lumOff val="35000"/>
                  </a:schemeClr>
                </a:solidFill>
                <a:round/>
              </a:ln>
              <a:effectLst/>
            </c:spPr>
          </c:errBars>
          <c:cat>
            <c:strRef>
              <c:f>Sheet1!$A$99:$A$102</c:f>
              <c:strCache>
                <c:ptCount val="4"/>
                <c:pt idx="0">
                  <c:v>I am satisfied with it</c:v>
                </c:pt>
                <c:pt idx="1">
                  <c:v>I would recommend it to a friend</c:v>
                </c:pt>
                <c:pt idx="2">
                  <c:v>It is fun to use</c:v>
                </c:pt>
                <c:pt idx="3">
                  <c:v>It has made learning carpal bone anatomy easy and enjoyable </c:v>
                </c:pt>
              </c:strCache>
            </c:strRef>
          </c:cat>
          <c:val>
            <c:numRef>
              <c:f>Sheet1!$E$99:$E$102</c:f>
              <c:numCache>
                <c:formatCode>General</c:formatCode>
                <c:ptCount val="4"/>
                <c:pt idx="0">
                  <c:v>6</c:v>
                </c:pt>
                <c:pt idx="1">
                  <c:v>6.333333333333333</c:v>
                </c:pt>
                <c:pt idx="2">
                  <c:v>6.333333333333333</c:v>
                </c:pt>
                <c:pt idx="3">
                  <c:v>6.666666666666667</c:v>
                </c:pt>
              </c:numCache>
            </c:numRef>
          </c:val>
          <c:extLst>
            <c:ext xmlns:c16="http://schemas.microsoft.com/office/drawing/2014/chart" uri="{C3380CC4-5D6E-409C-BE32-E72D297353CC}">
              <c16:uniqueId val="{00000000-9515-4DE8-92A5-A0D122E0577C}"/>
            </c:ext>
          </c:extLst>
        </c:ser>
        <c:dLbls>
          <c:showLegendKey val="0"/>
          <c:showVal val="0"/>
          <c:showCatName val="0"/>
          <c:showSerName val="0"/>
          <c:showPercent val="0"/>
          <c:showBubbleSize val="0"/>
        </c:dLbls>
        <c:gapWidth val="219"/>
        <c:overlap val="-27"/>
        <c:axId val="150885888"/>
        <c:axId val="150887808"/>
      </c:barChart>
      <c:catAx>
        <c:axId val="15088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Questionnaire Statement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87808"/>
        <c:crosses val="autoZero"/>
        <c:auto val="1"/>
        <c:lblAlgn val="ctr"/>
        <c:lblOffset val="100"/>
        <c:noMultiLvlLbl val="0"/>
      </c:catAx>
      <c:valAx>
        <c:axId val="150887808"/>
        <c:scaling>
          <c:orientation val="minMax"/>
          <c:max val="7"/>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Participant Results (Mean)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85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A298E-6A44-468C-A41C-F7DFFC06B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1197</TotalTime>
  <Pages>35</Pages>
  <Words>19049</Words>
  <Characters>108583</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Kaitlin Nasrala</dc:creator>
  <cp:keywords/>
  <dc:description/>
  <cp:lastModifiedBy>Matt Admin</cp:lastModifiedBy>
  <cp:revision>88</cp:revision>
  <dcterms:created xsi:type="dcterms:W3CDTF">2021-02-10T11:51:00Z</dcterms:created>
  <dcterms:modified xsi:type="dcterms:W3CDTF">2021-10-04T14:50:00Z</dcterms:modified>
</cp:coreProperties>
</file>