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5CF" w:rsidRPr="00CF55CF" w:rsidRDefault="00CF55CF" w:rsidP="00CF55CF">
      <w:pPr>
        <w:rPr>
          <w:b/>
        </w:rPr>
      </w:pPr>
      <w:bookmarkStart w:id="0" w:name="_GoBack"/>
      <w:bookmarkEnd w:id="0"/>
      <w:r w:rsidRPr="00CF55CF">
        <w:rPr>
          <w:b/>
        </w:rPr>
        <w:t xml:space="preserve">Beyond Vicarious Learning: </w:t>
      </w:r>
      <w:r>
        <w:rPr>
          <w:b/>
        </w:rPr>
        <w:t>E</w:t>
      </w:r>
      <w:r w:rsidRPr="00CF55CF">
        <w:rPr>
          <w:b/>
        </w:rPr>
        <w:t xml:space="preserve">mbedding </w:t>
      </w:r>
      <w:r>
        <w:rPr>
          <w:b/>
        </w:rPr>
        <w:t>Dialogic L</w:t>
      </w:r>
      <w:r w:rsidRPr="00CF55CF">
        <w:rPr>
          <w:b/>
        </w:rPr>
        <w:t xml:space="preserve">earning into </w:t>
      </w:r>
      <w:r>
        <w:rPr>
          <w:b/>
        </w:rPr>
        <w:t>E</w:t>
      </w:r>
      <w:r w:rsidRPr="00CF55CF">
        <w:rPr>
          <w:b/>
        </w:rPr>
        <w:t xml:space="preserve">ducational </w:t>
      </w:r>
      <w:r>
        <w:rPr>
          <w:b/>
        </w:rPr>
        <w:t>G</w:t>
      </w:r>
      <w:r w:rsidRPr="00CF55CF">
        <w:rPr>
          <w:b/>
        </w:rPr>
        <w:t>ames</w:t>
      </w:r>
    </w:p>
    <w:p w:rsidR="00CF55CF" w:rsidRDefault="00CF55CF" w:rsidP="00CF55CF">
      <w:r>
        <w:t>Daisy Abbott</w:t>
      </w:r>
    </w:p>
    <w:p w:rsidR="00CF55CF" w:rsidRDefault="00CF55CF" w:rsidP="00CF55CF">
      <w:r>
        <w:t>The Glasgow School of Art, Glasgow, UK</w:t>
      </w:r>
    </w:p>
    <w:p w:rsidR="00CF55CF" w:rsidRDefault="00CF55CF" w:rsidP="00CF55CF">
      <w:hyperlink r:id="rId8" w:history="1">
        <w:r w:rsidRPr="003319EF">
          <w:rPr>
            <w:rStyle w:val="Hyperlink"/>
          </w:rPr>
          <w:t>d.abbott@gsa.ac.uk</w:t>
        </w:r>
      </w:hyperlink>
    </w:p>
    <w:p w:rsidR="00CF55CF" w:rsidRDefault="00CF55CF" w:rsidP="00CF55CF"/>
    <w:p w:rsidR="004C1FC5" w:rsidRPr="002E7869" w:rsidRDefault="00CF55CF" w:rsidP="004C1FC5">
      <w:r w:rsidRPr="00CF55CF">
        <w:rPr>
          <w:b/>
        </w:rPr>
        <w:t>Abstract:</w:t>
      </w:r>
      <w:r>
        <w:t xml:space="preserve"> </w:t>
      </w:r>
      <w:r w:rsidR="004C1FC5">
        <w:t xml:space="preserve">Dialogic learning </w:t>
      </w:r>
      <w:r w:rsidR="0033197E">
        <w:t xml:space="preserve">has a substantial overlap with the characteristics of multi-player game-based learning (GBL). Both dialogic and game-based learning are proposed to be beneficial </w:t>
      </w:r>
      <w:r w:rsidR="001B0F82">
        <w:t>methods</w:t>
      </w:r>
      <w:r w:rsidR="0033197E">
        <w:t xml:space="preserve"> for postgraduate learning contexts with higher order </w:t>
      </w:r>
      <w:r w:rsidR="006656B1">
        <w:t>cognitive and skill-based</w:t>
      </w:r>
      <w:r w:rsidR="0033197E">
        <w:t xml:space="preserve"> outcomes</w:t>
      </w:r>
      <w:r w:rsidR="00495CB1">
        <w:t xml:space="preserve">. Research skills and critical thinking are widely shown to be crucially important but very challenging to deliver effectively. </w:t>
      </w:r>
      <w:r w:rsidR="006656B1">
        <w:t>This</w:t>
      </w:r>
      <w:r w:rsidR="004C1FC5">
        <w:t xml:space="preserve"> paper </w:t>
      </w:r>
      <w:r w:rsidR="00D5321E">
        <w:t>uses</w:t>
      </w:r>
      <w:r w:rsidR="006656B1">
        <w:t xml:space="preserve"> three case studies of existing tabletop games to consider</w:t>
      </w:r>
      <w:r w:rsidR="004C1FC5">
        <w:t xml:space="preserve"> </w:t>
      </w:r>
      <w:r w:rsidR="006656B1">
        <w:t>how</w:t>
      </w:r>
      <w:r w:rsidR="00495CB1">
        <w:t xml:space="preserve"> modification</w:t>
      </w:r>
      <w:r w:rsidR="00C13A5C">
        <w:t xml:space="preserve"> to </w:t>
      </w:r>
      <w:r w:rsidR="001B0F82">
        <w:t>include</w:t>
      </w:r>
      <w:r w:rsidR="00C13A5C">
        <w:t xml:space="preserve"> dialogic learning</w:t>
      </w:r>
      <w:r w:rsidR="006656B1">
        <w:t xml:space="preserve"> can improve learning outcomes</w:t>
      </w:r>
      <w:r w:rsidR="00D5321E">
        <w:t xml:space="preserve"> in a postgraduate context</w:t>
      </w:r>
      <w:r w:rsidR="00C13A5C">
        <w:t>.</w:t>
      </w:r>
      <w:r w:rsidR="004C1FC5">
        <w:t xml:space="preserve"> </w:t>
      </w:r>
      <w:r w:rsidR="006656B1">
        <w:t>Games were analysed using gameplay loops and c</w:t>
      </w:r>
      <w:r w:rsidR="004C1FC5">
        <w:t xml:space="preserve">haracteristics of dialogic games are </w:t>
      </w:r>
      <w:r w:rsidR="001B0F82">
        <w:t>identified</w:t>
      </w:r>
      <w:r w:rsidR="004C1FC5">
        <w:t xml:space="preserve"> with recommendations of specific Learning Mechanic – Game Mechanic </w:t>
      </w:r>
      <w:r w:rsidR="001B0F82">
        <w:t xml:space="preserve">mappings. Learning Mechanics proposed to </w:t>
      </w:r>
      <w:r w:rsidR="00D85D46">
        <w:t>encourage</w:t>
      </w:r>
      <w:r w:rsidR="001B0F82">
        <w:t xml:space="preserve"> dialogue were identified as: Plan</w:t>
      </w:r>
      <w:r w:rsidR="00D85D46">
        <w:t>, An</w:t>
      </w:r>
      <w:r w:rsidR="00D5321E">
        <w:t xml:space="preserve">alyse, Reflect, and Consolidate, </w:t>
      </w:r>
      <w:r w:rsidR="001B0F82">
        <w:t xml:space="preserve">typically associated with </w:t>
      </w:r>
      <w:r w:rsidR="00D85D46">
        <w:t xml:space="preserve">the following Game Mechanics: </w:t>
      </w:r>
      <w:r w:rsidR="001B0F82">
        <w:t>Stategy/Planning, Design/Edit, Match, Measure, and Feedback.</w:t>
      </w:r>
      <w:r w:rsidR="002E7869">
        <w:t xml:space="preserve"> Game Mechanics which may inhibit dialogic learning are Time Pressure, Competition, and Dexterity. </w:t>
      </w:r>
      <w:r w:rsidR="006656B1">
        <w:t>A</w:t>
      </w:r>
      <w:r w:rsidR="00D5321E">
        <w:t>n</w:t>
      </w:r>
      <w:r w:rsidR="006656B1">
        <w:t xml:space="preserve"> interaction model is presented with r</w:t>
      </w:r>
      <w:r w:rsidR="002E7869">
        <w:t xml:space="preserve">ecommendations for </w:t>
      </w:r>
      <w:r w:rsidR="006656B1">
        <w:t xml:space="preserve">dialogic </w:t>
      </w:r>
      <w:r w:rsidR="002E7869">
        <w:t>game design</w:t>
      </w:r>
      <w:r w:rsidR="00D5321E">
        <w:t xml:space="preserve"> which is</w:t>
      </w:r>
      <w:r w:rsidR="002E7869">
        <w:t xml:space="preserve"> </w:t>
      </w:r>
      <w:r w:rsidR="004C1FC5">
        <w:t xml:space="preserve">proposed to increase dialogic learning which </w:t>
      </w:r>
      <w:r w:rsidR="00D5321E">
        <w:t>can</w:t>
      </w:r>
      <w:r w:rsidR="004C1FC5">
        <w:t xml:space="preserve"> increase student ownership, confidence, and consolidation of knowledge.</w:t>
      </w:r>
      <w:r w:rsidR="00D5321E">
        <w:t xml:space="preserve"> This contributes to the current research gap for dialogical interactions within GBL.</w:t>
      </w:r>
    </w:p>
    <w:p w:rsidR="00CF55CF" w:rsidRDefault="00CF55CF" w:rsidP="00CF55CF"/>
    <w:p w:rsidR="00CF55CF" w:rsidRDefault="00CF55CF" w:rsidP="00CF55CF">
      <w:r w:rsidRPr="00CF55CF">
        <w:rPr>
          <w:b/>
        </w:rPr>
        <w:t>Keywords:</w:t>
      </w:r>
      <w:r>
        <w:t xml:space="preserve"> Dialogic learning; game-based learning; pedagogy; serious games; educational games; dialogue</w:t>
      </w:r>
    </w:p>
    <w:p w:rsidR="00CF55CF" w:rsidRDefault="00CF55CF" w:rsidP="00CF55CF"/>
    <w:p w:rsidR="00CF55CF" w:rsidRDefault="00CF55CF" w:rsidP="00CF55CF">
      <w:pPr>
        <w:pStyle w:val="Heading1"/>
      </w:pPr>
      <w:r>
        <w:t>Introduction</w:t>
      </w:r>
    </w:p>
    <w:p w:rsidR="00CA2924" w:rsidRDefault="00CA2924" w:rsidP="00CA2924">
      <w:r>
        <w:t xml:space="preserve">Dialogic learning arises from exposure to (and participation in) multiple, equal perspectives within learning environments and the process of learners actively co-constructing knowledge and meaning </w:t>
      </w:r>
      <w:r>
        <w:fldChar w:fldCharType="begin" w:fldLock="1"/>
      </w:r>
      <w:r>
        <w:instrText>ADDIN CSL_CITATION {"citationItems":[{"id":"ITEM-1","itemData":{"author":[{"dropping-particle":"","family":"Alexander","given":"Robin J","non-dropping-particle":"","parse-names":false,"suffix":""}],"id":"ITEM-1","issued":{"date-parts":[["2008"]]},"publisher":"Dialogos","publisher-place":"York","title":"Towards dialogic teaching: Rethinking classroom talk","type":"book"},"uris":["http://www.mendeley.com/documents/?uuid=d3a568cd-e329-43b3-b4bd-3b6a924399d2"]}],"mendeley":{"formattedCitation":"(Alexander, 2008)","plainTextFormattedCitation":"(Alexander, 2008)","previouslyFormattedCitation":"(Alexander, 2008)"},"properties":{"noteIndex":0},"schema":"https://github.com/citation-style-language/schema/raw/master/csl-citation.json"}</w:instrText>
      </w:r>
      <w:r>
        <w:fldChar w:fldCharType="separate"/>
      </w:r>
      <w:r w:rsidRPr="00BD1C23">
        <w:rPr>
          <w:noProof/>
        </w:rPr>
        <w:t>(Alexander, 2008)</w:t>
      </w:r>
      <w:r>
        <w:fldChar w:fldCharType="end"/>
      </w:r>
      <w:r>
        <w:t xml:space="preserve">. Dialogic learning has been shown to be beneficial across a wide range of learning contexts, however, dialogue and construction of meaning are, naturally, affected by the characteristics of the learning environment </w:t>
      </w:r>
      <w:r>
        <w:fldChar w:fldCharType="begin" w:fldLock="1"/>
      </w:r>
      <w:r>
        <w:instrText>ADDIN CSL_CITATION {"citationItems":[{"id":"ITEM-1","itemData":{"author":[{"dropping-particle":"","family":"Wells","given":"Gordon","non-dropping-particle":"","parse-names":false,"suffix":""}],"id":"ITEM-1","issued":{"date-parts":[["1999"]]},"publisher":"Cambridge University Press","title":"Dialogic inquiry: Towards a socio-cultural practice and theory of education","type":"book"},"uris":["http://www.mendeley.com/documents/?uuid=67ae4ed7-5ca5-49c3-8e7d-177ffc4af561"]}],"mendeley":{"formattedCitation":"(Wells, 1999)","plainTextFormattedCitation":"(Wells, 1999)","previouslyFormattedCitation":"(Wells, 1999)"},"properties":{"noteIndex":0},"schema":"https://github.com/citation-style-language/schema/raw/master/csl-citation.json"}</w:instrText>
      </w:r>
      <w:r>
        <w:fldChar w:fldCharType="separate"/>
      </w:r>
      <w:r w:rsidRPr="00983ADE">
        <w:rPr>
          <w:noProof/>
        </w:rPr>
        <w:t>(Wells, 1999)</w:t>
      </w:r>
      <w:r>
        <w:fldChar w:fldCharType="end"/>
      </w:r>
      <w:r>
        <w:t xml:space="preserve">. </w:t>
      </w:r>
      <w:r w:rsidR="00325005">
        <w:t xml:space="preserve">Multiplayer games and game-based learning (GBL) typically provide characteristics which map directly to those identified as fruitful for dialogic learning. </w:t>
      </w:r>
      <w:r w:rsidR="003B1D40">
        <w:t>Games</w:t>
      </w:r>
      <w:r w:rsidR="00325005">
        <w:t xml:space="preserve"> are: active; collective (co-operative, collaborative, competitive, or a mixture of these); provide reciprocal, dynamic interactions; purposeful/goal directed; and use feedback to cumulatively build towards a goal </w:t>
      </w:r>
      <w:r w:rsidR="00325005">
        <w:fldChar w:fldCharType="begin" w:fldLock="1"/>
      </w:r>
      <w:r w:rsidR="0065242C">
        <w:instrText>ADDIN CSL_CITATION {"citationItems":[{"id":"ITEM-1","itemData":{"author":[{"dropping-particle":"","family":"Alexander","given":"Robin J","non-dropping-particle":"","parse-names":false,"suffix":""}],"id":"ITEM-1","issued":{"date-parts":[["2008"]]},"publisher":"Dialogos","publisher-place":"York","title":"Towards dialogic teaching: Rethinking classroom talk","type":"book"},"locator":"28","prefix":"see ","uris":["http://www.mendeley.com/documents/?uuid=d3a568cd-e329-43b3-b4bd-3b6a924399d2"]},{"id":"ITEM-2","itemData":{"DOI":"10.1007/978-1-4614-3185-5_38","ISBN":"9781461431855","ISSN":"2155-4196","PMID":"43402269","abstract":"&lt;p&gt;In teaching, the use of virtual and augmented reality has been on the rise, exploring different means of interaction and student engagement. Based on constructivist pedagogic principles, augmented reality pretends to provide the learner/user with effective access to information through real-time immersive experiences. Game-based learning is one of the approaches that have received growing interest. This paper presents the development of a game in a teaching and learning context, aiming to help students acquire knowledge in the field of geometry. The game was intended to develop the following competences in primary school learners (8-10 years): a better visualization of geometric objects on a plane and in space; understanding of the properties of geometric solids; and familiarization with the vocabulary of geometry. The authors will show that by using the game students have improved around 35% the hits of correct responses to the classification and differentiation between edge, vertex and face in 3D solids.&lt;/p&gt;","author":[{"dropping-particle":"","family":"Tobias","given":"Sigmund","non-dropping-particle":"","parse-names":false,"suffix":""},{"dropping-particle":"","family":"Fletcher","given":"J. Dexter","non-dropping-particle":"","parse-names":false,"suffix":""},{"dropping-particle":"","family":"Wind","given":"Alexander P.","non-dropping-particle":"","parse-names":false,"suffix":""}],"container-title":"Handbook of Research on Educational Communications and Technology: Fourth Edition","id":"ITEM-2","issued":{"date-parts":[["2014"]]},"title":"Game-based learning","type":"chapter"},"locator":"177","suffix":"for good definitions of the characteristics of dialogic learning and game-based learning respectively","uris":["http://www.mendeley.com/documents/?uuid=53227eb0-1501-3d94-bb4f-28f9bed5dfac"]}],"mendeley":{"formattedCitation":"(see Alexander, 2008, p. 28; Tobias, Fletcher and Wind, 2014, p. 177 for good definitions of the characteristics of dialogic learning and game-based learning respectively)","plainTextFormattedCitation":"(see Alexander, 2008, p. 28; Tobias, Fletcher and Wind, 2014, p. 177 for good definitions of the characteristics of dialogic learning and game-based learning respectively)","previouslyFormattedCitation":"(see Alexander, 2008, p. 28; Tobias, Fletcher and Wind, 2014, p. 177 for good definitions of the characteristics of dialogic learning and game-based learning respectively)"},"properties":{"noteIndex":0},"schema":"https://github.com/citation-style-language/schema/raw/master/csl-citation.json"}</w:instrText>
      </w:r>
      <w:r w:rsidR="00325005">
        <w:fldChar w:fldCharType="separate"/>
      </w:r>
      <w:r w:rsidR="00325005" w:rsidRPr="00325005">
        <w:rPr>
          <w:noProof/>
        </w:rPr>
        <w:t>(see Alexander, 2008, p. 28; Tobias, Fletcher and Wind, 2014, p. 177 for good definitions of the characteristics of dialogic learning and game-based learning respectively)</w:t>
      </w:r>
      <w:r w:rsidR="00325005">
        <w:fldChar w:fldCharType="end"/>
      </w:r>
      <w:r w:rsidR="00325005">
        <w:t xml:space="preserve">. Due to their inherently social </w:t>
      </w:r>
      <w:r w:rsidR="003B3AF9">
        <w:t xml:space="preserve">and </w:t>
      </w:r>
      <w:r w:rsidR="00E81A29">
        <w:t>structured</w:t>
      </w:r>
      <w:r w:rsidR="003B3AF9">
        <w:t xml:space="preserve"> </w:t>
      </w:r>
      <w:r w:rsidR="00325005">
        <w:t xml:space="preserve">nature, </w:t>
      </w:r>
      <w:r w:rsidR="003B3AF9">
        <w:t>non-digital</w:t>
      </w:r>
      <w:r>
        <w:t xml:space="preserve"> tabletop games</w:t>
      </w:r>
      <w:r w:rsidR="00325005">
        <w:t xml:space="preserve"> in particular</w:t>
      </w:r>
      <w:r>
        <w:t xml:space="preserve"> provide a range of opportunities for creati</w:t>
      </w:r>
      <w:r w:rsidR="003B3AF9">
        <w:t>ng dialogue supporting learning. Despite this potential,</w:t>
      </w:r>
      <w:r>
        <w:t xml:space="preserve"> </w:t>
      </w:r>
      <w:r w:rsidR="00325005">
        <w:t xml:space="preserve">dialogical interactions within </w:t>
      </w:r>
      <w:r w:rsidR="00A00768">
        <w:t xml:space="preserve">GBL </w:t>
      </w:r>
      <w:r w:rsidR="00325005">
        <w:t xml:space="preserve">has been identified as a research gap </w:t>
      </w:r>
      <w:r w:rsidR="00325005">
        <w:fldChar w:fldCharType="begin" w:fldLock="1"/>
      </w:r>
      <w:r w:rsidR="00325005">
        <w:instrText>ADDIN CSL_CITATION {"citationItems":[{"id":"ITEM-1","itemData":{"DOI":"10.1163/9789004388826_008","ISBN":"9789004388826","abstract":"In this chapter we introduce an analytic and normative model of how games can be used as part of dialogic teaching and learning practices in the classroom. In our research during the last few years, we have been analysing how students makes sense of computer games in educational contexts. We have also been concerned with design-based research and with implementing games into more complex learning designs. Based on our experiences we wanted to focus more explicitly on teaching and the importance of the teacher in realizing the potentials of game-based learning. We found that more context sensitive models for implementing games into teaching and learning practices were lacking. Our model is grounded in a sociocultural and dialogic approach to meaning making and we discuss important concepts from this theory such as voice, utterance and artifact. We argue that we cannot expect that games themselves have particular effects on pedagogy and learning. On the contrary, the potentials of games needs to be realised in practice. We also contextualize and ground our argument in international research and in our own studies on the use of games in classrooms, and we argue that games can provide teachers with interesting means for creating more active and reflective learning experiences for students in the classroom. Our learning design model emphasize the interrelationship between instructional categories and it represents a model for planning and carrying out teaching with games in classrooms. Having said that, it can also be a useful model for analysing how games work as part of complex learning ecologies.","author":[{"dropping-particle":"","family":"Arnseth","given":"Hans Christian","non-dropping-particle":"","parse-names":false,"suffix":""},{"dropping-particle":"","family":"Silseth","given":"Kenneth","non-dropping-particle":"","parse-names":false,"suffix":""},{"dropping-particle":"","family":"Hanghøj","given":"Thorkild","non-dropping-particle":"","parse-names":false,"suffix":""}],"chapter-number":"7","container-title":"Games and Education: Designs in and for Learning","editor":[{"dropping-particle":"","family":"Arnseth","given":"H. C.","non-dropping-particle":"","parse-names":false,"suffix":""},{"dropping-particle":"","family":"Hanghøj","given":"T.","non-dropping-particle":"","parse-names":false,"suffix":""},{"dropping-particle":"","family":"Henriksen","given":"T.D.","non-dropping-particle":"","parse-names":false,"suffix":""},{"dropping-particle":"","family":"Misfeldt","given":"M.","non-dropping-particle":"","parse-names":false,"suffix":""},{"dropping-particle":"","family":"Ramberg","given":"R.","non-dropping-particle":"","parse-names":false,"suffix":""},{"dropping-particle":"","family":"Selander","given":"S.","non-dropping-particle":"","parse-names":false,"suffix":""}],"id":"ITEM-1","issued":{"date-parts":[["2018"]]},"publisher":"Brill","publisher-place":"Leiden","title":"Games as Tools for Dialogic Teaching and Learning: Outlining a Pedagogical Model for Researching and Designing Game-Based Learning Environments","type":"chapter"},"uris":["http://www.mendeley.com/documents/?uuid=31801107-a2bd-4d8a-a911-fd94f32bab6e"]}],"mendeley":{"formattedCitation":"(Arnseth, Silseth and Hanghøj, 2018)","plainTextFormattedCitation":"(Arnseth, Silseth and Hanghøj, 2018)","previouslyFormattedCitation":"(Arnseth, Silseth and Hanghøj, 2018)"},"properties":{"noteIndex":0},"schema":"https://github.com/citation-style-language/schema/raw/master/csl-citation.json"}</w:instrText>
      </w:r>
      <w:r w:rsidR="00325005">
        <w:fldChar w:fldCharType="separate"/>
      </w:r>
      <w:r w:rsidR="00325005" w:rsidRPr="00325005">
        <w:rPr>
          <w:noProof/>
        </w:rPr>
        <w:t>(Arnseth, Silseth and Hanghøj, 2018)</w:t>
      </w:r>
      <w:r w:rsidR="00325005">
        <w:fldChar w:fldCharType="end"/>
      </w:r>
      <w:r w:rsidR="00E81A29">
        <w:t>. GBL dialogue tends to take place in an unstructured, informal way, or outside the context of the game itself for example in a debrief activity</w:t>
      </w:r>
      <w:r w:rsidR="00325005">
        <w:t>.</w:t>
      </w:r>
      <w:r w:rsidR="00E81A29">
        <w:t xml:space="preserve"> Whilst this is certainly valuable, ‘out game’ dialogue requires further facilitation and the focus on the facilitator may undermine a truly egalitarian dialogue</w:t>
      </w:r>
      <w:r w:rsidR="009D02FB">
        <w:t>. If dialogic learning is embedded into game rules however, it is proposed that it is approached more collectively as part of the active and experiential participation in the game by players.</w:t>
      </w:r>
    </w:p>
    <w:p w:rsidR="00DC1956" w:rsidRDefault="00DC1956" w:rsidP="00CA2924"/>
    <w:p w:rsidR="00DC1956" w:rsidRDefault="00DC1956" w:rsidP="00DC1956">
      <w:r>
        <w:t>One of the learning contexts that seems to particularly benefit from dialogic relationships between teachers and students is postgraduate study, in particular, the teaching and learning of high-level functional outcomes such as research skills</w:t>
      </w:r>
      <w:r w:rsidR="003B1D40">
        <w:t xml:space="preserve"> which combine knowledge with skills to produce the overall competencies required at postgraduate level</w:t>
      </w:r>
      <w:r>
        <w:t xml:space="preserve">. This paper uses three tabletop game case studies to reflect on how an existing serious game designed to teach </w:t>
      </w:r>
      <w:r w:rsidR="00A00768">
        <w:t>a particular research skill</w:t>
      </w:r>
      <w:r>
        <w:t xml:space="preserve"> might be improved by the explicit inclusion of dialogic interactions to foreground multiple perspectives and </w:t>
      </w:r>
      <w:r w:rsidRPr="00C03CF3">
        <w:t xml:space="preserve">complementary knowledge </w:t>
      </w:r>
      <w:r>
        <w:t xml:space="preserve">and to further increase player confidence and ownership over the topic. These theoretical reflections lead to a preliminary proposal for mappings between </w:t>
      </w:r>
      <w:r w:rsidR="00A00768">
        <w:t>Game Mechanics and Learning M</w:t>
      </w:r>
      <w:r>
        <w:t xml:space="preserve">echanics </w:t>
      </w:r>
      <w:r>
        <w:fldChar w:fldCharType="begin" w:fldLock="1"/>
      </w:r>
      <w:r>
        <w:instrText>ADDIN CSL_CITATION {"citationItems":[{"id":"ITEM-1","itemData":{"DOI":"10.1111/bjet.12113","ISBN":"1467-8535","ISSN":"21686750","abstract":"Although there is a consensus on the instructional potential of Serious Games (SGs), there is still a lack of methodologies and tools not only for design but also to support analysis and assessment. Filling this gap is one of the main aims of the Games and Learning Alliance (http://www.galanoe.eu) European Network of Excellence on Serious Games,which has a focus upon pedagogy-driven SGs. This paper relies on the assumption that the fundamental aspect of SG design consists in the translation of learning goals/ practices into mechanical element of gameplay, serving to an instructional purpose beside that of play and fun. This paper proposes the Learning Mechanics–Game Mechanics (LM-GM) model, which supports SG analysis and design by allowing reflec- tion on the various pedagogical and gameelements in an SG.TheLM-GMmodel includes a set of pre-defined game mechanics and pedagogical elements that we have abstracted from literature on game studies and learning theories. Designers and analysts can exploit these mechanics to drawthe LM-GMmap for a game, so as to identify and highlight its main pedagogical and entertainment features, and their interrelations. The tool may also be useful for teachers to evaluate the effectiveness of a given game and better understand how to implement it in educational settings. A case study is reported to illustrate the framework’s support in determining how gameplay and pedagogy intertwine in an SG. Finally, the paper presents the results of two comparative user tests demonstrating the advantages of the proposed model with respect to a similar state-of-the-art framework.","author":[{"dropping-particle":"","family":"Arnab","given":"Sylvester","non-dropping-particle":"","parse-names":false,"suffix":""},{"dropping-particle":"","family":"Lim","given":"Theodore","non-dropping-particle":"","parse-names":false,"suffix":""},{"dropping-particle":"","family":"Carvalho","given":"Maira B.","non-dropping-particle":"","parse-names":false,"suffix":""},{"dropping-particle":"","family":"Bellotti","given":"Francesco","non-dropping-particle":"","parse-names":false,"suffix":""},{"dropping-particle":"de","family":"Freitas","given":"Sara","non-dropping-particle":"","parse-names":false,"suffix":""},{"dropping-particle":"","family":"Louchart","given":"Sandy","non-dropping-particle":"","parse-names":false,"suffix":""},{"dropping-particle":"","family":"Suttie","given":"Neil","non-dropping-particle":"","parse-names":false,"suffix":""},{"dropping-particle":"","family":"Berta","given":"Riccardo","non-dropping-particle":"","parse-names":false,"suffix":""},{"dropping-particle":"","family":"Gloria","given":"Alessandro","non-dropping-particle":"De","parse-names":false,"suffix":""}],"container-title":"British Journal of Educational Technology","id":"ITEM-1","issue":"2","issued":{"date-parts":[["2015"]]},"page":"391-411","title":"Mapping Learning and Game Mechanics for Serious Games Analysis in Engineering Education","type":"article-journal","volume":"46"},"uris":["http://www.mendeley.com/documents/?uuid=62418d02-93ca-4685-90c0-7baff85df4aa"]}],"mendeley":{"formattedCitation":"(Arnab, Lim, Carvalho, Bellotti, Freitas, &lt;i&gt;et al.&lt;/i&gt;, 2015)","plainTextFormattedCitation":"(Arnab, Lim, Carvalho, Bellotti, Freitas, et al., 2015)","previouslyFormattedCitation":"(Arnab, Lim, Carvalho, Bellotti, Freitas, &lt;i&gt;et al.&lt;/i&gt;, 2015)"},"properties":{"noteIndex":0},"schema":"https://github.com/citation-style-language/schema/raw/master/csl-citation.json"}</w:instrText>
      </w:r>
      <w:r>
        <w:fldChar w:fldCharType="separate"/>
      </w:r>
      <w:r w:rsidRPr="009F734E">
        <w:rPr>
          <w:noProof/>
        </w:rPr>
        <w:t xml:space="preserve">(Arnab, Lim, Carvalho, Bellotti, Freitas, </w:t>
      </w:r>
      <w:r w:rsidRPr="009F734E">
        <w:rPr>
          <w:i/>
          <w:noProof/>
        </w:rPr>
        <w:t>et al.</w:t>
      </w:r>
      <w:r w:rsidRPr="009F734E">
        <w:rPr>
          <w:noProof/>
        </w:rPr>
        <w:t>, 2015)</w:t>
      </w:r>
      <w:r>
        <w:fldChar w:fldCharType="end"/>
      </w:r>
      <w:r>
        <w:t xml:space="preserve"> which are likely to lead to fruitful dialogue, and how this dialogue might be managed in terms of both ‘in game’ and ‘out game’ interactions </w:t>
      </w:r>
      <w:r>
        <w:fldChar w:fldCharType="begin" w:fldLock="1"/>
      </w:r>
      <w:r>
        <w:instrText>ADDIN CSL_CITATION {"citationItems":[{"id":"ITEM-1","itemData":{"DOI":"10.1145/3001773.3001791","ISBN":"978-1-4503-4773-0","author":[{"dropping-particle":"","family":"Guardiola","given":"Emmanuel","non-dropping-particle":"","parse-names":false,"suffix":""}],"container-title":"Proceedings of the 13th International Conference on Advances in Computer Entertainment Technology","id":"ITEM-1","issued":{"date-parts":[["2016"]]},"publisher-place":"Osaka","title":"The Gameplay Loop: A Player Activity Model for Game Design and Analysis","type":"paper-conference"},"uris":["http://www.mendeley.com/documents/?uuid=c4d9dbfb-e81e-4f7b-bc59-9a8aad896275"]}],"mendeley":{"formattedCitation":"(Guardiola, 2016)","plainTextFormattedCitation":"(Guardiola, 2016)","previouslyFormattedCitation":"(Guardiola, 2016)"},"properties":{"noteIndex":0},"schema":"https://github.com/citation-style-language/schema/raw/master/csl-citation.json"}</w:instrText>
      </w:r>
      <w:r>
        <w:fldChar w:fldCharType="separate"/>
      </w:r>
      <w:r w:rsidRPr="00D7160B">
        <w:rPr>
          <w:noProof/>
        </w:rPr>
        <w:t>(Guardiola, 2016)</w:t>
      </w:r>
      <w:r>
        <w:fldChar w:fldCharType="end"/>
      </w:r>
      <w:r>
        <w:t>.</w:t>
      </w:r>
    </w:p>
    <w:p w:rsidR="00FF0538" w:rsidRDefault="00FF0538" w:rsidP="00FF0538"/>
    <w:p w:rsidR="00FF0538" w:rsidRDefault="00FF0538" w:rsidP="00FF0538">
      <w:pPr>
        <w:pStyle w:val="Heading1"/>
      </w:pPr>
      <w:r>
        <w:lastRenderedPageBreak/>
        <w:t>Research context</w:t>
      </w:r>
    </w:p>
    <w:p w:rsidR="009B3FD6" w:rsidRPr="003B1D40" w:rsidRDefault="000278AA" w:rsidP="00640A81">
      <w:r>
        <w:t xml:space="preserve">Postgraduate research skills combine knowledge, </w:t>
      </w:r>
      <w:r w:rsidR="009B3FD6">
        <w:t>competencies</w:t>
      </w:r>
      <w:r>
        <w:t>, and aptitudes</w:t>
      </w:r>
      <w:r w:rsidR="009B3FD6">
        <w:t xml:space="preserve"> and therefore require an approach that incorporates both constructivist and experiential pedagogies where knowledge is both embedded and applied to a context relevant to the student. </w:t>
      </w:r>
      <w:r w:rsidR="001A2621">
        <w:t xml:space="preserve">Serious games are widely recognised to have the capability to both train skills and impart knowledge, due to the provision of a ‘safe’ but relevant environment where the student engages directly with </w:t>
      </w:r>
      <w:r w:rsidR="00C9488A">
        <w:t>an experience allowing affective arousal and implicit</w:t>
      </w:r>
      <w:r w:rsidR="001A2621">
        <w:t xml:space="preserve"> </w:t>
      </w:r>
      <w:r w:rsidR="00C9488A">
        <w:t>delivery of</w:t>
      </w:r>
      <w:r w:rsidR="001A2621">
        <w:t xml:space="preserve"> informatio</w:t>
      </w:r>
      <w:r w:rsidR="00C9488A">
        <w:t xml:space="preserve">n through play mechanisms </w:t>
      </w:r>
      <w:r w:rsidR="00C9488A">
        <w:fldChar w:fldCharType="begin" w:fldLock="1"/>
      </w:r>
      <w:r w:rsidR="00A457DF">
        <w:instrText>ADDIN CSL_CITATION {"citationItems":[{"id":"ITEM-1","itemData":{"DOI":"10.14742/ajet.4237","ISSN":"14495554","abstract":"The education of healthcare professionals is critical for the safe delivery of services to patients (Ricciardi &amp; de Paolis, 2014). Postgraduate psychology students undertaking a professional degree encounter a steep learning curve when transitioning from theoretical knowledge to professional practice. This beginning student stage of development is fraught with anxiety and high-stress levels, and has implications for both student and client wellbeing (Skovholt &amp; Ronnestad, 2003). Successful navigation of this phase is critical to psychology graduate competence and employability, with potentially lasting consequences for psychologists' perceptions of self-efficacy and career trajectory (De Stefano et al., 2007; Skovholt &amp; Ronnestad, 2003). Serious games in health provide the potential for safe practice opportunities in an engaging and entertaining manner (Hawn, 2009; Knight et al., 2010). The author developed a serious game with the intention of providing postgraduate professional psychology students with increased and more convenient opportunity to practice psychological competencies. This paper synthesises game design theory into a prototype for educators to provide innovative solutions in a health context. It contributes to the body of research determining the efficacy of games in educational contexts and advances knowledge in the use of simulation pedagogies.","author":[{"dropping-particle":"","family":"McGregor","given":"Gillian","non-dropping-particle":"","parse-names":false,"suffix":""},{"dropping-particle":"","family":"Bartle","given":"Emma","non-dropping-particle":"","parse-names":false,"suffix":""}],"container-title":"Australasian Journal of Educational Technology","id":"ITEM-1","issue":"5","issued":{"date-parts":[["2019"]]},"page":"15-28","title":"The creation and trial of a serious game to support teaching and learning of professional psychology competencies in postgraduate programs","type":"article-journal","volume":"35"},"uris":["http://www.mendeley.com/documents/?uuid=4d816ab2-f904-4d95-ba64-b261fdc1d329"]}],"mendeley":{"formattedCitation":"(McGregor and Bartle, 2019)","plainTextFormattedCitation":"(McGregor and Bartle, 2019)","previouslyFormattedCitation":"(McGregor and Bartle, 2019)"},"properties":{"noteIndex":0},"schema":"https://github.com/citation-style-language/schema/raw/master/csl-citation.json"}</w:instrText>
      </w:r>
      <w:r w:rsidR="00C9488A">
        <w:fldChar w:fldCharType="separate"/>
      </w:r>
      <w:r w:rsidR="00C9488A" w:rsidRPr="00C9488A">
        <w:rPr>
          <w:noProof/>
        </w:rPr>
        <w:t>(McGregor and Bartle, 2019)</w:t>
      </w:r>
      <w:r w:rsidR="00C9488A">
        <w:fldChar w:fldCharType="end"/>
      </w:r>
      <w:r w:rsidR="00C9488A">
        <w:t>, leading to goal-directed learning behaviours.</w:t>
      </w:r>
      <w:r w:rsidR="00640A81">
        <w:t xml:space="preserve"> Huo analyses game mechanics in relation to behavio</w:t>
      </w:r>
      <w:r w:rsidR="00B74B12">
        <w:t>u</w:t>
      </w:r>
      <w:r w:rsidR="00640A81">
        <w:t xml:space="preserve">rism, cognitivism, and constructivism, showing variation across subjects and for differing knowledge structures and intended </w:t>
      </w:r>
      <w:r w:rsidR="00B74B12">
        <w:t xml:space="preserve">knowledge and competency </w:t>
      </w:r>
      <w:r w:rsidR="00640A81">
        <w:t>outcomes</w:t>
      </w:r>
      <w:r w:rsidR="00B74B12">
        <w:t xml:space="preserve"> </w:t>
      </w:r>
      <w:r w:rsidR="00B74B12">
        <w:fldChar w:fldCharType="begin" w:fldLock="1"/>
      </w:r>
      <w:r w:rsidR="00E86A03">
        <w:instrText>ADDIN CSL_CITATION {"citationItems":[{"id":"ITEM-1","itemData":{"DOI":"10.18178/ijiet.2019.9.10.1290","ISSN":"20103689","abstract":"Educational games are gaining recognition and popularity as a novel teaching technology in the recent decade. However, most existing studies on its design either fail to examine game mechanics through the lens of pedagogical theories or address the design variation in games integrating different fields of study. This paper aims to resolve the deficiencies in prior research and shed light on the heuristic of creating effective educational games through a structured, pragmatic, and multidimensional design framework. An empirical study is conducted on 50 representative games stratified based on 5 categories of academic disciplines. A total of 25 game mechanics that promote learning outcomes are identified and analyzed in relation to three schools of learning theories-behaviorism, cognitivism, and constructivism. Finally, the findings in game mechanics, academic disciplines, and learning theories are synthesized to derive a pedagogy-based framework with the intent to help game designers optimize learning efficiency in their games and create a better learning experience for players.","author":[{"dropping-particle":"","family":"Huo","given":"Yunhao","non-dropping-particle":"","parse-names":false,"suffix":""}],"container-title":"International Journal of Information and Education Technology","id":"ITEM-1","issue":"10","issued":{"date-parts":[["2019"]]},"page":"704-709","title":"A pedagogy-based framework for optimizing learning efficiency across multiple disciplines in educational games","type":"article-journal","volume":"9"},"uris":["http://www.mendeley.com/documents/?uuid=25bce9af-e3fd-42da-840b-b5abd590f16d"]}],"mendeley":{"formattedCitation":"(Huo, 2019)","plainTextFormattedCitation":"(Huo, 2019)","previouslyFormattedCitation":"(Huo, 2019)"},"properties":{"noteIndex":0},"schema":"https://github.com/citation-style-language/schema/raw/master/csl-citation.json"}</w:instrText>
      </w:r>
      <w:r w:rsidR="00B74B12">
        <w:fldChar w:fldCharType="separate"/>
      </w:r>
      <w:r w:rsidR="00B74B12" w:rsidRPr="00B74B12">
        <w:rPr>
          <w:noProof/>
        </w:rPr>
        <w:t>(Huo, 2019)</w:t>
      </w:r>
      <w:r w:rsidR="00B74B12">
        <w:fldChar w:fldCharType="end"/>
      </w:r>
      <w:r w:rsidR="00B74B12">
        <w:t xml:space="preserve"> showing how games can enhance both knowledge and competencies.</w:t>
      </w:r>
      <w:r w:rsidR="00C9488A">
        <w:t xml:space="preserve"> </w:t>
      </w:r>
      <w:r w:rsidR="00746CBF">
        <w:t xml:space="preserve">It has been shown that dialogue helps to improve this tacit knowledge arising from serious games as students are encouraged to review and exchange knowledge with one another </w:t>
      </w:r>
      <w:r w:rsidR="00746CBF">
        <w:fldChar w:fldCharType="begin" w:fldLock="1"/>
      </w:r>
      <w:r w:rsidR="00746CBF">
        <w:instrText>ADDIN CSL_CITATION {"citationItems":[{"id":"ITEM-1","itemData":{"DOI":"10.21125/inted.2019.0578","author":[{"dropping-particle":"","family":"Camilleri","given":"Mark Anthony","non-dropping-particle":"","parse-names":false,"suffix":""},{"dropping-particle":"","family":"Camilleri","given":"Adriana Caterina","non-dropping-particle":"","parse-names":false,"suffix":""}],"container-title":"13th Annual International Technology, Education and Development Conference Proceedings","id":"ITEM-1","issued":{"date-parts":[["2019"]]},"page":"2043-2052","publisher":"International Academy of Technology, Education and Development (IATED)","publisher-place":"Valecia","title":"Student-Centred Learning Through Serious Games","type":"paper-conference","volume":"1"},"prefix":"e.g. ","uris":["http://www.mendeley.com/documents/?uuid=f6c700fe-9b88-4d18-8491-742fc1f6267f"]}],"mendeley":{"formattedCitation":"(e.g. Camilleri and Camilleri, 2019)","plainTextFormattedCitation":"(e.g. Camilleri and Camilleri, 2019)","previouslyFormattedCitation":"(e.g. Camilleri and Camilleri, 2019)"},"properties":{"noteIndex":0},"schema":"https://github.com/citation-style-language/schema/raw/master/csl-citation.json"}</w:instrText>
      </w:r>
      <w:r w:rsidR="00746CBF">
        <w:fldChar w:fldCharType="separate"/>
      </w:r>
      <w:r w:rsidR="00746CBF" w:rsidRPr="009B3FD6">
        <w:rPr>
          <w:noProof/>
        </w:rPr>
        <w:t>(e.g. Camilleri and Camilleri, 2019)</w:t>
      </w:r>
      <w:r w:rsidR="00746CBF">
        <w:fldChar w:fldCharType="end"/>
      </w:r>
      <w:r w:rsidR="00746CBF">
        <w:t xml:space="preserve"> and of course is a core element games which encourage co-construction of knowledge and teamwork for collaborative problem-solving </w:t>
      </w:r>
      <w:r w:rsidR="00746CBF">
        <w:fldChar w:fldCharType="begin" w:fldLock="1"/>
      </w:r>
      <w:r w:rsidR="00746CBF">
        <w:instrText>ADDIN CSL_CITATION {"citationItems":[{"id":"ITEM-1","itemData":{"DOI":"10.1016/j.compedu.2019.103672","ISSN":"03601315","abstract":"Collaborative problem solving (CPS) is an essential skill in the 21st century. There is a need for an appropriate framework and operationalization of CPS to guide its assessment and support and across multiple domains. Accordingly, we synthesized prior research on CPS to construct a generalized CPS competency model (i.e., skills and abilities) consisting of the following core facets: constructing shared knowledge, negotiation/coordination, and maintaining team function. Each facet has two sub-facets, which in turn, have multiple verbal and nonverbal indicators. We validated our model in two empirical studies involving triadic CPS, but in very different contexts – middle-school students playing an educational game in a 3-h, face-to-face session vs. college students engaging in a visual programming task for 20 min via videoconferencing. We used principal component analysis to investigate whether the empirical data aligned with our theorized model. Correlational analyses provided evidence on the orthogonality of the facets and their independence to individual differences in prior knowledge, intelligence and personality and regression analyses indicated that the facets predicted both subjective and objective outcome measures controlling for several covariates. Thus we provide initial evidence for the convergent, discriminant, and predictive validity of our model by using two different CPS contexts and student populations. This shows promise towards generalizing across various human-human CPS interactive environments.","author":[{"dropping-particle":"","family":"Sun","given":"Chen","non-dropping-particle":"","parse-names":false,"suffix":""},{"dropping-particle":"","family":"Shute","given":"Valerie J.","non-dropping-particle":"","parse-names":false,"suffix":""},{"dropping-particle":"","family":"Stewart","given":"Angela","non-dropping-particle":"","parse-names":false,"suffix":""},{"dropping-particle":"","family":"Yonehiro","given":"Jade","non-dropping-particle":"","parse-names":false,"suffix":""},{"dropping-particle":"","family":"Duran","given":"Nicholas","non-dropping-particle":"","parse-names":false,"suffix":""},{"dropping-particle":"","family":"D'Mello","given":"Sidney","non-dropping-particle":"","parse-names":false,"suffix":""}],"container-title":"Computers and Education","id":"ITEM-1","issue":"October 2018","issued":{"date-parts":[["2020"]]},"page":"103672","publisher":"Elsevier","title":"Towards a generalized competency model of collaborative problem solving","type":"article-journal","volume":"143"},"uris":["http://www.mendeley.com/documents/?uuid=32eb114a-d4d4-4501-a10b-a4de91bc0851"]},{"id":"ITEM-2","itemData":{"ISBN":"9781733673600","abstract":"Collaborative problem-solving (CPS) as a key competency required in the 21st century. There has been an increasing need to understand CPS since it involves not only cognitive but also social processes, and thus its process is difficult to examine. Recent research has highlighted that computer-based learning environments provide an opportunity for students to collaborate with others to solve scientific problems and facilitate their knowledge building process, which can be dynamically tracked within the systems. However, limited research has attempted to identify CPS process captured in the computer-based learning environments designed for supporting CPS. This study therefore aimed to investigate students' CPS process in a serious game, Alien Rescue, by analyzing a student's daily tool use action sequence generated in the game. First, we computed a daily gameplay action similarity among students in a group using a similarity coefficient, Jaccard (Jac). Each group's Jac coefficients over the entire gameplay period (i.e. six days over three weeks) were considered as the group action similarity trajectory. The Jac coefficient of each day was entered as a single feature (i.e. a total of six features) to conduct a KmL cluster analysis that clusters longitudinal data. Three clusters of groups with similar behavior traits (i.e. group action similarity trajectories) were identified. The groups' background information (e.g. solution scores, knowledge gain scores) further provided how the groups' CPS traits can be related to their learning performance.","author":[{"dropping-particle":"","family":"Kang","given":"Jina","non-dropping-particle":"","parse-names":false,"suffix":""},{"dropping-particle":"","family":"An","given":"Dongwook","non-dropping-particle":"","parse-names":false,"suffix":""},{"dropping-particle":"","family":"Yan","given":"Lili","non-dropping-particle":"","parse-names":false,"suffix":""},{"dropping-particle":"","family":"Liu","given":"Min","non-dropping-particle":"","parse-names":false,"suffix":""}],"container-title":"EDM 2019 - Proceedings of the 12th International Conference on Educational Data Mining","id":"ITEM-2","issue":"Edm","issued":{"date-parts":[["2019"]]},"page":"336-341","title":"Collaborative problem-solving process in a science serious game: Exploring group action similarity trajectory","type":"paper-conference"},"uris":["http://www.mendeley.com/documents/?uuid=c329d584-3280-4ba2-86e6-d8ccc5bee344"]}],"mendeley":{"formattedCitation":"(Kang &lt;i&gt;et al.&lt;/i&gt;, 2019; Sun &lt;i&gt;et al.&lt;/i&gt;, 2020)","plainTextFormattedCitation":"(Kang et al., 2019; Sun et al., 2020)","previouslyFormattedCitation":"(Kang &lt;i&gt;et al.&lt;/i&gt;, 2019; Sun &lt;i&gt;et al.&lt;/i&gt;, 2020)"},"properties":{"noteIndex":0},"schema":"https://github.com/citation-style-language/schema/raw/master/csl-citation.json"}</w:instrText>
      </w:r>
      <w:r w:rsidR="00746CBF">
        <w:fldChar w:fldCharType="separate"/>
      </w:r>
      <w:r w:rsidR="00746CBF" w:rsidRPr="00A457DF">
        <w:rPr>
          <w:noProof/>
        </w:rPr>
        <w:t xml:space="preserve">(Kang </w:t>
      </w:r>
      <w:r w:rsidR="00746CBF" w:rsidRPr="00A457DF">
        <w:rPr>
          <w:i/>
          <w:noProof/>
        </w:rPr>
        <w:t>et al.</w:t>
      </w:r>
      <w:r w:rsidR="00746CBF" w:rsidRPr="00A457DF">
        <w:rPr>
          <w:noProof/>
        </w:rPr>
        <w:t xml:space="preserve">, 2019; Sun </w:t>
      </w:r>
      <w:r w:rsidR="00746CBF" w:rsidRPr="00A457DF">
        <w:rPr>
          <w:i/>
          <w:noProof/>
        </w:rPr>
        <w:t>et al.</w:t>
      </w:r>
      <w:r w:rsidR="00746CBF" w:rsidRPr="00A457DF">
        <w:rPr>
          <w:noProof/>
        </w:rPr>
        <w:t>, 2020)</w:t>
      </w:r>
      <w:r w:rsidR="00746CBF">
        <w:fldChar w:fldCharType="end"/>
      </w:r>
      <w:r w:rsidR="00746CBF">
        <w:t>. This combination of pedagogic approaches to combine knowledge and skills can be seen in various games for specific educational purposes (particularly where skill training is very resource intensive e.g. clinical applications) but as is seen below, has not yet been applied in dialogic academic research skills training.</w:t>
      </w:r>
    </w:p>
    <w:p w:rsidR="00FF0538" w:rsidRDefault="00016F51" w:rsidP="00BD1C23">
      <w:pPr>
        <w:pStyle w:val="Heading2"/>
      </w:pPr>
      <w:r>
        <w:t>The c</w:t>
      </w:r>
      <w:r w:rsidR="00FF0538">
        <w:t>hallenges of teaching research skills</w:t>
      </w:r>
    </w:p>
    <w:p w:rsidR="00016F51" w:rsidRDefault="00445514" w:rsidP="007C2953">
      <w:r>
        <w:t xml:space="preserve">It is widely accepted across the literature that critical thinking and research skills are essential capabilities for students to master in order to progress both in their studies and in the workplace. This is borne out by the prevalence of courses within programmes of study, devoted solely to developing students’ higher order thinking. However, the effectiveness of these courses and motivation of students undertaking them has been shown to be </w:t>
      </w:r>
      <w:r w:rsidR="00213204">
        <w:t xml:space="preserve">commonly </w:t>
      </w:r>
      <w:r>
        <w:t>problematic</w:t>
      </w:r>
      <w:r w:rsidR="00345074">
        <w:t xml:space="preserve"> </w:t>
      </w:r>
      <w:r w:rsidR="00345074">
        <w:fldChar w:fldCharType="begin" w:fldLock="1"/>
      </w:r>
      <w:r w:rsidR="00E126DF">
        <w:instrText>ADDIN CSL_CITATION {"citationItems":[{"id":"ITEM-1","itemData":{"DOI":"10.1080/13562517.2013.860105","ISSN":"13562517","abstract":"The purpose of this research synthesis is to examine the current research on teaching and learning research methods. The aims are to understand the themes present in the current literature and identify gaps in our understanding of how we teach, and how students learn, research methods. A synthesis of 89 studies generated three themes: (1) characteristics of students taking a research methods course, (2) teaching methods and techniques, and (3) content and course goals. Gaps identified include a lack of research on assessment and on what and how students learn in research methods courses. The majority of studies reviewed were teacher reports of attempted teaching strategies so that an additional need exists for other types of research into the teaching and learning of research methods such as case studies of students' learning or experimental studies of assessment techniques. Suggestions for instructors and future research are considered. © 2013 © 2013 Taylor &amp; Francis.","author":[{"dropping-particle":"","family":"Earley","given":"Mark A.","non-dropping-particle":"","parse-names":false,"suffix":""}],"container-title":"Teaching in Higher Education","id":"ITEM-1","issue":"3","issued":{"date-parts":[["2014"]]},"page":"242-253","publisher":"Taylor &amp; Francis","title":"A synthesis of the literature on research methods education","type":"article-journal","volume":"19"},"uris":["http://www.mendeley.com/documents/?uuid=74969926-d844-4636-bec1-57afd898280c"]}],"mendeley":{"formattedCitation":"(Earley, 2014)","plainTextFormattedCitation":"(Earley, 2014)","previouslyFormattedCitation":"(Earley, 2014)"},"properties":{"noteIndex":0},"schema":"https://github.com/citation-style-language/schema/raw/master/csl-citation.json"}</w:instrText>
      </w:r>
      <w:r w:rsidR="00345074">
        <w:fldChar w:fldCharType="separate"/>
      </w:r>
      <w:r w:rsidR="00345074" w:rsidRPr="00345074">
        <w:rPr>
          <w:noProof/>
        </w:rPr>
        <w:t>(Earley, 2014)</w:t>
      </w:r>
      <w:r w:rsidR="00345074">
        <w:fldChar w:fldCharType="end"/>
      </w:r>
      <w:r>
        <w:t>.</w:t>
      </w:r>
      <w:r w:rsidR="00C72E75">
        <w:t xml:space="preserve"> According to one study focussing on research methods teaching, “Students consistently underperform and give low ratings in [research methods] module evaluations” </w:t>
      </w:r>
      <w:r w:rsidR="00C72E75">
        <w:fldChar w:fldCharType="begin" w:fldLock="1"/>
      </w:r>
      <w:r w:rsidR="00C72E75">
        <w:instrText>ADDIN CSL_CITATION {"citationItems":[{"id":"ITEM-1","itemData":{"DOI":"https://doi.org/10.1111/1467-9256.12020","abstract":"Student dissatisfaction with undergraduate research methods courses in politics and international relations is common across the sector. We suggest that methods teaching suffers from an unhealthy disassociation between research in theory – which we call ‘method acting’ – and research in practice. Our critical interviews with eminent researchers expose the compromises professional researchers make when designing their research. Students appreciate these insights when combined with first-hand research opportunities. We call this approach a ‘reality show’. Our analysis based on survey data and students' evaluations of our approach suggests that these aids can provide an effective resource to improve teaching and learning of research methods.","author":[{"dropping-particle":"","family":"Ryan","given":"Matt","non-dropping-particle":"","parse-names":false,"suffix":""},{"dropping-particle":"","family":"Saunders","given":"Clare","non-dropping-particle":"","parse-names":false,"suffix":""},{"dropping-particle":"","family":"Rainsford","given":"Emily","non-dropping-particle":"","parse-names":false,"suffix":""},{"dropping-particle":"","family":"Thompson","given":"Emma","non-dropping-particle":"","parse-names":false,"suffix":""}],"container-title":"Politics","id":"ITEM-1","issue":"1","issued":{"date-parts":[["2014"]]},"page":"85-97","title":"Improving Research Methods Teaching and Learning in Politics and International Relations: A ‘Reality Show’ Approach","type":"article-journal","volume":"34"},"locator":"88","uris":["http://www.mendeley.com/documents/?uuid=c07c76d6-34bd-46a1-bc24-e19cf403386d"]}],"mendeley":{"formattedCitation":"(Ryan &lt;i&gt;et al.&lt;/i&gt;, 2014, p. 88)","plainTextFormattedCitation":"(Ryan et al., 2014, p. 88)","previouslyFormattedCitation":"(Ryan &lt;i&gt;et al.&lt;/i&gt;, 2014, p. 88)"},"properties":{"noteIndex":0},"schema":"https://github.com/citation-style-language/schema/raw/master/csl-citation.json"}</w:instrText>
      </w:r>
      <w:r w:rsidR="00C72E75">
        <w:fldChar w:fldCharType="separate"/>
      </w:r>
      <w:r w:rsidR="00C72E75" w:rsidRPr="00C72E75">
        <w:rPr>
          <w:noProof/>
        </w:rPr>
        <w:t xml:space="preserve">(Ryan </w:t>
      </w:r>
      <w:r w:rsidR="00C72E75" w:rsidRPr="00C72E75">
        <w:rPr>
          <w:i/>
          <w:noProof/>
        </w:rPr>
        <w:t>et al.</w:t>
      </w:r>
      <w:r w:rsidR="00C72E75" w:rsidRPr="00C72E75">
        <w:rPr>
          <w:noProof/>
        </w:rPr>
        <w:t>, 2014, p. 88)</w:t>
      </w:r>
      <w:r w:rsidR="00C72E75">
        <w:fldChar w:fldCharType="end"/>
      </w:r>
      <w:r w:rsidR="00C72E75">
        <w:t xml:space="preserve"> and students struggle to link academic research skills with their need and desire to undertake practical problem-solving in a real world context (ibid.) </w:t>
      </w:r>
      <w:r w:rsidR="003251D1">
        <w:t>Another study bluntly presents the research methods course as “</w:t>
      </w:r>
      <w:r w:rsidR="003251D1" w:rsidRPr="003251D1">
        <w:t>one that instructors hate to teach and students hate to take</w:t>
      </w:r>
      <w:r w:rsidR="003251D1">
        <w:t xml:space="preserve">” </w:t>
      </w:r>
      <w:r w:rsidR="003251D1">
        <w:fldChar w:fldCharType="begin" w:fldLock="1"/>
      </w:r>
      <w:r w:rsidR="003251D1">
        <w:instrText>ADDIN CSL_CITATION {"citationItems":[{"id":"ITEM-1","itemData":{"DOI":"10.1080/15512169.2017.1331137","ISSN":"15512177","abstract":"In terms of gamification within political science, some fields—particularly international relations and American politics—have received more attention than others. One of the most underserved parts of the discipline is research methods; a course that, coincidentally, is frequently cited as one that instructors hate to teach and students hate to take. Given the well-documented merits of games in promoting student engagement and the key role of methods as a building block to student understanding of political science, this article attempts to rectify this oversight by introducing three games—Zendo, Murder Mystery, and the Archeologist’s Quandary— geared at teaching key concepts and approaches in research methods.","author":[{"dropping-particle":"","family":"Kollars","given":"Nina","non-dropping-particle":"","parse-names":false,"suffix":""},{"dropping-particle":"","family":"Rosen","given":"Amanda M.","non-dropping-particle":"","parse-names":false,"suffix":""}],"container-title":"Journal of Political Science Education","id":"ITEM-1","issue":"3","issued":{"date-parts":[["2017"]]},"page":"333-345","publisher":"Taylor &amp; Francis","title":"Who’s Afraid of the Big Bad Methods? Methodological Games and Role Play","type":"article-journal","volume":"13"},"locator":"333","uris":["http://www.mendeley.com/documents/?uuid=5709c2fc-2820-434d-a236-c3cc00bfc098"]}],"mendeley":{"formattedCitation":"(Kollars and Rosen, 2017, p. 333)","plainTextFormattedCitation":"(Kollars and Rosen, 2017, p. 333)","previouslyFormattedCitation":"(Kollars and Rosen, 2017, p. 333)"},"properties":{"noteIndex":0},"schema":"https://github.com/citation-style-language/schema/raw/master/csl-citation.json"}</w:instrText>
      </w:r>
      <w:r w:rsidR="003251D1">
        <w:fldChar w:fldCharType="separate"/>
      </w:r>
      <w:r w:rsidR="003251D1" w:rsidRPr="003251D1">
        <w:rPr>
          <w:noProof/>
        </w:rPr>
        <w:t>(Kollars and Rosen, 2017, p. 333)</w:t>
      </w:r>
      <w:r w:rsidR="003251D1">
        <w:fldChar w:fldCharType="end"/>
      </w:r>
      <w:r w:rsidR="003251D1">
        <w:t xml:space="preserve">. </w:t>
      </w:r>
      <w:r w:rsidR="00754D38">
        <w:t>O</w:t>
      </w:r>
      <w:r w:rsidR="00C72E75">
        <w:t xml:space="preserve">ther studies also note the difficulty of linking research skills courses to workplace contexts and a student perception of irrelevance, leading to a lack of motivation and engagement with learning content </w:t>
      </w:r>
      <w:r w:rsidR="00754D38">
        <w:fldChar w:fldCharType="begin" w:fldLock="1"/>
      </w:r>
      <w:r w:rsidR="007719A7">
        <w:instrText>ADDIN CSL_CITATION {"citationItems":[{"id":"ITEM-1","itemData":{"DOI":"10.1080/07294360600947426","abstract":"This paper explores motivational factors underpinning undergraduates’ learning of research skills through individual research projects with collaborative tutorials. Research has long pointed to group support, positive affect and scaffolding as important for motivating and facilitating learning. Furthermore, UK government priorities have placed an increasing emphasis on the need to develop the key skills of inquiry and working with others. However, this is set in a context of assessment and practice in higher education that encourages individualist and instrumental perspectives on gaining competencies and knowledge. Traditionally undergraduate research skills have been taught through lectures and small‐scale projects chosen by the students with individual tutorial support in a faculty of education. Here our action research introduced collaborative tutorials as another element of teaching. We examine the process of collaboration to explore factors that support motivation to learn through two principal theoretical frameworks.","author":[{"dropping-particle":"","family":"Waite","given":"Sue","non-dropping-particle":"","parse-names":false,"suffix":""},{"dropping-particle":"","family":"Davis","given":"Bernie","non-dropping-particle":"","parse-names":false,"suffix":""}],"container-title":"Higher Education Research and Development","id":"ITEM-1","issue":"4","issued":{"date-parts":[["2006"]]},"page":"403-419","title":"Developing undergraduate research skills in a faculty of education : motivation through collaboration","type":"article-journal","volume":"25"},"locator":"406","prefix":"for example: ","uris":["http://www.mendeley.com/documents/?uuid=dba625f8-c046-4cf7-8edc-29ccc5309450"]},{"id":"ITEM-2","itemData":{"author":[{"dropping-particle":"","family":"Kirton","given":"Andrew","non-dropping-particle":"","parse-names":false,"suffix":""},{"dropping-particle":"","family":"Campbell","given":"Peter","non-dropping-particle":"","parse-names":false,"suffix":""},{"dropping-particle":"","family":"Hardwick","given":"Louise","non-dropping-particle":"","parse-names":false,"suffix":""}],"id":"ITEM-2","issued":{"date-parts":[["2013"]]},"publisher-place":"Liverpool","title":"Developing applied research skills through collaboration in extra-academic contexts: HEA Social Sciences strategic project 2012 -13 Teaching research methods in the Social Sciences","type":"report"},"uris":["http://www.mendeley.com/documents/?uuid=900486a6-ca52-4861-b9da-9eec60105c3a"]},{"id":"ITEM-3","itemData":{"DOI":"10.1021/acs.jchemed.6b00600","ISSN":"19381328","abstract":"This study describes a new module design for teaching research skills to analytical chemists based on the use of a student-led, in-class experiment involving coffee. The module was redesigned in response to feedback from students, and aims to give them the skills they need to be productive in future research projects both within the institution and beyond. Over the course of 10 weeks, postgraduate MSc students at the University of Glasgow design, carry out, and write up an experiment to determine the effect of pH on the perceived taste of coffee. The module is structured to introduce students to key concepts in research such as experimental design, health and safety, ethics, and bias, which the students incorporate into their final experimental protocol. Evaluations of the module for the 2015-16 academic year were positive, and questionnaire data on the participants' self-efficacy with certain research tasks showed an overall increase across the range of skills covered during the module.","author":[{"dropping-particle":"","family":"Hamnett","given":"Hilary J.","non-dropping-particle":"","parse-names":false,"suffix":""},{"dropping-particle":"","family":"Korb","given":"Ann Sophie","non-dropping-particle":"","parse-names":false,"suffix":""}],"container-title":"Journal of Chemical Education","id":"ITEM-3","issue":"4","issued":{"date-parts":[["2017"]]},"page":"445-450","title":"The Coffee Project Revisited: Teaching Research Skills to Forensic Chemists","type":"article-journal","volume":"94"},"locator":"449","uris":["http://www.mendeley.com/documents/?uuid=6042198f-5d03-42b0-a244-a3a6df8afb89"]}],"mendeley":{"formattedCitation":"(for example: Waite and Davis, 2006, p. 406; Kirton, Campbell and Hardwick, 2013; Hamnett and Korb, 2017, p. 449)","plainTextFormattedCitation":"(for example: Waite and Davis, 2006, p. 406; Kirton, Campbell and Hardwick, 2013; Hamnett and Korb, 2017, p. 449)","previouslyFormattedCitation":"(for example: Waite and Davis, 2006, p. 406; Kirton, Campbell and Hardwick, 2013; Hamnett and Korb, 2017, p. 449)"},"properties":{"noteIndex":0},"schema":"https://github.com/citation-style-language/schema/raw/master/csl-citation.json"}</w:instrText>
      </w:r>
      <w:r w:rsidR="00754D38">
        <w:fldChar w:fldCharType="separate"/>
      </w:r>
      <w:r w:rsidR="009E60DC" w:rsidRPr="009E60DC">
        <w:rPr>
          <w:noProof/>
        </w:rPr>
        <w:t>(for example: Waite and Davis, 2006, p. 406; Kirton, Campbell and Hardwick, 2013; Hamnett and Korb, 2017, p. 449)</w:t>
      </w:r>
      <w:r w:rsidR="00754D38">
        <w:fldChar w:fldCharType="end"/>
      </w:r>
      <w:r w:rsidR="004B0FB1">
        <w:t>. This issue is particularly relevant to the postgraduate context where students are increasingly expected to swiftly develop and practise higher order thinking skills and undertake independent research as part of their programme of study. The transition from undergraduate to postgraduate academic contexts has been noted to present particular challenges</w:t>
      </w:r>
      <w:r w:rsidR="007719A7">
        <w:t xml:space="preserve"> </w:t>
      </w:r>
      <w:r w:rsidR="007719A7">
        <w:fldChar w:fldCharType="begin" w:fldLock="1"/>
      </w:r>
      <w:r w:rsidR="00074421">
        <w:instrText>ADDIN CSL_CITATION {"citationItems":[{"id":"ITEM-1","itemData":{"DOI":"10.1177/1469787408100193","ISSN":"14697874","abstract":"This article explores transition to postgraduate (PG) study in terms of the widening participation (WP) agenda. The research is located within a Communities of Practice framework, allowing for explanations of transition in terms of learning, identity and participation in practices. A qualitative ethnographic methodology is employed, and analysis reveals two themes: the heterogeneity of PG students, and the nature of PG teaching and learning. It is argued that the imperatives that the WP agenda generates are as compatible with PG as with undergraduate study, and that this may have been overlooked previously owing to assumptions of the homogeneity of postgraduates. However, students' experiences of academic practices do not always reflect the dogma of how teaching and learning should occur at PG level, and this may prevent full participation in PG study by those who might otherwise be included. © 2009 Sage Publications.","author":[{"dropping-particle":"","family":"O'Donnell","given":"Victoria L.","non-dropping-particle":"","parse-names":false,"suffix":""},{"dropping-particle":"","family":"Tobbell","given":"Jane","non-dropping-particle":"","parse-names":false,"suffix":""},{"dropping-particle":"","family":"Lawthom","given":"Rebecca","non-dropping-particle":"","parse-names":false,"suffix":""},{"dropping-particle":"","family":"Zammit","given":"Maria","non-dropping-particle":"","parse-names":false,"suffix":""}],"container-title":"Active Learning in Higher Education","id":"ITEM-1","issue":"1","issued":{"date-parts":[["2009"]]},"page":"26-40","title":"Transition to postgraduate study: Practice, participation and the widening participation agenda","type":"article-journal","volume":"10"},"locator":"35-37","uris":["http://www.mendeley.com/documents/?uuid=9f631020-376a-4b6e-ae56-4b2f9e2e7d64"]},{"id":"ITEM-2","itemData":{"author":[{"dropping-particle":"","family":"Burgess","given":"Hilary","non-dropping-particle":"","parse-names":false,"suffix":""},{"dropping-particle":"","family":"Smith","given":"Joan","non-dropping-particle":"","parse-names":false,"suffix":""},{"dropping-particle":"","family":"Wood","given":"Phil","non-dropping-particle":"","parse-names":false,"suffix":""}],"id":"ITEM-2","issued":{"date-parts":[["2013"]]},"publisher-place":"Leicester","title":"Developing peer assessment in postgraduate research methods training: HEA Social Sciences strategic project 2012 -13 Teaching research methods in the Social Sciences","type":"report"},"locator":"4","uris":["http://www.mendeley.com/documents/?uuid=58f4569b-d7fb-444f-85aa-ae7ca66d46ec"]}],"mendeley":{"formattedCitation":"(O’Donnell &lt;i&gt;et al.&lt;/i&gt;, 2009, pp. 35–37; Burgess, Smith and Wood, 2013, p. 4)","plainTextFormattedCitation":"(O’Donnell et al., 2009, pp. 35–37; Burgess, Smith and Wood, 2013, p. 4)","previouslyFormattedCitation":"(O’Donnell &lt;i&gt;et al.&lt;/i&gt;, 2009, pp. 35–37; Burgess, Smith and Wood, 2013, p. 4)"},"properties":{"noteIndex":0},"schema":"https://github.com/citation-style-language/schema/raw/master/csl-citation.json"}</w:instrText>
      </w:r>
      <w:r w:rsidR="007719A7">
        <w:fldChar w:fldCharType="separate"/>
      </w:r>
      <w:r w:rsidR="00074421" w:rsidRPr="00074421">
        <w:rPr>
          <w:noProof/>
        </w:rPr>
        <w:t xml:space="preserve">(O’Donnell </w:t>
      </w:r>
      <w:r w:rsidR="00074421" w:rsidRPr="00074421">
        <w:rPr>
          <w:i/>
          <w:noProof/>
        </w:rPr>
        <w:t>et al.</w:t>
      </w:r>
      <w:r w:rsidR="00074421" w:rsidRPr="00074421">
        <w:rPr>
          <w:noProof/>
        </w:rPr>
        <w:t>, 2009, pp. 35–37; Burgess, Smith and Wood, 2013, p. 4)</w:t>
      </w:r>
      <w:r w:rsidR="007719A7">
        <w:fldChar w:fldCharType="end"/>
      </w:r>
      <w:r w:rsidR="00074421">
        <w:t xml:space="preserve">. </w:t>
      </w:r>
      <w:r w:rsidR="00A00768">
        <w:t>Across various disciplines, a</w:t>
      </w:r>
      <w:r w:rsidR="00074421">
        <w:t xml:space="preserve"> range of responses by teachers can be seen which aim to increase active learning and constructivist pedagogies with overall positive results for both increased cognition and engagement in students </w:t>
      </w:r>
      <w:r w:rsidR="00074421">
        <w:fldChar w:fldCharType="begin" w:fldLock="1"/>
      </w:r>
      <w:r w:rsidR="003251D1">
        <w:instrText>ADDIN CSL_CITATION {"citationItems":[{"id":"ITEM-1","itemData":{"DOI":"10.5539/ass.v10n19p271","ISSN":"19112025","abstract":"Identifying a research problem is the most challenging aspect in teaching research skills at the postgraduate level. This action research project aimed to identify a suitable intervention to help students identify research problem in education setting and help them to write a sound research problem statement for their project. The study involves 51 postgraduate students in a research methodology course. The intervention was designed based on student-centered activities that include the use of metacognitive strategies through cooperative learning, online learning and interactive learning activities. This paper reported the findings of the first cycle of the study. The findings showed students improvement in identifying research problems in education setting and able to identify important elements in writing a research problem statement. It can be concluded that active learning approach using metacognitive strategies able to improve students’ skills in planning, monitoring and evaluating the process of identifying a research problem and writing the problem statement of their research project.","author":[{"dropping-particle":"","family":"Rahman","given":"Saemah","non-dropping-particle":"","parse-names":false,"suffix":""},{"dropping-particle":"","family":"Yasin","given":"Ruhizan M.","non-dropping-particle":"","parse-names":false,"suffix":""},{"dropping-particle":"","family":"Salamuddin","given":"Norlena","non-dropping-particle":"","parse-names":false,"suffix":""},{"dropping-particle":"","family":"Surat","given":"Shahlan","non-dropping-particle":"","parse-names":false,"suffix":""}],"container-title":"Asian Social Science","id":"ITEM-1","issue":"19","issued":{"date-parts":[["2014"]]},"page":"271-275","title":"The use of metacognitive strategies to develop research skills among postgraduate students","type":"article-journal","volume":"10"},"uris":["http://www.mendeley.com/documents/?uuid=1fbad078-b6c9-4025-9c14-ab7cbbf9f675"]},{"id":"ITEM-2","itemData":{"DOI":"10.1177/2373379917719729","ISSN":"2373-3799","abstract":" Mind mapping is a brainstorming technique that allows users to deconstruct complex topics by creating a graphical representation of constituent subtopics and related themes. The aim of this article is to illustrate how the mind mapping technique was used to assist undergraduate health education students in developing topic ideas for a descriptive research study. Each fall semester since 2008, a mind mapping activity was used in an introductory undergraduate health research methods course to provide health education students with a structured activity aimed at the identification of a researchable health topic and the selection of a specific aspect of that topic that warrants further study. After the construction of the mind map, students developed structured research questions and a list of key search terms that served as the foundation for a review of the literature and the development of a questionnaire for a descriptive research study. To illustrate this instructional strategy, three example mind maps are provided with detailed commentary. Discussion includes suggestions on how instructors could scaffold the mind mapping activity with individual feedback and collaborative learning to enhance critical thinking. ","author":[{"dropping-particle":"","family":"Kernan","given":"William D.","non-dropping-particle":"","parse-names":false,"suffix":""},{"dropping-particle":"","family":"Basch","given":"Corey H.","non-dropping-particle":"","parse-names":false,"suffix":""},{"dropping-particle":"","family":"Cadorett","given":"Valerie","non-dropping-particle":"","parse-names":false,"suffix":""}],"container-title":"Pedagogy in Health Promotion","id":"ITEM-2","issue":"2","issued":{"date-parts":[["2018"]]},"page":"101-107","title":"Using Mind Mapping to Identify Research Topics: A Lesson for Teaching Research Methods","type":"article-journal","volume":"4"},"uris":["http://www.mendeley.com/documents/?uuid=24759248-61c0-4174-9607-bc81eac669d1"]},{"id":"ITEM-3","itemData":{"DOI":"10.1021/acs.jchemed.6b00600","ISSN":"19381328","abstract":"This study describes a new module design for teaching research skills to analytical chemists based on the use of a student-led, in-class experiment involving coffee. The module was redesigned in response to feedback from students, and aims to give them the skills they need to be productive in future research projects both within the institution and beyond. Over the course of 10 weeks, postgraduate MSc students at the University of Glasgow design, carry out, and write up an experiment to determine the effect of pH on the perceived taste of coffee. The module is structured to introduce students to key concepts in research such as experimental design, health and safety, ethics, and bias, which the students incorporate into their final experimental protocol. Evaluations of the module for the 2015-16 academic year were positive, and questionnaire data on the participants' self-efficacy with certain research tasks showed an overall increase across the range of skills covered during the module.","author":[{"dropping-particle":"","family":"Hamnett","given":"Hilary J.","non-dropping-particle":"","parse-names":false,"suffix":""},{"dropping-particle":"","family":"Korb","given":"Ann Sophie","non-dropping-particle":"","parse-names":false,"suffix":""}],"container-title":"Journal of Chemical Education","id":"ITEM-3","issue":"4","issued":{"date-parts":[["2017"]]},"page":"445-450","title":"The Coffee Project Revisited: Teaching Research Skills to Forensic Chemists","type":"article-journal","volume":"94"},"uris":["http://www.mendeley.com/documents/?uuid=6042198f-5d03-42b0-a244-a3a6df8afb89"]},{"id":"ITEM-4","itemData":{"author":[{"dropping-particle":"","family":"Kirton","given":"Andrew","non-dropping-particle":"","parse-names":false,"suffix":""},{"dropping-particle":"","family":"Campbell","given":"Peter","non-dropping-particle":"","parse-names":false,"suffix":""},{"dropping-particle":"","family":"Hardwick","given":"Louise","non-dropping-particle":"","parse-names":false,"suffix":""}],"id":"ITEM-4","issued":{"date-parts":[["2013"]]},"publisher-place":"Liverpool","title":"Developing applied research skills through collaboration in extra-academic contexts: HEA Social Sciences strategic project 2012 -13 Teaching research methods in the Social Sciences","type":"report"},"uris":["http://www.mendeley.com/documents/?uuid=900486a6-ca52-4861-b9da-9eec60105c3a"]},{"id":"ITEM-5","itemData":{"DOI":"https://doi.org/10.1111/1467-9256.12020","abstract":"Student dissatisfaction with undergraduate research methods courses in politics and international relations is common across the sector. We suggest that methods teaching suffers from an unhealthy disassociation between research in theory – which we call ‘method acting’ – and research in practice. Our critical interviews with eminent researchers expose the compromises professional researchers make when designing their research. Students appreciate these insights when combined with first-hand research opportunities. We call this approach a ‘reality show’. Our analysis based on survey data and students' evaluations of our approach suggests that these aids can provide an effective resource to improve teaching and learning of research methods.","author":[{"dropping-particle":"","family":"Ryan","given":"Matt","non-dropping-particle":"","parse-names":false,"suffix":""},{"dropping-particle":"","family":"Saunders","given":"Clare","non-dropping-particle":"","parse-names":false,"suffix":""},{"dropping-particle":"","family":"Rainsford","given":"Emily","non-dropping-particle":"","parse-names":false,"suffix":""},{"dropping-particle":"","family":"Thompson","given":"Emma","non-dropping-particle":"","parse-names":false,"suffix":""}],"container-title":"Politics","id":"ITEM-5","issue":"1","issued":{"date-parts":[["2014"]]},"page":"85-97","title":"Improving Research Methods Teaching and Learning in Politics and International Relations: A ‘Reality Show’ Approach","type":"article-journal","volume":"34"},"uris":["http://www.mendeley.com/documents/?uuid=c07c76d6-34bd-46a1-bc24-e19cf403386d"]},{"id":"ITEM-6","itemData":{"author":[{"dropping-particle":"","family":"Burgess","given":"Hilary","non-dropping-particle":"","parse-names":false,"suffix":""},{"dropping-particle":"","family":"Smith","given":"Joan","non-dropping-particle":"","parse-names":false,"suffix":""},{"dropping-particle":"","family":"Wood","given":"Phil","non-dropping-particle":"","parse-names":false,"suffix":""}],"id":"ITEM-6","issued":{"date-parts":[["2013"]]},"publisher-place":"Leicester","title":"Developing peer assessment in postgraduate research methods training: HEA Social Sciences strategic project 2012 -13 Teaching research methods in the Social Sciences","type":"report"},"uris":["http://www.mendeley.com/documents/?uuid=58f4569b-d7fb-444f-85aa-ae7ca66d46ec"]},{"id":"ITEM-7","itemData":{"DOI":"10.1080/15512169.2017.1331137","ISSN":"15512177","abstract":"In terms of gamification within political science, some fields—particularly international relations and American politics—have received more attention than others. One of the most underserved parts of the discipline is research methods; a course that, coincidentally, is frequently cited as one that instructors hate to teach and students hate to take. Given the well-documented merits of games in promoting student engagement and the key role of methods as a building block to student understanding of political science, this article attempts to rectify this oversight by introducing three games—Zendo, Murder Mystery, and the Archeologist’s Quandary— geared at teaching key concepts and approaches in research methods.","author":[{"dropping-particle":"","family":"Kollars","given":"Nina","non-dropping-particle":"","parse-names":false,"suffix":""},{"dropping-particle":"","family":"Rosen","given":"Amanda M.","non-dropping-particle":"","parse-names":false,"suffix":""}],"container-title":"Journal of Political Science Education","id":"ITEM-7","issue":"3","issued":{"date-parts":[["2017"]]},"page":"333-345","publisher":"Taylor &amp; Francis","title":"Who’s Afraid of the Big Bad Methods? Methodological Games and Role Play","type":"article-journal","volume":"13"},"uris":["http://www.mendeley.com/documents/?uuid=5709c2fc-2820-434d-a236-c3cc00bfc098"]}],"mendeley":{"formattedCitation":"(Burgess, Smith and Wood, 2013; Kirton, Campbell and Hardwick, 2013; Rahman &lt;i&gt;et al.&lt;/i&gt;, 2014; Ryan &lt;i&gt;et al.&lt;/i&gt;, 2014; Hamnett and Korb, 2017; Kollars and Rosen, 2017; Kernan, Basch and Cadorett, 2018)","plainTextFormattedCitation":"(Burgess, Smith and Wood, 2013; Kirton, Campbell and Hardwick, 2013; Rahman et al., 2014; Ryan et al., 2014; Hamnett and Korb, 2017; Kollars and Rosen, 2017; Kernan, Basch and Cadorett, 2018)","previouslyFormattedCitation":"(Burgess, Smith and Wood, 2013; Kirton, Campbell and Hardwick, 2013; Rahman &lt;i&gt;et al.&lt;/i&gt;, 2014; Ryan &lt;i&gt;et al.&lt;/i&gt;, 2014; Hamnett and Korb, 2017; Kollars and Rosen, 2017; Kernan, Basch and Cadorett, 2018)"},"properties":{"noteIndex":0},"schema":"https://github.com/citation-style-language/schema/raw/master/csl-citation.json"}</w:instrText>
      </w:r>
      <w:r w:rsidR="00074421">
        <w:fldChar w:fldCharType="separate"/>
      </w:r>
      <w:r w:rsidR="003251D1" w:rsidRPr="003251D1">
        <w:rPr>
          <w:noProof/>
        </w:rPr>
        <w:t xml:space="preserve">(Burgess, Smith and Wood, 2013; Kirton, Campbell and Hardwick, 2013; Rahman </w:t>
      </w:r>
      <w:r w:rsidR="003251D1" w:rsidRPr="003251D1">
        <w:rPr>
          <w:i/>
          <w:noProof/>
        </w:rPr>
        <w:t>et al.</w:t>
      </w:r>
      <w:r w:rsidR="003251D1" w:rsidRPr="003251D1">
        <w:rPr>
          <w:noProof/>
        </w:rPr>
        <w:t xml:space="preserve">, 2014; Ryan </w:t>
      </w:r>
      <w:r w:rsidR="003251D1" w:rsidRPr="003251D1">
        <w:rPr>
          <w:i/>
          <w:noProof/>
        </w:rPr>
        <w:t>et al.</w:t>
      </w:r>
      <w:r w:rsidR="003251D1" w:rsidRPr="003251D1">
        <w:rPr>
          <w:noProof/>
        </w:rPr>
        <w:t>, 2014; Hamnett and Korb, 2017; Kollars and Rosen, 2017; Kernan, Basch and Cadorett, 2018)</w:t>
      </w:r>
      <w:r w:rsidR="00074421">
        <w:fldChar w:fldCharType="end"/>
      </w:r>
      <w:r w:rsidR="00016F51">
        <w:t xml:space="preserve">. </w:t>
      </w:r>
      <w:r w:rsidR="003251D1">
        <w:t xml:space="preserve">This is in line with the main recommendation from a </w:t>
      </w:r>
      <w:r w:rsidR="007C2953">
        <w:t xml:space="preserve">2014 </w:t>
      </w:r>
      <w:r w:rsidR="007C2953" w:rsidRPr="007C2953">
        <w:t>synthesis of the literature on research methods education</w:t>
      </w:r>
      <w:r w:rsidR="007C2953">
        <w:t xml:space="preserve"> that “teachers need to use active learning approaches to teaching the course in a way that provides hands-on exposure to research methods” </w:t>
      </w:r>
      <w:r w:rsidR="007C2953">
        <w:fldChar w:fldCharType="begin" w:fldLock="1"/>
      </w:r>
      <w:r w:rsidR="00345074">
        <w:instrText>ADDIN CSL_CITATION {"citationItems":[{"id":"ITEM-1","itemData":{"DOI":"10.1080/13562517.2013.860105","ISSN":"13562517","abstract":"The purpose of this research synthesis is to examine the current research on teaching and learning research methods. The aims are to understand the themes present in the current literature and identify gaps in our understanding of how we teach, and how students learn, research methods. A synthesis of 89 studies generated three themes: (1) characteristics of students taking a research methods course, (2) teaching methods and techniques, and (3) content and course goals. Gaps identified include a lack of research on assessment and on what and how students learn in research methods courses. The majority of studies reviewed were teacher reports of attempted teaching strategies so that an additional need exists for other types of research into the teaching and learning of research methods such as case studies of students' learning or experimental studies of assessment techniques. Suggestions for instructors and future research are considered. © 2013 © 2013 Taylor &amp; Francis.","author":[{"dropping-particle":"","family":"Earley","given":"Mark A.","non-dropping-particle":"","parse-names":false,"suffix":""}],"container-title":"Teaching in Higher Education","id":"ITEM-1","issue":"3","issued":{"date-parts":[["2014"]]},"page":"242-253","publisher":"Taylor &amp; Francis","title":"A synthesis of the literature on research methods education","type":"article-journal","volume":"19"},"uris":["http://www.mendeley.com/documents/?uuid=74969926-d844-4636-bec1-57afd898280c"]}],"mendeley":{"formattedCitation":"(Earley, 2014)","plainTextFormattedCitation":"(Earley, 2014)","previouslyFormattedCitation":"(Earley, 2014)"},"properties":{"noteIndex":0},"schema":"https://github.com/citation-style-language/schema/raw/master/csl-citation.json"}</w:instrText>
      </w:r>
      <w:r w:rsidR="007C2953">
        <w:fldChar w:fldCharType="separate"/>
      </w:r>
      <w:r w:rsidR="007C2953" w:rsidRPr="007C2953">
        <w:rPr>
          <w:noProof/>
        </w:rPr>
        <w:t>(Earley, 2014)</w:t>
      </w:r>
      <w:r w:rsidR="007C2953">
        <w:fldChar w:fldCharType="end"/>
      </w:r>
      <w:r w:rsidR="007C2953">
        <w:t>.</w:t>
      </w:r>
    </w:p>
    <w:p w:rsidR="00016F51" w:rsidRDefault="00016F51" w:rsidP="00074421"/>
    <w:p w:rsidR="00016F51" w:rsidRDefault="00016F51" w:rsidP="00074421">
      <w:r>
        <w:t xml:space="preserve">Increasingly, teachers </w:t>
      </w:r>
      <w:r w:rsidR="00654CB8">
        <w:t xml:space="preserve">in Higher Education </w:t>
      </w:r>
      <w:r>
        <w:t xml:space="preserve">are considering the potential of game-based learning </w:t>
      </w:r>
      <w:r w:rsidR="00654CB8">
        <w:t xml:space="preserve">(GBL) </w:t>
      </w:r>
      <w:r>
        <w:t xml:space="preserve">to deliver constructivist approaches in the teaching and learning of research skills. </w:t>
      </w:r>
      <w:r w:rsidR="00E126DF">
        <w:t>A strong case for “</w:t>
      </w:r>
      <w:r w:rsidR="00E126DF" w:rsidRPr="00E126DF">
        <w:t>the potential of games to alleviate the anxiety and lack of motivation methods students report</w:t>
      </w:r>
      <w:r w:rsidR="00E126DF">
        <w:t>” is made by Kollars &amp; Rosen who draw on a wide range of literature to suggest “</w:t>
      </w:r>
      <w:r w:rsidR="00E126DF" w:rsidRPr="00E126DF">
        <w:t>that games can help mitigate some of the problems of the standard research method course</w:t>
      </w:r>
      <w:r w:rsidR="00E126DF">
        <w:t xml:space="preserve">” </w:t>
      </w:r>
      <w:r w:rsidR="00E126DF">
        <w:fldChar w:fldCharType="begin" w:fldLock="1"/>
      </w:r>
      <w:r w:rsidR="00A22A4B">
        <w:instrText>ADDIN CSL_CITATION {"citationItems":[{"id":"ITEM-1","itemData":{"DOI":"10.1080/15512169.2017.1331137","ISSN":"15512177","abstract":"In terms of gamification within political science, some fields—particularly international relations and American politics—have received more attention than others. One of the most underserved parts of the discipline is research methods; a course that, coincidentally, is frequently cited as one that instructors hate to teach and students hate to take. Given the well-documented merits of games in promoting student engagement and the key role of methods as a building block to student understanding of political science, this article attempts to rectify this oversight by introducing three games—Zendo, Murder Mystery, and the Archeologist’s Quandary— geared at teaching key concepts and approaches in research methods.","author":[{"dropping-particle":"","family":"Kollars","given":"Nina","non-dropping-particle":"","parse-names":false,"suffix":""},{"dropping-particle":"","family":"Rosen","given":"Amanda M.","non-dropping-particle":"","parse-names":false,"suffix":""}],"container-title":"Journal of Political Science Education","id":"ITEM-1","issue":"3","issued":{"date-parts":[["2017"]]},"page":"333-345","publisher":"Taylor &amp; Francis","title":"Who’s Afraid of the Big Bad Methods? Methodological Games and Role Play","type":"article-journal","volume":"13"},"locator":"335","uris":["http://www.mendeley.com/documents/?uuid=5709c2fc-2820-434d-a236-c3cc00bfc098"]}],"mendeley":{"formattedCitation":"(Kollars and Rosen, 2017, p. 335)","plainTextFormattedCitation":"(Kollars and Rosen, 2017, p. 335)","previouslyFormattedCitation":"(Kollars and Rosen, 2017, p. 335)"},"properties":{"noteIndex":0},"schema":"https://github.com/citation-style-language/schema/raw/master/csl-citation.json"}</w:instrText>
      </w:r>
      <w:r w:rsidR="00E126DF">
        <w:fldChar w:fldCharType="separate"/>
      </w:r>
      <w:r w:rsidR="00E126DF" w:rsidRPr="00E126DF">
        <w:rPr>
          <w:noProof/>
        </w:rPr>
        <w:t>(Kollars and Rosen, 2017, p. 335)</w:t>
      </w:r>
      <w:r w:rsidR="00E126DF">
        <w:fldChar w:fldCharType="end"/>
      </w:r>
      <w:r w:rsidR="00E126DF">
        <w:t xml:space="preserve">. </w:t>
      </w:r>
      <w:r>
        <w:t xml:space="preserve">Despite the barriers for Higher Education implementations of this method noted by Whitton &amp; Moseley </w:t>
      </w:r>
      <w:r>
        <w:fldChar w:fldCharType="begin" w:fldLock="1"/>
      </w:r>
      <w:r w:rsidR="009258B1">
        <w:instrText>ADDIN CSL_CITATION {"citationItems":[{"id":"ITEM-1","itemData":{"editor":[{"dropping-particle":"","family":"Whitton","given":"Nicola","non-dropping-particle":"","parse-names":false,"suffix":""},{"dropping-particle":"","family":"Moseley","given":"Alex","non-dropping-particle":"","parse-names":false,"suffix":""}],"id":"ITEM-1","issued":{"date-parts":[["2012"]]},"publisher":"Routledge","publisher-place":"London","title":"Using games to enhance learning and teaching: A beginner’s guide.","type":"book"},"suppress-author":1,"uris":["http://www.mendeley.com/documents/?uuid=8cbe956d-c4da-44a1-b7f9-d23c3e6b21bb"]}],"mendeley":{"formattedCitation":"(2012)","plainTextFormattedCitation":"(2012)","previouslyFormattedCitation":"(2012)"},"properties":{"noteIndex":0},"schema":"https://github.com/citation-style-language/schema/raw/master/csl-citation.json"}</w:instrText>
      </w:r>
      <w:r>
        <w:fldChar w:fldCharType="separate"/>
      </w:r>
      <w:r w:rsidRPr="00016F51">
        <w:rPr>
          <w:noProof/>
        </w:rPr>
        <w:t>(2012)</w:t>
      </w:r>
      <w:r>
        <w:fldChar w:fldCharType="end"/>
      </w:r>
      <w:r w:rsidR="00654CB8">
        <w:t>, a variety of research is emerging which uses GBL to contribute to the learning and teaching of critic</w:t>
      </w:r>
      <w:r w:rsidR="00903AD9">
        <w:t xml:space="preserve">al thinking, </w:t>
      </w:r>
      <w:r w:rsidR="009258B1">
        <w:t>research skills</w:t>
      </w:r>
      <w:r w:rsidR="00903AD9">
        <w:t>, and graduate attributes</w:t>
      </w:r>
      <w:r w:rsidR="009258B1">
        <w:t xml:space="preserve"> </w:t>
      </w:r>
      <w:r w:rsidR="009258B1">
        <w:fldChar w:fldCharType="begin" w:fldLock="1"/>
      </w:r>
      <w:r w:rsidR="007C2953">
        <w:instrText>ADDIN CSL_CITATION {"citationItems":[{"id":"ITEM-1","itemData":{"DOI":"10.4236/ce.2019.101003","ISSN":"2151-4755","abstract":"Research-teaching nexus framework assists teachers to support activities which are focused on the current research in the disciplines promoting discussions and skills development. The challenges for teachers are related to student research skills development, knowledge application across contexts and student experience on statistics. The aim of this investigation was to compare student views following two approaches: one which integrated technology and one which did not into the teaching delivery process. Forty first-year Psychology students were split into two groups (A and B) and followed both teaching approaches in a different attending order (one approach without the use of technology and another one with technology or vice versa). (Game-based) student response systems (PollEveryWhere and Kahoot) were integrated into the teaching process, whilst the learning content was the same for both cases. Students evaluated the two approaches by completing two online surveys with items relating to research-teaching nexus activities and skills development. The integration of (game-based) student response systems into teaching process increased student engagement in learning, improved the interactions between students and teachers and allowed them to develop the relevant research skills. Students received the technology intervention as a way to work on a creative learning environment which allowed them to develop skills and knowledge/experience around research methods and statistics. Although this investigation took place in a Psychology School, the design of a research methods and statistics module based on the combination of collaborative problem-based learning with the use of (game-based) student response systems can be applied in other disciplines.","author":[{"dropping-particle":"","family":"Limniou","given":"Maria","non-dropping-particle":"","parse-names":false,"suffix":""},{"dropping-particle":"","family":"Mansfield","given":"Rosie","non-dropping-particle":"","parse-names":false,"suffix":""}],"container-title":"Creative Education","id":"ITEM-1","issue":"01","issued":{"date-parts":[["2019"]]},"page":"36-47","title":"(Game-Based) Student Response Systems Engage Students with Research-Teaching Nexus Activities and Support Their Skills Development","type":"article-journal","volume":"10"},"uris":["http://www.mendeley.com/documents/?uuid=3218a9f5-b43b-4493-81ec-9b95237548eb"]},{"id":"ITEM-2","itemData":{"DOI":"10.1080/23752696.2019.1629825","author":[{"dropping-particle":"","family":"Abbott","given":"Daisy","non-dropping-particle":"","parse-names":false,"suffix":""}],"container-title":"Higher Education Pedagogies","id":"ITEM-2","issue":"1","issued":{"date-parts":[["2019"]]},"page":"80-104","title":"Game-based learning for postgraduates : an empirical study of an educational game to teach research skills","type":"article-journal","volume":"4"},"uris":["http://www.mendeley.com/documents/?uuid=3d8625b6-750d-4aaf-a1cf-260bf2b4759b"]},{"id":"ITEM-3","itemData":{"DOI":"10.7771/1541-5015.1481","ISBN":"E1541-5015","ISSN":"1541-5015","PMID":"1468688866","abstract":"Previous research indicates the importance of student discourse in the construction of knowledge and the fostering of critical thinking skills, especially in the field of problem-based learning (PBL). Further, a growing body of research on game-based learning (GBL) draws parallels between playing certain types of games and the solving of ill-structured problems, citing similar conditions for learning (student centered, small student groups, teachers as facilitators, problems as vehicles for development), and similar learning outcomes (communication, problem-solving, critical thinking, collaboration) as PBL. However, there is a gap in understanding how GBL affects critical thinking as embodied by student discourse when imple-mented in traditional classroom environments. In this study, I examined student discourse throughout a GBL intervention designed to promote content knowledge and critical thinking in an 8th grade social studies classroom. A total of three 8th grade social studies classes engaged in the intervention. Post-tests and delayed post-tests were conducted for the entire 8th grade (ten social studies classes across two instructors). Five groups of students that engaged in the GBL intervention were videotaped and analyzed. Data analysis showed that features of the GBL intervention and particular cycles of gameplay were effective in promoting higher levels of critical thinking, including the development of independent beliefs prior to engaging in collaborative discourse and providing opportunities for guided reflection. This study has implications for the developers of GBL frameworks, researchers interested in exploring GBL, and teachers seeking to integrate GBL into their classrooms. Game-based learning (GBL) is inherently driven by a so-ciocultural view of learning (Young et al., 2012). Generally speaking, game-based learning environments enable learners to make meaningful choices within problem spaces that may span the visual, spatial, and aural, and that provide learners with challenges that must be overcome (McCall, 2012). Much like problem-based learning (PBL), these GBL environments often present learners with ill-structured problems or, simi-larly, well-structured rules with ill-structured paths to resolu-tion; in either environment, students typically work in small groups and construct knowledge through the activation of prior understandings, as well as by engaging in collaborative discourse (Gresalfi et al., 2009; Hmelo-Silver, 2004).…","author":[{"dropping-particle":"","family":"Cicchino","given":"Marc I","non-dropping-particle":"","parse-names":false,"suffix":""}],"container-title":"Interdisciplinary Journal of Problem-Based Learning","id":"ITEM-3","issued":{"date-parts":[["2015"]]},"title":"Using Game-Based Learning to Foster Critical Thinking in Student Discourse","type":"article-journal"},"prefix":"e.g. ","uris":["http://www.mendeley.com/documents/?uuid=f58347c3-863f-34a4-8142-949f16e69d9e"]},{"id":"ITEM-4","itemData":{"DOI":"10.1007/978-3-030-27786-4","ISBN":"978-3-030-27786-4","author":[{"dropping-particle":"","family":"Barr","given":"Matthew","non-dropping-particle":"","parse-names":false,"suffix":""}],"id":"ITEM-4","issued":{"date-parts":[["2019"]]},"number-of-pages":"226","publisher":"Palgrave MacMillan","title":"Graduate Skills and Game-Based Learning : Using Video Games for Employability in Higher Education","type":"book"},"uris":["http://www.mendeley.com/documents/?uuid=85e17596-51f0-496a-87f1-6eec63dd2382"]},{"id":"ITEM-5","itemData":{"URL":"http://www.celt.mmu.ac.uk/games/researchmethods/","accessed":{"date-parts":[["2020","4","8"]]},"author":[{"dropping-particle":"","family":"Hannan","given":"Eleanor","non-dropping-particle":"","parse-names":false,"suffix":""},{"dropping-particle":"","family":"Neame","given":"Charles","non-dropping-particle":"","parse-names":false,"suffix":""}],"id":"ITEM-5","issued":{"date-parts":[["2017"]]},"title":"SOTL Research Methods Game","type":"webpage"},"uris":["http://www.mendeley.com/documents/?uuid=3b7ee9c5-3915-4057-9102-f3c264e1fbad"]},{"id":"ITEM-6","itemData":{"DOI":"10.1080/15512169.2017.1331137","ISSN":"15512177","abstract":"In terms of gamification within political science, some fields—particularly international relations and American politics—have received more attention than others. One of the most underserved parts of the discipline is research methods; a course that, coincidentally, is frequently cited as one that instructors hate to teach and students hate to take. Given the well-documented merits of games in promoting student engagement and the key role of methods as a building block to student understanding of political science, this article attempts to rectify this oversight by introducing three games—Zendo, Murder Mystery, and the Archeologist’s Quandary— geared at teaching key concepts and approaches in research methods.","author":[{"dropping-particle":"","family":"Kollars","given":"Nina","non-dropping-particle":"","parse-names":false,"suffix":""},{"dropping-particle":"","family":"Rosen","given":"Amanda M.","non-dropping-particle":"","parse-names":false,"suffix":""}],"container-title":"Journal of Political Science Education","id":"ITEM-6","issue":"3","issued":{"date-parts":[["2017"]]},"page":"333-345","publisher":"Taylor &amp; Francis","title":"Who’s Afraid of the Big Bad Methods? Methodological Games and Role Play","type":"article-journal","volume":"13"},"uris":["http://www.mendeley.com/documents/?uuid=5709c2fc-2820-434d-a236-c3cc00bfc098"]}],"mendeley":{"formattedCitation":"(e.g. Cicchino, 2015; Hannan and Neame, 2017; Kollars and Rosen, 2017; Abbott, 2019a; Barr, 2019; Limniou and Mansfield, 2019)","plainTextFormattedCitation":"(e.g. Cicchino, 2015; Hannan and Neame, 2017; Kollars and Rosen, 2017; Abbott, 2019a; Barr, 2019; Limniou and Mansfield, 2019)","previouslyFormattedCitation":"(e.g. Cicchino, 2015; Hannan and Neame, 2017; Kollars and Rosen, 2017; Abbott, 2019a; Barr, 2019; Limniou and Mansfield, 2019)"},"properties":{"noteIndex":0},"schema":"https://github.com/citation-style-language/schema/raw/master/csl-citation.json"}</w:instrText>
      </w:r>
      <w:r w:rsidR="009258B1">
        <w:fldChar w:fldCharType="separate"/>
      </w:r>
      <w:r w:rsidR="000C47F0" w:rsidRPr="000C47F0">
        <w:rPr>
          <w:noProof/>
        </w:rPr>
        <w:t>(e.g. Cicchino, 2015; Hannan and Neame, 2017; Kollars and Rosen, 2017; Abbott, 2019a; Barr, 2019; Limniou and Mansfield, 2019)</w:t>
      </w:r>
      <w:r w:rsidR="009258B1">
        <w:fldChar w:fldCharType="end"/>
      </w:r>
      <w:r w:rsidR="00903AD9">
        <w:t xml:space="preserve"> along with a range of playable ‘research games’. However, studies and games focussed on postgraduate rese</w:t>
      </w:r>
      <w:r w:rsidR="00187D93">
        <w:t xml:space="preserve">arch skills are still rare, and, as noted above and in O’Donnell </w:t>
      </w:r>
      <w:r w:rsidR="00187D93" w:rsidRPr="00187D93">
        <w:rPr>
          <w:i/>
        </w:rPr>
        <w:t>et al</w:t>
      </w:r>
      <w:r w:rsidR="00187D93">
        <w:rPr>
          <w:i/>
        </w:rPr>
        <w:t>.</w:t>
      </w:r>
      <w:r w:rsidR="00187D93">
        <w:t xml:space="preserve"> </w:t>
      </w:r>
      <w:r w:rsidR="00187D93">
        <w:fldChar w:fldCharType="begin" w:fldLock="1"/>
      </w:r>
      <w:r w:rsidR="00187D93">
        <w:instrText>ADDIN CSL_CITATION {"citationItems":[{"id":"ITEM-1","itemData":{"DOI":"10.1177/1469787408100193","ISSN":"14697874","abstract":"This article explores transition to postgraduate (PG) study in terms of the widening participation (WP) agenda. The research is located within a Communities of Practice framework, allowing for explanations of transition in terms of learning, identity and participation in practices. A qualitative ethnographic methodology is employed, and analysis reveals two themes: the heterogeneity of PG students, and the nature of PG teaching and learning. It is argued that the imperatives that the WP agenda generates are as compatible with PG as with undergraduate study, and that this may have been overlooked previously owing to assumptions of the homogeneity of postgraduates. However, students' experiences of academic practices do not always reflect the dogma of how teaching and learning should occur at PG level, and this may prevent full participation in PG study by those who might otherwise be included. © 2009 Sage Publications.","author":[{"dropping-particle":"","family":"O'Donnell","given":"Victoria L.","non-dropping-particle":"","parse-names":false,"suffix":""},{"dropping-particle":"","family":"Tobbell","given":"Jane","non-dropping-particle":"","parse-names":false,"suffix":""},{"dropping-particle":"","family":"Lawthom","given":"Rebecca","non-dropping-particle":"","parse-names":false,"suffix":""},{"dropping-particle":"","family":"Zammit","given":"Maria","non-dropping-particle":"","parse-names":false,"suffix":""}],"container-title":"Active Learning in Higher Education","id":"ITEM-1","issue":"1","issued":{"date-parts":[["2009"]]},"page":"26-40","title":"Transition to postgraduate study: Practice, participation and the widening participation agenda","type":"article-journal","volume":"10"},"suppress-author":1,"uris":["http://www.mendeley.com/documents/?uuid=9f631020-376a-4b6e-ae56-4b2f9e2e7d64"]}],"mendeley":{"formattedCitation":"(2009)","plainTextFormattedCitation":"(2009)","previouslyFormattedCitation":"(2009)"},"properties":{"noteIndex":0},"schema":"https://github.com/citation-style-language/schema/raw/master/csl-citation.json"}</w:instrText>
      </w:r>
      <w:r w:rsidR="00187D93">
        <w:fldChar w:fldCharType="separate"/>
      </w:r>
      <w:r w:rsidR="00187D93" w:rsidRPr="00187D93">
        <w:rPr>
          <w:noProof/>
        </w:rPr>
        <w:t>(2009)</w:t>
      </w:r>
      <w:r w:rsidR="00187D93">
        <w:fldChar w:fldCharType="end"/>
      </w:r>
      <w:r w:rsidR="00187D93">
        <w:t>, these higher order learning outcomes and expectations of student independence in research activities create particular difficulties for teaching and learning in this context.</w:t>
      </w:r>
    </w:p>
    <w:p w:rsidR="00BD1C23" w:rsidRPr="00BD1C23" w:rsidRDefault="00BD1C23" w:rsidP="00BD1C23"/>
    <w:p w:rsidR="00FF0538" w:rsidRDefault="00FF0538" w:rsidP="00BD1C23">
      <w:pPr>
        <w:pStyle w:val="Heading2"/>
      </w:pPr>
      <w:r>
        <w:t>Dialogue as fruitful method for learning</w:t>
      </w:r>
      <w:r w:rsidR="00A871F9">
        <w:t xml:space="preserve"> research skills</w:t>
      </w:r>
    </w:p>
    <w:p w:rsidR="00A22A4B" w:rsidRDefault="00A22A4B" w:rsidP="00FF0538">
      <w:r>
        <w:t xml:space="preserve">In order to address these particular challenges, a dialogic approach may be fruitful. </w:t>
      </w:r>
      <w:r w:rsidR="00AA4045">
        <w:t>Dialogue to build critical thinking is a widely accepted tactic and s</w:t>
      </w:r>
      <w:r>
        <w:t xml:space="preserve">everal scholars have </w:t>
      </w:r>
      <w:r w:rsidR="00AD7F23">
        <w:t>acknowledged</w:t>
      </w:r>
      <w:r>
        <w:t xml:space="preserve"> the value of dialogue </w:t>
      </w:r>
      <w:r w:rsidR="00AA4045">
        <w:t xml:space="preserve">specifically </w:t>
      </w:r>
      <w:r>
        <w:t xml:space="preserve">in postgraduate teaching and learning, </w:t>
      </w:r>
      <w:r w:rsidR="00AA4045">
        <w:t>typically</w:t>
      </w:r>
      <w:r w:rsidR="00AD7F23">
        <w:t xml:space="preserve"> </w:t>
      </w:r>
      <w:r>
        <w:t xml:space="preserve">focussing on </w:t>
      </w:r>
      <w:r w:rsidR="00AA4045">
        <w:t>the student-</w:t>
      </w:r>
      <w:r>
        <w:t xml:space="preserve">supervisor </w:t>
      </w:r>
      <w:r w:rsidR="00AA4045">
        <w:t>relationship</w:t>
      </w:r>
      <w:r>
        <w:t xml:space="preserve"> </w:t>
      </w:r>
      <w:r>
        <w:fldChar w:fldCharType="begin" w:fldLock="1"/>
      </w:r>
      <w:r w:rsidR="00AA4045">
        <w:instrText>ADDIN CSL_CITATION {"citationItems":[{"id":"ITEM-1","itemData":{"ISSN":"1835-5196","abstract":"One of the dominant models of postgraduate supervision is apprenticeship, with its focus on the role of the supervisor as an expert who provides guidance to the novice supervisee. This model has been critiqued by scholars including Knowles (1999), who suggests that it may encourage students to accept feedback uncritically because of the difficulty of challenging the perceived expertise and authority of supervisors. Drawing on Vygotsky’s (1978) theory of cognitive development, an alternative conceptualisation proposed in this paper is that of a dynamic relationship that evolves over time, moving from expert/novice to a more cooperative relationship. In such a conceptualisation, feedback is seen as a form of scaffolding that encourages the student to ultimately take greater responsibility for their writing and their development as legitimate authors in their disciplines. Our analysis of the nature of feedback and authorial development is also informed by Bakhtin’s (1981, 1986) theory of dialogism. Bakhtin suggests that all individual contributions to textual creation come through the ways in which we accent the words and ideas of others in order to articulate an authoritative position of our own. Thus, if all speakers and writers are producers of texts that intersect and address each other (Bakhtin, 1981), then feedback also can be characterised as a point of intertextual engagement through which textual authority, ownership and authorship are negotiated between supervisor and student over time. In this paper we report on two case studies through which we explore the usefulness of these theoretical constructs to investigate issues surrounding the role of feedback in postgraduate supervision.","author":[{"dropping-particle":"","family":"Morton","given":"Janne","non-dropping-particle":"","parse-names":false,"suffix":""},{"dropping-particle":"","family":"Storch","given":"Neomy","non-dropping-particle":"","parse-names":false,"suffix":""},{"dropping-particle":"","family":"Thompson","given":"Celia","non-dropping-particle":"","parse-names":false,"suffix":""}],"container-title":"Journal of Academic Language &amp; Learning","id":"ITEM-1","issue":"1","issued":{"date-parts":[["2014"]]},"page":"24-36","title":"Feedback on writing in the supervision of postgraduate students: Insights from the work of Vygotsky and Bakhtin","type":"article-journal","volume":"8"},"prefix":"e.g. ","uris":["http://www.mendeley.com/documents/?uuid=098d87e5-bb84-4b5d-964f-0f8a06d9f800"]},{"id":"ITEM-2","itemData":{"author":[{"dropping-particle":"","family":"Benade","given":"Leon","non-dropping-particle":"","parse-names":false,"suffix":""}],"container-title":"Knowledge Cultures,","id":"ITEM-2","issue":"5","issued":{"date-parts":[["2015"]]},"page":"102-115","title":"Postgraduate research supervision as a partnership in the context of Freire’s dialogical pedagogy","type":"article-journal","volume":"3"},"uris":["http://www.mendeley.com/documents/?uuid=87d13ced-9700-48a1-9f21-e5abc951a0da"]}],"mendeley":{"formattedCitation":"(e.g. Morton, Storch and Thompson, 2014; Benade, 2015)","plainTextFormattedCitation":"(e.g. Morton, Storch and Thompson, 2014; Benade, 2015)","previouslyFormattedCitation":"(e.g. Morton, Storch and Thompson, 2014; Benade, 2015)"},"properties":{"noteIndex":0},"schema":"https://github.com/citation-style-language/schema/raw/master/csl-citation.json"}</w:instrText>
      </w:r>
      <w:r>
        <w:fldChar w:fldCharType="separate"/>
      </w:r>
      <w:r w:rsidR="00AA4045" w:rsidRPr="00AA4045">
        <w:rPr>
          <w:noProof/>
        </w:rPr>
        <w:t>(e.g. Morton, Storch and Thompson, 2014; Benade, 2015)</w:t>
      </w:r>
      <w:r>
        <w:fldChar w:fldCharType="end"/>
      </w:r>
      <w:r w:rsidR="00AA4045">
        <w:t xml:space="preserve">. </w:t>
      </w:r>
      <w:r w:rsidR="008B3C3D">
        <w:t>It is difficult to find s</w:t>
      </w:r>
      <w:r w:rsidR="00AD7F23">
        <w:t>tudies that focus specifically on dialogic learning within postgraduate research training</w:t>
      </w:r>
      <w:r w:rsidR="008B3C3D">
        <w:t>; for example</w:t>
      </w:r>
      <w:r w:rsidR="00213204">
        <w:t>,</w:t>
      </w:r>
      <w:r w:rsidR="008B3C3D">
        <w:t xml:space="preserve"> Pipere and Salite </w:t>
      </w:r>
      <w:r w:rsidR="00AA4045">
        <w:t xml:space="preserve">focus on </w:t>
      </w:r>
      <w:r w:rsidR="008B3C3D">
        <w:t xml:space="preserve">research skills </w:t>
      </w:r>
      <w:r w:rsidR="00213204">
        <w:t xml:space="preserve">but </w:t>
      </w:r>
      <w:r w:rsidR="008B3C3D">
        <w:t xml:space="preserve">within </w:t>
      </w:r>
      <w:r w:rsidR="00AA4045">
        <w:t xml:space="preserve">teacher training </w:t>
      </w:r>
      <w:r w:rsidR="00AA4045">
        <w:fldChar w:fldCharType="begin" w:fldLock="1"/>
      </w:r>
      <w:r w:rsidR="000C47F0">
        <w:instrText>ADDIN CSL_CITATION {"citationItems":[{"id":"ITEM-1","itemData":{"abstract":"The article describes the building of capacity of Institute of Sustainable Education in training for educational research aimed toward the sustainable development (SD) and education for sustainable development (ESD). The paper reflects on the process of educational action research in teacher education oriented toward the creation of dialogical learning environment for educational research training. It shows the acquisition of research skills by in-service teachers from the Master degree program in Education. The action research process in the context of several study courses is based on \"cascade\" approach to research training envisaging the following stages: (1) Teacher's offer for scientific dialogue: The strategies of pilot research are demonstrated and students become the participants of the research. They learn the course content and usage of several research tools (e.g. Cmaps, V-diagrams). Teacher presents the example of scientific article containing the results of research where students have participated. (2) Students' offer for scientific dialogue: Students analyze the article using the mastered tools of scientific analysis and complement the article with their own comments and conclusions. (3) Teacher's offer for scientific dialogue: Teacher creates the design for the qualitative evaluation of students' reflections on the article and the scientific review on students' methodological perspectives and research strategies. Teacher encourages the students to create their own research design using the acquired analytical tools, content of the study course, and individual experience obtained during this action research. (4) Students' offer for scientific dialogue: Students critically evaluate their own research design from the methodological point of view, conduct the pilot research, and analyze its' results. Therefore, the students acquire different research skills, become the research experts themselves, identify the elements of SD/ESD in their experience and encountered articles. This experience helps to construct their new attitude to master thesis in education and research as such.","author":[{"dropping-particle":"","family":"Pipere","given":"Anita","non-dropping-particle":"","parse-names":false,"suffix":""},{"dropping-particle":"","family":"Salite","given":"Ilga","non-dropping-particle":"","parse-names":false,"suffix":""}],"container-title":"Full papers of APERA International Conference","id":"ITEM-1","issue":"November","issued":{"date-parts":[["2006"]]},"publisher-place":"Hong Kong","title":"Educational Action Research In Teacher Education: Fostering Research Skills","type":"paper-conference"},"uris":["http://www.mendeley.com/documents/?uuid=e7b27915-e91b-4e1f-a760-a9834ac04726"]}],"mendeley":{"formattedCitation":"(Pipere and Salite, 2006)","plainTextFormattedCitation":"(Pipere and Salite, 2006)","previouslyFormattedCitation":"(Pipere and Salite, 2006)"},"properties":{"noteIndex":0},"schema":"https://github.com/citation-style-language/schema/raw/master/csl-citation.json"}</w:instrText>
      </w:r>
      <w:r w:rsidR="00AA4045">
        <w:fldChar w:fldCharType="separate"/>
      </w:r>
      <w:r w:rsidR="008B3C3D" w:rsidRPr="008B3C3D">
        <w:rPr>
          <w:noProof/>
        </w:rPr>
        <w:t>(Pipere and Salite, 2006)</w:t>
      </w:r>
      <w:r w:rsidR="00AA4045">
        <w:fldChar w:fldCharType="end"/>
      </w:r>
      <w:r w:rsidR="00AD7F23">
        <w:t>.</w:t>
      </w:r>
      <w:r w:rsidR="008B3C3D">
        <w:t xml:space="preserve"> Nevertheless, it is proposed that encouraging dialogue is likely</w:t>
      </w:r>
      <w:r w:rsidR="00213204">
        <w:t xml:space="preserve"> to be productive in improving </w:t>
      </w:r>
      <w:r w:rsidR="008B3C3D">
        <w:t>student engagement with research skills courses and their confidence and ownership of their learning journey</w:t>
      </w:r>
      <w:r w:rsidR="00A00768">
        <w:t>s</w:t>
      </w:r>
      <w:r w:rsidR="008B3C3D">
        <w:t>.</w:t>
      </w:r>
    </w:p>
    <w:p w:rsidR="00C63E46" w:rsidRDefault="00C63E46" w:rsidP="00FF0538"/>
    <w:p w:rsidR="00C63E46" w:rsidRDefault="002617D0" w:rsidP="00C63E46">
      <w:pPr>
        <w:pStyle w:val="Heading2"/>
      </w:pPr>
      <w:r>
        <w:t>Existing GBL for research skills that</w:t>
      </w:r>
      <w:r w:rsidR="00C63E46">
        <w:t xml:space="preserve"> include dialog</w:t>
      </w:r>
      <w:r>
        <w:t>ue</w:t>
      </w:r>
    </w:p>
    <w:p w:rsidR="00FF0538" w:rsidRDefault="000C47F0" w:rsidP="00FF0538">
      <w:r>
        <w:t xml:space="preserve">Games have been noted as useful tools to prompt discussion within research skills training </w:t>
      </w:r>
      <w:r>
        <w:fldChar w:fldCharType="begin" w:fldLock="1"/>
      </w:r>
      <w:r>
        <w:instrText>ADDIN CSL_CITATION {"citationItems":[{"id":"ITEM-1","itemData":{"DOI":"10.4236/ce.2019.101003","ISSN":"2151-4755","abstract":"Research-teaching nexus framework assists teachers to support activities which are focused on the current research in the disciplines promoting discussions and skills development. The challenges for teachers are related to student research skills development, knowledge application across contexts and student experience on statistics. The aim of this investigation was to compare student views following two approaches: one which integrated technology and one which did not into the teaching delivery process. Forty first-year Psychology students were split into two groups (A and B) and followed both teaching approaches in a different attending order (one approach without the use of technology and another one with technology or vice versa). (Game-based) student response systems (PollEveryWhere and Kahoot) were integrated into the teaching process, whilst the learning content was the same for both cases. Students evaluated the two approaches by completing two online surveys with items relating to research-teaching nexus activities and skills development. The integration of (game-based) student response systems into teaching process increased student engagement in learning, improved the interactions between students and teachers and allowed them to develop the relevant research skills. Students received the technology intervention as a way to work on a creative learning environment which allowed them to develop skills and knowledge/experience around research methods and statistics. Although this investigation took place in a Psychology School, the design of a research methods and statistics module based on the combination of collaborative problem-based learning with the use of (game-based) student response systems can be applied in other disciplines.","author":[{"dropping-particle":"","family":"Limniou","given":"Maria","non-dropping-particle":"","parse-names":false,"suffix":""},{"dropping-particle":"","family":"Mansfield","given":"Rosie","non-dropping-particle":"","parse-names":false,"suffix":""}],"container-title":"Creative Education","id":"ITEM-1","issue":"01","issued":{"date-parts":[["2019"]]},"page":"36-47","title":"(Game-Based) Student Response Systems Engage Students with Research-Teaching Nexus Activities and Support Their Skills Development","type":"article-journal","volume":"10"},"uris":["http://www.mendeley.com/documents/?uuid=3218a9f5-b43b-4493-81ec-9b95237548eb"]}],"mendeley":{"formattedCitation":"(Limniou and Mansfield, 2019)","plainTextFormattedCitation":"(Limniou and Mansfield, 2019)","previouslyFormattedCitation":"(Limniou and Mansfield, 2019)"},"properties":{"noteIndex":0},"schema":"https://github.com/citation-style-language/schema/raw/master/csl-citation.json"}</w:instrText>
      </w:r>
      <w:r>
        <w:fldChar w:fldCharType="separate"/>
      </w:r>
      <w:r w:rsidRPr="000C47F0">
        <w:rPr>
          <w:noProof/>
        </w:rPr>
        <w:t>(Limniou and Mansfield, 2019)</w:t>
      </w:r>
      <w:r>
        <w:fldChar w:fldCharType="end"/>
      </w:r>
      <w:r>
        <w:t xml:space="preserve"> and several recent examples of </w:t>
      </w:r>
      <w:r w:rsidR="002617D0">
        <w:t xml:space="preserve">(face-to-face) </w:t>
      </w:r>
      <w:r>
        <w:t xml:space="preserve">games for critical thinking or academic skills result in discussion </w:t>
      </w:r>
      <w:r>
        <w:fldChar w:fldCharType="begin" w:fldLock="1"/>
      </w:r>
      <w:r w:rsidR="00203BFA">
        <w:instrText>ADDIN CSL_CITATION {"citationItems":[{"id":"ITEM-1","itemData":{"URL":"http://howtofailyourresearchdegree.com/","accessed":{"date-parts":[["2020","4","11"]]},"author":[{"dropping-particle":"","family":"Abbott","given":"Daisy","non-dropping-particle":"","parse-names":false,"suffix":""}],"id":"ITEM-1","issued":{"date-parts":[["2015"]]},"title":"How to Fail Your Research Degree","type":"webpage"},"uris":["http://www.mendeley.com/documents/?uuid=007851c3-65e5-413d-a335-98e0c16a978a"]},{"id":"ITEM-2","itemData":{"URL":"https://unbias.wp.horizon.ac.uk/fairness-toolkit/","accessed":{"date-parts":[["2020","4","11"]]},"author":[{"dropping-particle":"","family":"Lane","given":"Giles","non-dropping-particle":"","parse-names":false,"suffix":""}],"container-title":"UnBias","id":"ITEM-2","issued":{"date-parts":[["2018"]]},"title":"Fairness Toolkit","type":"webpage"},"uris":["http://www.mendeley.com/documents/?uuid=545b7d4f-a36f-4d52-9268-dd565a6ce9f3"]},{"id":"ITEM-3","itemData":{"DOI":"https://doi.org/10.1086/693489","abstract":"Raymond Pun, \"Hacking the Research Library: Wikipedia, Trump, and Information Literacy in the Escape Room at Fresno State,\" The Library Quarterly 87, no. 4 (October 2017): 330-336. https://doi.org/10.1086/693489","author":[{"dropping-particle":"","family":"Pun","given":"Raymond","non-dropping-particle":"","parse-names":false,"suffix":""}],"container-title":"The Library Quarterly","id":"ITEM-3","issue":"4","issued":{"date-parts":[["2017"]]},"page":"330 - 336","title":"Hacking the Research Library: Wikipedia, Trump, and Information Literacy in the Escape Room at Fresno State","type":"article-journal","volume":"87"},"uris":["http://www.mendeley.com/documents/?uuid=76faee11-f8d7-40ca-bc17-1cbe6353e204"]},{"id":"ITEM-4","itemData":{"URL":"http://www.celt.mmu.ac.uk/games/researchmethods/","accessed":{"date-parts":[["2020","4","8"]]},"author":[{"dropping-particle":"","family":"Hannan","given":"Eleanor","non-dropping-particle":"","parse-names":false,"suffix":""},{"dropping-particle":"","family":"Neame","given":"Charles","non-dropping-particle":"","parse-names":false,"suffix":""}],"id":"ITEM-4","issued":{"date-parts":[["2017"]]},"title":"SOTL Research Methods Game","type":"webpage"},"uris":["http://www.mendeley.com/documents/?uuid=3b7ee9c5-3915-4057-9102-f3c264e1fbad"]}],"mendeley":{"formattedCitation":"(Abbott, 2015; Hannan and Neame, 2017; Pun, 2017; Lane, 2018)","plainTextFormattedCitation":"(Abbott, 2015; Hannan and Neame, 2017; Pun, 2017; Lane, 2018)","previouslyFormattedCitation":"(Abbott, 2015; Hannan and Neame, 2017; Pun, 2017; Lane, 2018)"},"properties":{"noteIndex":0},"schema":"https://github.com/citation-style-language/schema/raw/master/csl-citation.json"}</w:instrText>
      </w:r>
      <w:r>
        <w:fldChar w:fldCharType="separate"/>
      </w:r>
      <w:r w:rsidRPr="000C47F0">
        <w:rPr>
          <w:noProof/>
        </w:rPr>
        <w:t>(Abbott, 2015; Hannan and Neame, 2017; Pun, 2017; Lane, 2018)</w:t>
      </w:r>
      <w:r>
        <w:fldChar w:fldCharType="end"/>
      </w:r>
      <w:r>
        <w:t>. However, a review of GBL for research topics</w:t>
      </w:r>
      <w:r w:rsidR="002617D0">
        <w:t xml:space="preserve"> or critical thinking failed to find any games that </w:t>
      </w:r>
      <w:r w:rsidR="002617D0" w:rsidRPr="00213204">
        <w:rPr>
          <w:i/>
        </w:rPr>
        <w:t>explicitly</w:t>
      </w:r>
      <w:r w:rsidR="002617D0">
        <w:t xml:space="preserve"> include dialogic learning within their gameplay and none yet encountered by the author convincingly embody all five of Alexander’s defined characteristics of a dialogic learning environment: collective, reciprocal, supportive, cumulative, and purposeful (Alexander, 2008, p.28). This reflects the overall position of games within dialogic learning contexts; </w:t>
      </w:r>
      <w:r w:rsidR="00213204">
        <w:t>namely</w:t>
      </w:r>
      <w:r w:rsidR="002617D0">
        <w:t>, despite the clear potential of games as a fruitful method “</w:t>
      </w:r>
      <w:r w:rsidR="002617D0" w:rsidRPr="00EF7541">
        <w:t>there is a lack of knowledge of how teachers and students can utilize games and features of games as relevant tools for talk and learning</w:t>
      </w:r>
      <w:r w:rsidR="002617D0">
        <w:t xml:space="preserve">” </w:t>
      </w:r>
      <w:r w:rsidR="002617D0">
        <w:fldChar w:fldCharType="begin" w:fldLock="1"/>
      </w:r>
      <w:r w:rsidR="002617D0">
        <w:instrText>ADDIN CSL_CITATION {"citationItems":[{"id":"ITEM-1","itemData":{"DOI":"10.1163/9789004388826_008","ISBN":"9789004388826","abstract":"In this chapter we introduce an analytic and normative model of how games can be used as part of dialogic teaching and learning practices in the classroom. In our research during the last few years, we have been analysing how students makes sense of computer games in educational contexts. We have also been concerned with design-based research and with implementing games into more complex learning designs. Based on our experiences we wanted to focus more explicitly on teaching and the importance of the teacher in realizing the potentials of game-based learning. We found that more context sensitive models for implementing games into teaching and learning practices were lacking. Our model is grounded in a sociocultural and dialogic approach to meaning making and we discuss important concepts from this theory such as voice, utterance and artifact. We argue that we cannot expect that games themselves have particular effects on pedagogy and learning. On the contrary, the potentials of games needs to be realised in practice. We also contextualize and ground our argument in international research and in our own studies on the use of games in classrooms, and we argue that games can provide teachers with interesting means for creating more active and reflective learning experiences for students in the classroom. Our learning design model emphasize the interrelationship between instructional categories and it represents a model for planning and carrying out teaching with games in classrooms. Having said that, it can also be a useful model for analysing how games work as part of complex learning ecologies.","author":[{"dropping-particle":"","family":"Arnseth","given":"Hans Christian","non-dropping-particle":"","parse-names":false,"suffix":""},{"dropping-particle":"","family":"Silseth","given":"Kenneth","non-dropping-particle":"","parse-names":false,"suffix":""},{"dropping-particle":"","family":"Hanghøj","given":"Thorkild","non-dropping-particle":"","parse-names":false,"suffix":""}],"chapter-number":"7","container-title":"Games and Education: Designs in and for Learning","editor":[{"dropping-particle":"","family":"Arnseth","given":"H. C.","non-dropping-particle":"","parse-names":false,"suffix":""},{"dropping-particle":"","family":"Hanghøj","given":"T.","non-dropping-particle":"","parse-names":false,"suffix":""},{"dropping-particle":"","family":"Henriksen","given":"T.D.","non-dropping-particle":"","parse-names":false,"suffix":""},{"dropping-particle":"","family":"Misfeldt","given":"M.","non-dropping-particle":"","parse-names":false,"suffix":""},{"dropping-particle":"","family":"Ramberg","given":"R.","non-dropping-particle":"","parse-names":false,"suffix":""},{"dropping-particle":"","family":"Selander","given":"S.","non-dropping-particle":"","parse-names":false,"suffix":""}],"id":"ITEM-1","issued":{"date-parts":[["2018"]]},"publisher":"Brill","publisher-place":"Leiden","title":"Games as Tools for Dialogic Teaching and Learning: Outlining a Pedagogical Model for Researching and Designing Game-Based Learning Environments","type":"chapter"},"locator":"1","uris":["http://www.mendeley.com/documents/?uuid=31801107-a2bd-4d8a-a911-fd94f32bab6e"]}],"mendeley":{"formattedCitation":"(Arnseth, Silseth and Hanghøj, 2018, p. 1)","plainTextFormattedCitation":"(Arnseth, Silseth and Hanghøj, 2018, p. 1)","previouslyFormattedCitation":"(Arnseth, Silseth and Hanghøj, 2018, p. 1)"},"properties":{"noteIndex":0},"schema":"https://github.com/citation-style-language/schema/raw/master/csl-citation.json"}</w:instrText>
      </w:r>
      <w:r w:rsidR="002617D0">
        <w:fldChar w:fldCharType="separate"/>
      </w:r>
      <w:r w:rsidR="002617D0" w:rsidRPr="00BD1C23">
        <w:rPr>
          <w:noProof/>
        </w:rPr>
        <w:t>(Arnseth, Silseth and Hanghøj, 2018, p. 1)</w:t>
      </w:r>
      <w:r w:rsidR="002617D0">
        <w:fldChar w:fldCharType="end"/>
      </w:r>
      <w:r w:rsidR="002617D0">
        <w:t>. Therefore</w:t>
      </w:r>
      <w:r w:rsidR="00213204">
        <w:t>,</w:t>
      </w:r>
      <w:r w:rsidR="002617D0">
        <w:t xml:space="preserve"> the inclusion of game mechanics that require or encourage dialogue as part of GBL approaches in teaching research skills addresses</w:t>
      </w:r>
      <w:r w:rsidR="0084251C">
        <w:t xml:space="preserve"> a gap in the existing research and is a promising avenue for further investigation.</w:t>
      </w:r>
    </w:p>
    <w:p w:rsidR="00203BFA" w:rsidRDefault="00203BFA" w:rsidP="00FF0538"/>
    <w:p w:rsidR="00FF0538" w:rsidRDefault="00FF0538" w:rsidP="00FF0538">
      <w:pPr>
        <w:pStyle w:val="Heading1"/>
      </w:pPr>
      <w:r>
        <w:t>Design and development of game prototype</w:t>
      </w:r>
    </w:p>
    <w:p w:rsidR="006F250A" w:rsidRDefault="0084251C" w:rsidP="00FF0538">
      <w:r>
        <w:t>In response to observed barriers in students learning how to undertake a literature review research task as part of a postgraduate course in academic research skills, a</w:t>
      </w:r>
      <w:r w:rsidR="001876A8" w:rsidRPr="001876A8">
        <w:t xml:space="preserve"> </w:t>
      </w:r>
      <w:r w:rsidR="003C19D0">
        <w:t xml:space="preserve">prototype </w:t>
      </w:r>
      <w:r w:rsidR="001876A8" w:rsidRPr="001876A8">
        <w:t xml:space="preserve">serious game </w:t>
      </w:r>
      <w:r w:rsidR="006F250A">
        <w:t xml:space="preserve">called On the Shoulders of Giants was </w:t>
      </w:r>
      <w:r>
        <w:t xml:space="preserve">previously </w:t>
      </w:r>
      <w:r w:rsidR="006F250A">
        <w:t>developed</w:t>
      </w:r>
      <w:r w:rsidR="00610DD1">
        <w:t xml:space="preserve"> by modifying a commercially available tabletop game</w:t>
      </w:r>
      <w:r w:rsidR="006F250A">
        <w:t xml:space="preserve">. As described in detail in Abbott </w:t>
      </w:r>
      <w:r w:rsidR="006F250A">
        <w:fldChar w:fldCharType="begin" w:fldLock="1"/>
      </w:r>
      <w:r w:rsidR="009258B1">
        <w:instrText>ADDIN CSL_CITATION {"citationItems":[{"id":"ITEM-1","itemData":{"DOI":"10.1007/978-3-030-11548-7_30","author":[{"dropping-particle":"","family":"Abbott","given":"Daisy","non-dropping-particle":"","parse-names":false,"suffix":""}],"container-title":"Games and Learning Alliance","editor":[{"dropping-particle":"","family":"Gentile","given":"Manuel","non-dropping-particle":"","parse-names":false,"suffix":""},{"dropping-particle":"","family":"Allegra","given":"Mario","non-dropping-particle":"","parse-names":false,"suffix":""},{"dropping-particle":"","family":"Söbke","given":"Heinrich","non-dropping-particle":"","parse-names":false,"suffix":""}],"id":"ITEM-1","issued":{"date-parts":[["2019"]]},"page":"318-329","publisher":"Springer Lecture Notes in Computer Science, 11385","title":"Modding Tabletop Games for Education","type":"paper-conference"},"suppress-author":1,"uris":["http://www.mendeley.com/documents/?uuid=2e768cf2-604d-443a-aff9-3d668cabc084"]}],"mendeley":{"formattedCitation":"(2019b)","plainTextFormattedCitation":"(2019b)","previouslyFormattedCitation":"(2019b)"},"properties":{"noteIndex":0},"schema":"https://github.com/citation-style-language/schema/raw/master/csl-citation.json"}</w:instrText>
      </w:r>
      <w:r w:rsidR="006F250A">
        <w:fldChar w:fldCharType="separate"/>
      </w:r>
      <w:r w:rsidR="009258B1" w:rsidRPr="009258B1">
        <w:rPr>
          <w:noProof/>
        </w:rPr>
        <w:t>(2019b)</w:t>
      </w:r>
      <w:r w:rsidR="006F250A">
        <w:fldChar w:fldCharType="end"/>
      </w:r>
      <w:r w:rsidR="006F250A">
        <w:t xml:space="preserve">, students’ lack of familiarity with literature search and critical writing skills, coupled with the scale of the task, led to many of them feeling overwhelmed. This lack of confidence at the overall complexity of synthesising information into a literature review format acted as a barrier to learning, exacerbating student anxiety and impairing cognition. The overall strategy for On the Shoulders of Giants was to break down the overall learning </w:t>
      </w:r>
      <w:r w:rsidR="00F3302A">
        <w:t xml:space="preserve">and behavioural </w:t>
      </w:r>
      <w:r w:rsidR="006F250A">
        <w:t>outcome</w:t>
      </w:r>
      <w:r w:rsidR="00F3302A">
        <w:t>s</w:t>
      </w:r>
      <w:r w:rsidR="006F250A">
        <w:t xml:space="preserve"> into manageable sub-tasks and to focus on the playful elements of the game format to dissipate unease about engaging with the learning content.</w:t>
      </w:r>
      <w:r w:rsidR="00115044">
        <w:t xml:space="preserve"> Iterative development led to game mechanics being added specifically to maximise vicarious learning</w:t>
      </w:r>
      <w:r w:rsidR="003C19D0">
        <w:t xml:space="preserve"> by requiring players to read out their own game cards to the group </w:t>
      </w:r>
      <w:r w:rsidR="003C19D0">
        <w:fldChar w:fldCharType="begin" w:fldLock="1"/>
      </w:r>
      <w:r w:rsidR="009258B1">
        <w:instrText>ADDIN CSL_CITATION {"citationItems":[{"id":"ITEM-1","itemData":{"DOI":"10.1007/978-3-030-11548-7_30","author":[{"dropping-particle":"","family":"Abbott","given":"Daisy","non-dropping-particle":"","parse-names":false,"suffix":""}],"container-title":"Games and Learning Alliance","editor":[{"dropping-particle":"","family":"Gentile","given":"Manuel","non-dropping-particle":"","parse-names":false,"suffix":""},{"dropping-particle":"","family":"Allegra","given":"Mario","non-dropping-particle":"","parse-names":false,"suffix":""},{"dropping-particle":"","family":"Söbke","given":"Heinrich","non-dropping-particle":"","parse-names":false,"suffix":""}],"id":"ITEM-1","issued":{"date-parts":[["2019"]]},"page":"318-329","publisher":"Springer Lecture Notes in Computer Science, 11385","title":"Modding Tabletop Games for Education","type":"paper-conference"},"locator":"9-10","uris":["http://www.mendeley.com/documents/?uuid=2e768cf2-604d-443a-aff9-3d668cabc084"]}],"mendeley":{"formattedCitation":"(Abbott, 2019b, pp. 9–10)","plainTextFormattedCitation":"(Abbott, 2019b, pp. 9–10)","previouslyFormattedCitation":"(Abbott, 2019b, pp. 9–10)"},"properties":{"noteIndex":0},"schema":"https://github.com/citation-style-language/schema/raw/master/csl-citation.json"}</w:instrText>
      </w:r>
      <w:r w:rsidR="003C19D0">
        <w:fldChar w:fldCharType="separate"/>
      </w:r>
      <w:r w:rsidR="009258B1" w:rsidRPr="009258B1">
        <w:rPr>
          <w:noProof/>
        </w:rPr>
        <w:t>(Abbott, 2019b, pp. 9–10)</w:t>
      </w:r>
      <w:r w:rsidR="003C19D0">
        <w:fldChar w:fldCharType="end"/>
      </w:r>
      <w:r w:rsidR="003C19D0">
        <w:t xml:space="preserve"> and demonstrate their knowledge in an active, performative, final round </w:t>
      </w:r>
      <w:r w:rsidR="003C19D0">
        <w:fldChar w:fldCharType="begin" w:fldLock="1"/>
      </w:r>
      <w:r w:rsidR="009258B1">
        <w:instrText>ADDIN CSL_CITATION {"citationItems":[{"id":"ITEM-1","itemData":{"DOI":"10.1007/978-3-030-11548-7_30","author":[{"dropping-particle":"","family":"Abbott","given":"Daisy","non-dropping-particle":"","parse-names":false,"suffix":""}],"container-title":"Games and Learning Alliance","editor":[{"dropping-particle":"","family":"Gentile","given":"Manuel","non-dropping-particle":"","parse-names":false,"suffix":""},{"dropping-particle":"","family":"Allegra","given":"Mario","non-dropping-particle":"","parse-names":false,"suffix":""},{"dropping-particle":"","family":"Söbke","given":"Heinrich","non-dropping-particle":"","parse-names":false,"suffix":""}],"id":"ITEM-1","issued":{"date-parts":[["2019"]]},"page":"318-329","publisher":"Springer Lecture Notes in Computer Science, 11385","title":"Modding Tabletop Games for Education","type":"paper-conference"},"locator":"10","uris":["http://www.mendeley.com/documents/?uuid=2e768cf2-604d-443a-aff9-3d668cabc084"]}],"mendeley":{"formattedCitation":"(Abbott, 2019b, p. 10)","plainTextFormattedCitation":"(Abbott, 2019b, p. 10)","previouslyFormattedCitation":"(Abbott, 2019b, p. 10)"},"properties":{"noteIndex":0},"schema":"https://github.com/citation-style-language/schema/raw/master/csl-citation.json"}</w:instrText>
      </w:r>
      <w:r w:rsidR="003C19D0">
        <w:fldChar w:fldCharType="separate"/>
      </w:r>
      <w:r w:rsidR="009258B1" w:rsidRPr="009258B1">
        <w:rPr>
          <w:noProof/>
        </w:rPr>
        <w:t>(Abbott, 2019b, p. 10)</w:t>
      </w:r>
      <w:r w:rsidR="003C19D0">
        <w:fldChar w:fldCharType="end"/>
      </w:r>
      <w:r w:rsidR="003C19D0">
        <w:t xml:space="preserve">. Dialogic learning, however, was not explicitly included in the game itself </w:t>
      </w:r>
      <w:r w:rsidR="00203BFA">
        <w:t xml:space="preserve">as more than a suggestion, </w:t>
      </w:r>
      <w:r w:rsidR="003C19D0">
        <w:t xml:space="preserve">and </w:t>
      </w:r>
      <w:r w:rsidR="009F734E">
        <w:t>is proposed more</w:t>
      </w:r>
      <w:r w:rsidR="003C19D0">
        <w:t xml:space="preserve"> as a debrief and/or ‘out game’ activity.</w:t>
      </w:r>
      <w:r w:rsidR="00203BFA">
        <w:t xml:space="preserve"> Full rules are available </w:t>
      </w:r>
      <w:r w:rsidR="00203BFA">
        <w:fldChar w:fldCharType="begin" w:fldLock="1"/>
      </w:r>
      <w:r w:rsidR="00203BFA">
        <w:instrText>ADDIN CSL_CITATION {"citationItems":[{"id":"ITEM-1","itemData":{"URL":"http://blog.gsofasimvis.com/index.php/research/games/on-the-shoulders-of-giants/","accessed":{"date-parts":[["2020","4","13"]]},"author":[{"dropping-particle":"","family":"Abbott","given":"Daisy","non-dropping-particle":"","parse-names":false,"suffix":""}],"id":"ITEM-1","issued":{"date-parts":[["2018"]]},"title":"On the Shoulders of Giants","type":"webpage"},"uris":["http://www.mendeley.com/documents/?uuid=fb4dffed-ca8c-447d-b64a-f5b8bc0aa590"]}],"mendeley":{"formattedCitation":"(Abbott, 2018)","plainTextFormattedCitation":"(Abbott, 2018)","previouslyFormattedCitation":"(Abbott, 2018)"},"properties":{"noteIndex":0},"schema":"https://github.com/citation-style-language/schema/raw/master/csl-citation.json"}</w:instrText>
      </w:r>
      <w:r w:rsidR="00203BFA">
        <w:fldChar w:fldCharType="separate"/>
      </w:r>
      <w:r w:rsidR="00203BFA" w:rsidRPr="00203BFA">
        <w:rPr>
          <w:noProof/>
        </w:rPr>
        <w:t>(Abbott, 2018)</w:t>
      </w:r>
      <w:r w:rsidR="00203BFA">
        <w:fldChar w:fldCharType="end"/>
      </w:r>
      <w:r w:rsidR="00203BFA">
        <w:t>.</w:t>
      </w:r>
    </w:p>
    <w:p w:rsidR="00610DD1" w:rsidRDefault="00610DD1" w:rsidP="00FF0538"/>
    <w:p w:rsidR="006F250A" w:rsidRDefault="003C19D0" w:rsidP="00FF0538">
      <w:r>
        <w:t xml:space="preserve">Further analysis of the prototype indicated that there could be a potential benefit to including </w:t>
      </w:r>
      <w:r w:rsidR="00B47F80">
        <w:t>dialogic learning</w:t>
      </w:r>
      <w:r>
        <w:t xml:space="preserve"> as explicit </w:t>
      </w:r>
      <w:r w:rsidR="00B47F80">
        <w:t>interactions</w:t>
      </w:r>
      <w:r>
        <w:t xml:space="preserve"> with</w:t>
      </w:r>
      <w:r w:rsidR="008C7417">
        <w:t xml:space="preserve">in the game, and adapting the game mechanics to </w:t>
      </w:r>
      <w:r w:rsidR="00610DD1">
        <w:t xml:space="preserve">require or </w:t>
      </w:r>
      <w:r w:rsidR="008C7417">
        <w:t xml:space="preserve">encourage </w:t>
      </w:r>
      <w:r w:rsidR="00610DD1">
        <w:t xml:space="preserve">egalitarian </w:t>
      </w:r>
      <w:r w:rsidR="008C7417">
        <w:t>dialogue where possible</w:t>
      </w:r>
      <w:r w:rsidR="00610DD1">
        <w:t xml:space="preserve"> (as opposed to the current model of tutor-as-expert presenting complementary information to students during gameplay)</w:t>
      </w:r>
      <w:r w:rsidR="008C7417">
        <w:t xml:space="preserve">. </w:t>
      </w:r>
      <w:r w:rsidR="00610DD1">
        <w:t xml:space="preserve">Furthermore, as part of the development of On the Shoulders of Giants, two other commercially available tabletop games were analysed in detail for their potential to contribute to GBL approaches in research skills teaching and learning. These existing analyses provide a baseline for </w:t>
      </w:r>
      <w:r w:rsidR="00F3302A">
        <w:t>focussed case studies on</w:t>
      </w:r>
      <w:r w:rsidR="00610DD1">
        <w:t xml:space="preserve"> the possibilities of dialogic gameplay in existing games, which may have fruitful lessons for future dialogic game design.</w:t>
      </w:r>
    </w:p>
    <w:p w:rsidR="00FF0538" w:rsidRDefault="00FF0538" w:rsidP="00FF0538"/>
    <w:p w:rsidR="00FF0538" w:rsidRDefault="00FF0538" w:rsidP="00FF0538">
      <w:pPr>
        <w:pStyle w:val="Heading1"/>
      </w:pPr>
      <w:r>
        <w:lastRenderedPageBreak/>
        <w:t>Game analysis for dialogic learning</w:t>
      </w:r>
    </w:p>
    <w:p w:rsidR="00132C28" w:rsidRDefault="00132C28" w:rsidP="00132C28">
      <w:pPr>
        <w:pStyle w:val="Heading2"/>
      </w:pPr>
      <w:r>
        <w:t>Theoretical framework</w:t>
      </w:r>
    </w:p>
    <w:p w:rsidR="00203BFA" w:rsidRDefault="00146B16" w:rsidP="00FF0538">
      <w:r>
        <w:t xml:space="preserve">GBL takes place within a </w:t>
      </w:r>
      <w:r w:rsidR="00B74B12">
        <w:t xml:space="preserve">broadly </w:t>
      </w:r>
      <w:r>
        <w:t>constructivist instructional framework and is almost always situated within a wider instructional context, playing its part within a larger system.</w:t>
      </w:r>
      <w:r w:rsidR="00B74B12">
        <w:t xml:space="preserve"> </w:t>
      </w:r>
      <w:r w:rsidR="00E86A03">
        <w:t xml:space="preserve">The wider instructional context is of course socioculturally mediated, a fact too often overlooked in GBL theory and of relevance when considering how to explicitly integrate dialogue into games. </w:t>
      </w:r>
      <w:r w:rsidR="00203BFA">
        <w:t>Despite advances in GBL research, recent critiques of serious game design methodologies claim that there is still a lack of “</w:t>
      </w:r>
      <w:r w:rsidR="00203BFA" w:rsidRPr="00203BFA">
        <w:t>proper consideration of the relationship between learning mechanics and game mechanics</w:t>
      </w:r>
      <w:r w:rsidR="00203BFA">
        <w:t xml:space="preserve">” </w:t>
      </w:r>
      <w:r w:rsidR="00203BFA">
        <w:fldChar w:fldCharType="begin" w:fldLock="1"/>
      </w:r>
      <w:r w:rsidR="00E86A03">
        <w:instrText>ADDIN CSL_CITATION {"citationItems":[{"id":"ITEM-1","itemData":{"DOI":"10.34190/JEL.17.3.004","ISSN":"14794403","abstract":"The field of game design for educational content lacks a focus on methodologies that merge gameplay and learning. Existing methodologies typically fall short in three ways: they neglect the unfolding of gameplay through players’ actions over a short period of time as a significant unit of analysis; they lack a common consideration of game and learning mechanics; and they falsely separate the acts of playing and learning. This paper recommends the gameplay loop methodology as a valuable tool for educational game design, as it addresses these major shortcomings. Furthermore, this paper outlines how this methodology can be supported by knowledge from subject-specific didactics—considering both the curriculum and its mediation (contributed by experts from educational practice) as well as methods of player-centered design—in order to ensure the appropriateness of learning objectives and techniques of mediation in the context of a particular field of knowledge, the game’s appeal to its target group, and the effectiveness of the learning mechanics. A case study of the design and production phases of Antura and the Letters, a literacy game for Arabic refugee children, illustrates the uses of the gameplay loop methodology situated in the described broader approach to educational game design. Finally, this paper explains the results of an impact study revealing that the approach indeed provides the opportunity to merge playing and learning.","author":[{"dropping-particle":"","family":"Czauderna","given":"André","non-dropping-particle":"","parse-names":false,"suffix":""},{"dropping-particle":"","family":"Guardiola","given":"Emmanuel","non-dropping-particle":"","parse-names":false,"suffix":""}],"container-title":"Electronic Journal of e-Learning","id":"ITEM-1","issue":"3","issued":{"date-parts":[["2019"]]},"page":"207-221","title":"The gameplay loop methodology as a tool for educational game design","type":"article-journal","volume":"17"},"locator":"208","uris":["http://www.mendeley.com/documents/?uuid=97b495e3-a84a-4020-86e6-2b8166985ceb"]},{"id":"ITEM-2","itemData":{"DOI":"10.18178/ijiet.2019.9.10.1290","ISSN":"20103689","abstract":"Educational games are gaining recognition and popularity as a novel teaching technology in the recent decade. However, most existing studies on its design either fail to examine game mechanics through the lens of pedagogical theories or address the design variation in games integrating different fields of study. This paper aims to resolve the deficiencies in prior research and shed light on the heuristic of creating effective educational games through a structured, pragmatic, and multidimensional design framework. An empirical study is conducted on 50 representative games stratified based on 5 categories of academic disciplines. A total of 25 game mechanics that promote learning outcomes are identified and analyzed in relation to three schools of learning theories-behaviorism, cognitivism, and constructivism. Finally, the findings in game mechanics, academic disciplines, and learning theories are synthesized to derive a pedagogy-based framework with the intent to help game designers optimize learning efficiency in their games and create a better learning experience for players.","author":[{"dropping-particle":"","family":"Huo","given":"Yunhao","non-dropping-particle":"","parse-names":false,"suffix":""}],"container-title":"International Journal of Information and Education Technology","id":"ITEM-2","issue":"10","issued":{"date-parts":[["2019"]]},"page":"704-709","title":"A pedagogy-based framework for optimizing learning efficiency across multiple disciplines in educational games","type":"article-journal","volume":"9"},"prefix":"see also","uris":["http://www.mendeley.com/documents/?uuid=25bce9af-e3fd-42da-840b-b5abd590f16d"]}],"mendeley":{"formattedCitation":"(Czauderna and Guardiola, 2019, p. 208; see also Huo, 2019)","plainTextFormattedCitation":"(Czauderna and Guardiola, 2019, p. 208; see also Huo, 2019)","previouslyFormattedCitation":"(Czauderna and Guardiola, 2019, p. 208)"},"properties":{"noteIndex":0},"schema":"https://github.com/citation-style-language/schema/raw/master/csl-citation.json"}</w:instrText>
      </w:r>
      <w:r w:rsidR="00203BFA">
        <w:fldChar w:fldCharType="separate"/>
      </w:r>
      <w:r w:rsidR="00E86A03" w:rsidRPr="00E86A03">
        <w:rPr>
          <w:noProof/>
        </w:rPr>
        <w:t>(Czauderna and Guardiola, 2019, p. 208; see also Huo, 2019)</w:t>
      </w:r>
      <w:r w:rsidR="00203BFA">
        <w:fldChar w:fldCharType="end"/>
      </w:r>
      <w:r w:rsidR="009F734E">
        <w:t xml:space="preserve"> and advise an approach which more explicitly links learning design with game mechanics</w:t>
      </w:r>
      <w:r w:rsidR="00455545">
        <w:t xml:space="preserve">, recognising that play and learning are not so far separated as has been previously proposed </w:t>
      </w:r>
      <w:r w:rsidR="009F734E">
        <w:fldChar w:fldCharType="begin" w:fldLock="1"/>
      </w:r>
      <w:r w:rsidR="00455545">
        <w:instrText>ADDIN CSL_CITATION {"citationItems":[{"id":"ITEM-1","itemData":{"DOI":"10.34190/JEL.17.3.004","ISSN":"14794403","abstract":"The field of game design for educational content lacks a focus on methodologies that merge gameplay and learning. Existing methodologies typically fall short in three ways: they neglect the unfolding of gameplay through players’ actions over a short period of time as a significant unit of analysis; they lack a common consideration of game and learning mechanics; and they falsely separate the acts of playing and learning. This paper recommends the gameplay loop methodology as a valuable tool for educational game design, as it addresses these major shortcomings. Furthermore, this paper outlines how this methodology can be supported by knowledge from subject-specific didactics—considering both the curriculum and its mediation (contributed by experts from educational practice) as well as methods of player-centered design—in order to ensure the appropriateness of learning objectives and techniques of mediation in the context of a particular field of knowledge, the game’s appeal to its target group, and the effectiveness of the learning mechanics. A case study of the design and production phases of Antura and the Letters, a literacy game for Arabic refugee children, illustrates the uses of the gameplay loop methodology situated in the described broader approach to educational game design. Finally, this paper explains the results of an impact study revealing that the approach indeed provides the opportunity to merge playing and learning.","author":[{"dropping-particle":"","family":"Czauderna","given":"André","non-dropping-particle":"","parse-names":false,"suffix":""},{"dropping-particle":"","family":"Guardiola","given":"Emmanuel","non-dropping-particle":"","parse-names":false,"suffix":""}],"container-title":"Electronic Journal of e-Learning","id":"ITEM-1","issue":"3","issued":{"date-parts":[["2019"]]},"page":"207-221","title":"The gameplay loop methodology as a tool for educational game design","type":"article-journal","volume":"17"},"locator":"209","uris":["http://www.mendeley.com/documents/?uuid=97b495e3-a84a-4020-86e6-2b8166985ceb"]},{"id":"ITEM-2","itemData":{"author":[{"dropping-particle":"","family":"Westera","given":"Wim","non-dropping-particle":"","parse-names":false,"suffix":""}],"container-title":"Educational Technology &amp; Society","id":"ITEM-2","issue":"1","issued":{"date-parts":[["2019"]]},"page":"59-69","title":"Why and How Serious Games can Become Far More Effective : Accommodating Productive Learning Experiences , Learner Motivation and the Monitoring of Learning Gains","type":"article-journal","volume":"22"},"uris":["http://www.mendeley.com/documents/?uuid=3e0c7dd8-dd76-48d2-8be1-296e02a87a06"]},{"id":"ITEM-3","itemData":{"DOI":"10.1111/bjet.12113","ISBN":"1467-8535","ISSN":"14678535","PMID":"25246403","abstract":"Although there is a consensus on the instructional potential of Serious Games (SGs), there is still a lack of methodologies and tools not only for design but also to support analysis and assessment. Filling this gap is one of the main aims of the Games and Learning Alliance (http://www.galanoe.eu) European Network of Excellence on Serious Games,which has a focus upon pedagogy-driven SGs. This paper relies on the assumption that the fundamental aspect of SG design consists in the translation of learning goals/ practices into mechanical element of gameplay, serving to an instructional purpose beside that of play and fun. This paper proposes the Learning Mechanics–Game Mechanics (LM-GM) model, which supports SG analysis and design by allowing reflec- tion on the various pedagogical and gameelements in an SG.TheLM-GMmodel includes a set of pre-defined game mechanics and pedagogical elements that we have abstracted from literature on game studies and learning theories. Designers and analysts can exploit these mechanics to drawthe LM-GMmap for a game, so as to identify and highlight its main pedagogical and entertainment features, and their interrelations. The tool may also be useful for teachers to evaluate the effectiveness of a given game and better understand how to implement it in educational settings. A case study is reported to illustrate the framework’s support in determining how gameplay and pedagogy intertwine in an SG. Finally, the paper presents the results of two comparative user tests demonstrating the advantages of the proposed model with respect to a similar state-of-the-art framework.","author":[{"dropping-particle":"","family":"Arnab","given":"Sylvester","non-dropping-particle":"","parse-names":false,"suffix":""},{"dropping-particle":"","family":"Lim","given":"Theodore","non-dropping-particle":"","parse-names":false,"suffix":""},{"dropping-particle":"","family":"Carvalho","given":"Maira B.","non-dropping-particle":"","parse-names":false,"suffix":""},{"dropping-particle":"","family":"Bellotti","given":"Francesco","non-dropping-particle":"","parse-names":false,"suffix":""},{"dropping-particle":"","family":"Freitas","given":"Sara","non-dropping-particle":"De","parse-names":false,"suffix":""},{"dropping-particle":"","family":"Louchart","given":"Sandy","non-dropping-particle":"","parse-names":false,"suffix":""},{"dropping-particle":"","family":"Suttie","given":"Neil","non-dropping-particle":"","parse-names":false,"suffix":""},{"dropping-particle":"","family":"Berta","given":"Riccardo","non-dropping-particle":"","parse-names":false,"suffix":""},{"dropping-particle":"","family":"Gloria","given":"Alessandro","non-dropping-particle":"De","parse-names":false,"suffix":""}],"container-title":"British Journal of Educational Technology","id":"ITEM-3","issue":"2","issued":{"date-parts":[["2015"]]},"title":"Mapping learning and game mechanics for serious games analysis","type":"article-journal","volume":"46"},"uris":["http://www.mendeley.com/documents/?uuid=69f4df53-13ef-3735-a0fe-72f79aba336f"]}],"mendeley":{"formattedCitation":"(Arnab, Lim, Carvalho, Bellotti, De Freitas, &lt;i&gt;et al.&lt;/i&gt;, 2015; Czauderna and Guardiola, 2019, p. 209; Westera, 2019)","plainTextFormattedCitation":"(Arnab, Lim, Carvalho, Bellotti, De Freitas, et al., 2015; Czauderna and Guardiola, 2019, p. 209; Westera, 2019)","previouslyFormattedCitation":"(Arnab, Lim, Carvalho, Bellotti, De Freitas, &lt;i&gt;et al.&lt;/i&gt;, 2015; Czauderna and Guardiola, 2019, p. 209; Westera, 2019)"},"properties":{"noteIndex":0},"schema":"https://github.com/citation-style-language/schema/raw/master/csl-citation.json"}</w:instrText>
      </w:r>
      <w:r w:rsidR="009F734E">
        <w:fldChar w:fldCharType="separate"/>
      </w:r>
      <w:r w:rsidR="009F734E" w:rsidRPr="009F734E">
        <w:rPr>
          <w:noProof/>
        </w:rPr>
        <w:t xml:space="preserve">(Arnab, Lim, Carvalho, Bellotti, De Freitas, </w:t>
      </w:r>
      <w:r w:rsidR="009F734E" w:rsidRPr="009F734E">
        <w:rPr>
          <w:i/>
          <w:noProof/>
        </w:rPr>
        <w:t>et al.</w:t>
      </w:r>
      <w:r w:rsidR="009F734E" w:rsidRPr="009F734E">
        <w:rPr>
          <w:noProof/>
        </w:rPr>
        <w:t>, 2015; Czauderna and Guardiola, 2019, p. 209; Westera, 2019)</w:t>
      </w:r>
      <w:r w:rsidR="009F734E">
        <w:fldChar w:fldCharType="end"/>
      </w:r>
      <w:r w:rsidR="00455545">
        <w:t xml:space="preserve">. In order to attempt a design process which </w:t>
      </w:r>
      <w:r w:rsidR="008C3AED">
        <w:t xml:space="preserve">genuinely </w:t>
      </w:r>
      <w:r w:rsidR="00455545">
        <w:t xml:space="preserve">unifies gameplay with dialogic learning, this paper adopts the gameplay loop methodology as described in Guardiola </w:t>
      </w:r>
      <w:r w:rsidR="00455545">
        <w:fldChar w:fldCharType="begin" w:fldLock="1"/>
      </w:r>
      <w:r w:rsidR="00455545">
        <w:instrText>ADDIN CSL_CITATION {"citationItems":[{"id":"ITEM-1","itemData":{"DOI":"10.1145/3001773.3001791","ISBN":"978-1-4503-4773-0","author":[{"dropping-particle":"","family":"Guardiola","given":"Emmanuel","non-dropping-particle":"","parse-names":false,"suffix":""}],"container-title":"Proceedings of the 13th International Conference on Advances in Computer Entertainment Technology","id":"ITEM-1","issued":{"date-parts":[["2016"]]},"publisher-place":"Osaka","title":"The Gameplay Loop: A Player Activity Model for Game Design and Analysis","type":"paper-conference"},"suppress-author":1,"uris":["http://www.mendeley.com/documents/?uuid=c4d9dbfb-e81e-4f7b-bc59-9a8aad896275"]}],"mendeley":{"formattedCitation":"(2016)","plainTextFormattedCitation":"(2016)","previouslyFormattedCitation":"(2016)"},"properties":{"noteIndex":0},"schema":"https://github.com/citation-style-language/schema/raw/master/csl-citation.json"}</w:instrText>
      </w:r>
      <w:r w:rsidR="00455545">
        <w:fldChar w:fldCharType="separate"/>
      </w:r>
      <w:r w:rsidR="00455545" w:rsidRPr="00455545">
        <w:rPr>
          <w:noProof/>
        </w:rPr>
        <w:t>(2016)</w:t>
      </w:r>
      <w:r w:rsidR="00455545">
        <w:fldChar w:fldCharType="end"/>
      </w:r>
      <w:r w:rsidR="00455545">
        <w:t xml:space="preserve"> combined with the Learning Mechanic – Game Mechanic (LM-GM) framework </w:t>
      </w:r>
      <w:r w:rsidR="00455545">
        <w:fldChar w:fldCharType="begin" w:fldLock="1"/>
      </w:r>
      <w:r w:rsidR="00A743BE">
        <w:instrText>ADDIN CSL_CITATION {"citationItems":[{"id":"ITEM-1","itemData":{"DOI":"10.4018/978-1-4666-2848-9.ch010","ISBN":"9781466628489","abstract":"Digital technologies have increased the pace of knowledge creation, sharing, and the way in which learning is being undertaken. This chapter considers how Serious Games (SGs) as a digital technology endeavours to support effective lifelong learning. Three fundamental characteristics of the SG ecosystem, namely, game mechanics, interoperability, and assessment, are considered here as strategic elements that impact upon how SGs are to support learning, how they affect the learning environment, and ultimately, the SG development process. A prospective deconstruction of SGs into its pedagogical elements and its game mechanic nodes is presented to make aware the interoperability modus from which topical (domain) frameworks or architectures can be structured and assessed. To this end, the chapter explores the conceptual underpinnings through a case study on the eAdventure platform and argues that the key elements form the foundation for strategic development and implementation of SGs.","author":[{"dropping-particle":"","family":"Lim","given":"T.","non-dropping-particle":"","parse-names":false,"suffix":""},{"dropping-particle":"","family":"Louchart","given":"S.","non-dropping-particle":"","parse-names":false,"suffix":""},{"dropping-particle":"","family":"Suttie","given":"N.","non-dropping-particle":"","parse-names":false,"suffix":""},{"dropping-particle":"","family":"Ritchie","given":"J.M.","non-dropping-particle":"","parse-names":false,"suffix":""},{"dropping-particle":"","family":"Aylett","given":"R.S.","non-dropping-particle":"","parse-names":false,"suffix":""},{"dropping-particle":"","family":"Stanescu","given":"I. A.","non-dropping-particle":"","parse-names":false,"suffix":""},{"dropping-particle":"","family":"Roceanu","given":"I.","non-dropping-particle":"","parse-names":false,"suffix":""},{"dropping-particle":"","family":"Martinez-Ortiz","given":"I.","non-dropping-particle":"","parse-names":false,"suffix":""},{"dropping-particle":"","family":"Moreno-Ger","given":"P.","non-dropping-particle":"","parse-names":false,"suffix":""}],"chapter-number":"10","container-title":"Cases on Digital Game-Based Learning: Methods, Models, and Strategies","editor":[{"dropping-particle":"","family":"Baek","given":"Youngkyun","non-dropping-particle":"","parse-names":false,"suffix":""},{"dropping-particle":"","family":"Whitton","given":"Nicola","non-dropping-particle":"","parse-names":false,"suffix":""}],"id":"ITEM-1","issued":{"date-parts":[["2013"]]},"note":"You have a hard copy of this.","page":"168-198","publisher":"IGI Global","publisher-place":"Hershey, PA","title":"Strategies for Effective Digital Games Development and Implementation","type":"chapter"},"uris":["http://www.mendeley.com/documents/?uuid=320c458d-c57d-42c1-b520-e1a04478bbe9"]}],"mendeley":{"formattedCitation":"(Lim &lt;i&gt;et al.&lt;/i&gt;, 2013)","plainTextFormattedCitation":"(Lim et al., 2013)","previouslyFormattedCitation":"(Lim &lt;i&gt;et al.&lt;/i&gt;, 2013)"},"properties":{"noteIndex":0},"schema":"https://github.com/citation-style-language/schema/raw/master/csl-citation.json"}</w:instrText>
      </w:r>
      <w:r w:rsidR="00455545">
        <w:fldChar w:fldCharType="separate"/>
      </w:r>
      <w:r w:rsidR="00455545" w:rsidRPr="00455545">
        <w:rPr>
          <w:noProof/>
        </w:rPr>
        <w:t xml:space="preserve">(Lim </w:t>
      </w:r>
      <w:r w:rsidR="00455545" w:rsidRPr="00455545">
        <w:rPr>
          <w:i/>
          <w:noProof/>
        </w:rPr>
        <w:t>et al.</w:t>
      </w:r>
      <w:r w:rsidR="00455545" w:rsidRPr="00455545">
        <w:rPr>
          <w:noProof/>
        </w:rPr>
        <w:t>, 2013)</w:t>
      </w:r>
      <w:r w:rsidR="00455545">
        <w:fldChar w:fldCharType="end"/>
      </w:r>
      <w:r w:rsidR="00455545">
        <w:t xml:space="preserve">. This approach allows for a formal description of how learning happens through gameplay interactions at a micro level, and enables the identification of </w:t>
      </w:r>
      <w:r w:rsidR="00B1523C">
        <w:t>specific interactions</w:t>
      </w:r>
      <w:r w:rsidR="00455545">
        <w:t xml:space="preserve"> where dialogic learning can be prompted</w:t>
      </w:r>
      <w:r w:rsidR="00E86A03">
        <w:t xml:space="preserve"> within (as opposed to alongside) GBL</w:t>
      </w:r>
      <w:r w:rsidR="00455545">
        <w:t>.</w:t>
      </w:r>
    </w:p>
    <w:p w:rsidR="00203BFA" w:rsidRDefault="00203BFA" w:rsidP="00FF0538"/>
    <w:p w:rsidR="00203BFA" w:rsidRDefault="00132C28" w:rsidP="00132C28">
      <w:pPr>
        <w:pStyle w:val="Heading2"/>
      </w:pPr>
      <w:r>
        <w:t>Gameplay loop analysis</w:t>
      </w:r>
    </w:p>
    <w:p w:rsidR="00A743BE" w:rsidRDefault="00A743BE" w:rsidP="00A743BE">
      <w:r>
        <w:t xml:space="preserve">All three </w:t>
      </w:r>
      <w:r w:rsidR="00E86A03">
        <w:t xml:space="preserve">case study </w:t>
      </w:r>
      <w:r w:rsidR="002760A1">
        <w:t xml:space="preserve">tabletop </w:t>
      </w:r>
      <w:r>
        <w:t xml:space="preserve">games analysed </w:t>
      </w:r>
      <w:r w:rsidR="002760A1">
        <w:t>(</w:t>
      </w:r>
      <w:r w:rsidR="002760A1" w:rsidRPr="002760A1">
        <w:rPr>
          <w:i/>
        </w:rPr>
        <w:t>Meeple Circus</w:t>
      </w:r>
      <w:r w:rsidR="002760A1">
        <w:t xml:space="preserve">, </w:t>
      </w:r>
      <w:r w:rsidR="002760A1" w:rsidRPr="002760A1">
        <w:rPr>
          <w:i/>
        </w:rPr>
        <w:t>Blueprints</w:t>
      </w:r>
      <w:r w:rsidR="002760A1">
        <w:t xml:space="preserve">, and </w:t>
      </w:r>
      <w:r w:rsidR="002760A1" w:rsidRPr="002760A1">
        <w:rPr>
          <w:i/>
        </w:rPr>
        <w:t>Best Treehouse Ever</w:t>
      </w:r>
      <w:r w:rsidR="002760A1">
        <w:t xml:space="preserve">) </w:t>
      </w:r>
      <w:r>
        <w:t xml:space="preserve">are based on the overall mechanic </w:t>
      </w:r>
      <w:r w:rsidR="002760A1">
        <w:t xml:space="preserve">of </w:t>
      </w:r>
      <w:r>
        <w:t xml:space="preserve">constructing structures or arrangements from game components (cards or pieces) with varying amounts of physical dexterity required. This was seen as a suitable overall metaphor for the process of learning how to ‘build up’ a literature review </w:t>
      </w:r>
      <w:r>
        <w:fldChar w:fldCharType="begin" w:fldLock="1"/>
      </w:r>
      <w:r w:rsidR="00F01C79">
        <w:instrText>ADDIN CSL_CITATION {"citationItems":[{"id":"ITEM-1","itemData":{"DOI":"10.1007/978-3-030-11548-7_30","author":[{"dropping-particle":"","family":"Abbott","given":"Daisy","non-dropping-particle":"","parse-names":false,"suffix":""}],"container-title":"Games and Learning Alliance","editor":[{"dropping-particle":"","family":"Gentile","given":"Manuel","non-dropping-particle":"","parse-names":false,"suffix":""},{"dropping-particle":"","family":"Allegra","given":"Mario","non-dropping-particle":"","parse-names":false,"suffix":""},{"dropping-particle":"","family":"Söbke","given":"Heinrich","non-dropping-particle":"","parse-names":false,"suffix":""}],"id":"ITEM-1","issued":{"date-parts":[["2019"]]},"page":"318-329","publisher":"Springer Lecture Notes in Computer Science, 11385","title":"Modding Tabletop Games for Education","type":"paper-conference"},"uris":["http://www.mendeley.com/documents/?uuid=2e768cf2-604d-443a-aff9-3d668cabc084"]}],"mendeley":{"formattedCitation":"(Abbott, 2019b)","plainTextFormattedCitation":"(Abbott, 2019b)","previouslyFormattedCitation":"(Abbott, 2019b)"},"properties":{"noteIndex":0},"schema":"https://github.com/citation-style-language/schema/raw/master/csl-citation.json"}</w:instrText>
      </w:r>
      <w:r>
        <w:fldChar w:fldCharType="separate"/>
      </w:r>
      <w:r w:rsidRPr="00A743BE">
        <w:rPr>
          <w:noProof/>
        </w:rPr>
        <w:t>(Abbott, 2019b)</w:t>
      </w:r>
      <w:r>
        <w:fldChar w:fldCharType="end"/>
      </w:r>
      <w:r>
        <w:t>. Furthermore, all three are ostensibly competitive games with one winner</w:t>
      </w:r>
      <w:r w:rsidR="002760A1">
        <w:t xml:space="preserve">. These characteristics make identifying points for dialogue an interesting design challenge as it could be considered that competition and concentration on physical dexterity inhibit dialogic learning. Nevertheless, these games make interesting case studies as fully-fledged game systems (as opposed to much </w:t>
      </w:r>
      <w:r w:rsidR="00352D07">
        <w:t>less-structured games,</w:t>
      </w:r>
      <w:r w:rsidR="002760A1">
        <w:t xml:space="preserve"> </w:t>
      </w:r>
      <w:r w:rsidR="00F01C79">
        <w:t xml:space="preserve">which function </w:t>
      </w:r>
      <w:r w:rsidR="00352D07">
        <w:t>more as discussion tools</w:t>
      </w:r>
      <w:r w:rsidR="00F01C79">
        <w:t xml:space="preserve"> </w:t>
      </w:r>
      <w:r w:rsidR="00352D07">
        <w:t>(</w:t>
      </w:r>
      <w:r w:rsidR="00F01C79">
        <w:t xml:space="preserve">e.g. Fairness Toolkit </w:t>
      </w:r>
      <w:r w:rsidR="00F01C79">
        <w:fldChar w:fldCharType="begin" w:fldLock="1"/>
      </w:r>
      <w:r w:rsidR="00607D9C">
        <w:instrText>ADDIN CSL_CITATION {"citationItems":[{"id":"ITEM-1","itemData":{"URL":"https://unbias.wp.horizon.ac.uk/fairness-toolkit/","accessed":{"date-parts":[["2020","4","11"]]},"author":[{"dropping-particle":"","family":"Lane","given":"Giles","non-dropping-particle":"","parse-names":false,"suffix":""}],"container-title":"UnBias","id":"ITEM-1","issued":{"date-parts":[["2018"]]},"title":"Fairness Toolkit","type":"webpage"},"uris":["http://www.mendeley.com/documents/?uuid=545b7d4f-a36f-4d52-9268-dd565a6ce9f3"]}],"mendeley":{"formattedCitation":"(Lane, 2018)","plainTextFormattedCitation":"(Lane, 2018)","previouslyFormattedCitation":"(Lane, 2018)"},"properties":{"noteIndex":0},"schema":"https://github.com/citation-style-language/schema/raw/master/csl-citation.json"}</w:instrText>
      </w:r>
      <w:r w:rsidR="00F01C79">
        <w:fldChar w:fldCharType="separate"/>
      </w:r>
      <w:r w:rsidR="00F01C79" w:rsidRPr="00F01C79">
        <w:rPr>
          <w:noProof/>
        </w:rPr>
        <w:t>(Lane, 2018)</w:t>
      </w:r>
      <w:r w:rsidR="00F01C79">
        <w:fldChar w:fldCharType="end"/>
      </w:r>
      <w:r w:rsidR="00352D07">
        <w:t>) or are structured primarily around the Role Play game mechanic.</w:t>
      </w:r>
      <w:r w:rsidR="00F01C79">
        <w:t xml:space="preserve"> </w:t>
      </w:r>
      <w:r w:rsidR="00352D07">
        <w:t xml:space="preserve">It should be noted that highly structured, turn-taking games fit the definition of </w:t>
      </w:r>
      <w:r w:rsidR="00730212">
        <w:t xml:space="preserve">“logical dialogue games” in formal dialogue theory </w:t>
      </w:r>
      <w:r w:rsidR="00730212">
        <w:fldChar w:fldCharType="begin" w:fldLock="1"/>
      </w:r>
      <w:r w:rsidR="00325005">
        <w:instrText>ADDIN CSL_CITATION {"citationItems":[{"id":"ITEM-1","itemData":{"author":[{"dropping-particle":"","family":"Pilkington","given":"Rachel","non-dropping-particle":"","parse-names":false,"suffix":""}],"id":"ITEM-1","issued":{"date-parts":[["2015"]]},"publisher":"Routledge","publisher-place":"London","title":"Discourse, Dialogue and Technology Enhanced Learning","type":"book"},"uris":["http://www.mendeley.com/documents/?uuid=2aadfd94-2335-4d6a-a1b0-9b37f31dbdaf"]}],"mendeley":{"formattedCitation":"(Pilkington, 2015)","plainTextFormattedCitation":"(Pilkington, 2015)","previouslyFormattedCitation":"(Pilkington, 2015)"},"properties":{"noteIndex":0},"schema":"https://github.com/citation-style-language/schema/raw/master/csl-citation.json"}</w:instrText>
      </w:r>
      <w:r w:rsidR="00730212">
        <w:fldChar w:fldCharType="separate"/>
      </w:r>
      <w:r w:rsidR="00730212" w:rsidRPr="00730212">
        <w:rPr>
          <w:noProof/>
        </w:rPr>
        <w:t>(Pilkington, 2015)</w:t>
      </w:r>
      <w:r w:rsidR="00730212">
        <w:fldChar w:fldCharType="end"/>
      </w:r>
      <w:r w:rsidR="00730212">
        <w:t xml:space="preserve">. </w:t>
      </w:r>
      <w:r w:rsidR="00352D07">
        <w:t>As such, an analysis of existing tabletop games</w:t>
      </w:r>
      <w:r w:rsidR="00F01C79">
        <w:t xml:space="preserve"> offer</w:t>
      </w:r>
      <w:r w:rsidR="00352D07">
        <w:t>s</w:t>
      </w:r>
      <w:r w:rsidR="00F01C79">
        <w:t xml:space="preserve"> the potential to identify precisely which game mechanics could be exploited for dialogic learning (and which </w:t>
      </w:r>
      <w:r w:rsidR="00A6687E">
        <w:t>may not</w:t>
      </w:r>
      <w:r w:rsidR="00F01C79">
        <w:t>).</w:t>
      </w:r>
    </w:p>
    <w:p w:rsidR="00607D9C" w:rsidRDefault="00607D9C" w:rsidP="00A743BE"/>
    <w:p w:rsidR="006A4BED" w:rsidRDefault="00607D9C" w:rsidP="00A743BE">
      <w:r>
        <w:t xml:space="preserve">Figures 1 – 3 show each game represented as a gameplay loop, annotated with both Learning and Game Mechanics at each point in the gameplay, and with darker background annotations showing places where game modifications </w:t>
      </w:r>
      <w:r w:rsidR="002B632B">
        <w:t xml:space="preserve">for educational purposes </w:t>
      </w:r>
      <w:r>
        <w:t xml:space="preserve">could lead to further Learning Mechanics (LMs) being added. </w:t>
      </w:r>
      <w:r w:rsidR="00904E15">
        <w:t>Gameplay elements considered particularly suited to dialogic learning have been marked with a circled letter D.</w:t>
      </w:r>
    </w:p>
    <w:p w:rsidR="00904E15" w:rsidRDefault="00904E15" w:rsidP="00A743BE"/>
    <w:p w:rsidR="00C1046A" w:rsidRDefault="00EE7B4D" w:rsidP="00C1046A">
      <w:pPr>
        <w:keepNext/>
      </w:pPr>
      <w:r>
        <w:rPr>
          <w:noProof/>
        </w:rPr>
        <w:drawing>
          <wp:inline distT="0" distB="0" distL="0" distR="0">
            <wp:extent cx="5724525" cy="3990975"/>
            <wp:effectExtent l="0" t="0" r="0" b="0"/>
            <wp:docPr id="1" name="Picture 1" descr="modding-games-01-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ding-games-01-dialog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rsidR="00C1046A" w:rsidRDefault="00C1046A" w:rsidP="00C1046A">
      <w:pPr>
        <w:pStyle w:val="Caption"/>
      </w:pPr>
      <w:bookmarkStart w:id="1" w:name="_Ref37672716"/>
      <w:r>
        <w:t xml:space="preserve">Figure </w:t>
      </w:r>
      <w:fldSimple w:instr=" SEQ Figure \* ARABIC ">
        <w:r w:rsidR="008622B7">
          <w:rPr>
            <w:noProof/>
          </w:rPr>
          <w:t>1</w:t>
        </w:r>
      </w:fldSimple>
      <w:bookmarkEnd w:id="1"/>
      <w:r>
        <w:t xml:space="preserve"> - Meeple Circus: annotated gameplay loop showing Learning Mechanics, Game Mechanics, and potential for dialogue</w:t>
      </w:r>
    </w:p>
    <w:p w:rsidR="00C1046A" w:rsidRDefault="00C1046A" w:rsidP="00A743BE"/>
    <w:p w:rsidR="00C1046A" w:rsidRDefault="00EE7B4D" w:rsidP="00C1046A">
      <w:pPr>
        <w:keepNext/>
      </w:pPr>
      <w:r>
        <w:rPr>
          <w:noProof/>
        </w:rPr>
        <w:drawing>
          <wp:inline distT="0" distB="0" distL="0" distR="0">
            <wp:extent cx="5724525" cy="3990975"/>
            <wp:effectExtent l="0" t="0" r="0" b="0"/>
            <wp:docPr id="2" name="Picture 2" descr="modding-games-02-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ding-games-02-dialog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rsidR="00C1046A" w:rsidRDefault="00C1046A" w:rsidP="00C1046A">
      <w:pPr>
        <w:pStyle w:val="Caption"/>
      </w:pPr>
      <w:r>
        <w:t xml:space="preserve">Figure </w:t>
      </w:r>
      <w:fldSimple w:instr=" SEQ Figure \* ARABIC ">
        <w:r w:rsidR="008622B7">
          <w:rPr>
            <w:noProof/>
          </w:rPr>
          <w:t>2</w:t>
        </w:r>
      </w:fldSimple>
      <w:r>
        <w:t xml:space="preserve"> - Blueprints</w:t>
      </w:r>
      <w:r w:rsidRPr="00AE235E">
        <w:t>: annotated gameplay loop showing Learning Mechanics, Game Mechanics, and potential for dialogue</w:t>
      </w:r>
    </w:p>
    <w:p w:rsidR="00C1046A" w:rsidRDefault="00C1046A" w:rsidP="00A743BE"/>
    <w:p w:rsidR="00C1046A" w:rsidRDefault="00EE7B4D" w:rsidP="00C1046A">
      <w:pPr>
        <w:keepNext/>
      </w:pPr>
      <w:r>
        <w:rPr>
          <w:noProof/>
        </w:rPr>
        <w:drawing>
          <wp:inline distT="0" distB="0" distL="0" distR="0">
            <wp:extent cx="5724525" cy="3990975"/>
            <wp:effectExtent l="0" t="0" r="0" b="0"/>
            <wp:docPr id="3" name="Picture 3" descr="modding-games-03-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ding-games-03-dialog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rsidR="00C1046A" w:rsidRDefault="00C1046A" w:rsidP="00C1046A">
      <w:pPr>
        <w:pStyle w:val="Caption"/>
      </w:pPr>
      <w:r>
        <w:t xml:space="preserve">Figure </w:t>
      </w:r>
      <w:fldSimple w:instr=" SEQ Figure \* ARABIC ">
        <w:r w:rsidR="008622B7">
          <w:rPr>
            <w:noProof/>
          </w:rPr>
          <w:t>3</w:t>
        </w:r>
      </w:fldSimple>
      <w:r>
        <w:t xml:space="preserve"> - Best Treehouse Ever</w:t>
      </w:r>
      <w:r w:rsidRPr="00330D24">
        <w:t>: annotated gameplay loop showing Learning Mechanics, Game Mechanics, and potential for dialogue</w:t>
      </w:r>
    </w:p>
    <w:p w:rsidR="00C1046A" w:rsidRDefault="00C1046A" w:rsidP="00A743BE"/>
    <w:p w:rsidR="006A4BED" w:rsidRDefault="006A4BED" w:rsidP="00A743BE"/>
    <w:p w:rsidR="006A4BED" w:rsidRDefault="00607D9C" w:rsidP="00A743BE">
      <w:r>
        <w:t xml:space="preserve">The LM as identified by Arnab </w:t>
      </w:r>
      <w:r w:rsidRPr="00607D9C">
        <w:rPr>
          <w:i/>
        </w:rPr>
        <w:t>et al.</w:t>
      </w:r>
      <w:r>
        <w:t xml:space="preserve"> </w:t>
      </w:r>
      <w:r>
        <w:fldChar w:fldCharType="begin" w:fldLock="1"/>
      </w:r>
      <w:r w:rsidR="007F571D">
        <w:instrText>ADDIN CSL_CITATION {"citationItems":[{"id":"ITEM-1","itemData":{"DOI":"10.1111/bjet.12113","ISBN":"1467-8535","ISSN":"21686750","abstract":"Although there is a consensus on the instructional potential of Serious Games (SGs), there is still a lack of methodologies and tools not only for design but also to support analysis and assessment. Filling this gap is one of the main aims of the Games and Learning Alliance (http://www.galanoe.eu) European Network of Excellence on Serious Games,which has a focus upon pedagogy-driven SGs. This paper relies on the assumption that the fundamental aspect of SG design consists in the translation of learning goals/ practices into mechanical element of gameplay, serving to an instructional purpose beside that of play and fun. This paper proposes the Learning Mechanics–Game Mechanics (LM-GM) model, which supports SG analysis and design by allowing reflec- tion on the various pedagogical and gameelements in an SG.TheLM-GMmodel includes a set of pre-defined game mechanics and pedagogical elements that we have abstracted from literature on game studies and learning theories. Designers and analysts can exploit these mechanics to drawthe LM-GMmap for a game, so as to identify and highlight its main pedagogical and entertainment features, and their interrelations. The tool may also be useful for teachers to evaluate the effectiveness of a given game and better understand how to implement it in educational settings. A case study is reported to illustrate the framework’s support in determining how gameplay and pedagogy intertwine in an SG. Finally, the paper presents the results of two comparative user tests demonstrating the advantages of the proposed model with respect to a similar state-of-the-art framework.","author":[{"dropping-particle":"","family":"Arnab","given":"Sylvester","non-dropping-particle":"","parse-names":false,"suffix":""},{"dropping-particle":"","family":"Lim","given":"Theodore","non-dropping-particle":"","parse-names":false,"suffix":""},{"dropping-particle":"","family":"Carvalho","given":"Maira B.","non-dropping-particle":"","parse-names":false,"suffix":""},{"dropping-particle":"","family":"Bellotti","given":"Francesco","non-dropping-particle":"","parse-names":false,"suffix":""},{"dropping-particle":"de","family":"Freitas","given":"Sara","non-dropping-particle":"","parse-names":false,"suffix":""},{"dropping-particle":"","family":"Louchart","given":"Sandy","non-dropping-particle":"","parse-names":false,"suffix":""},{"dropping-particle":"","family":"Suttie","given":"Neil","non-dropping-particle":"","parse-names":false,"suffix":""},{"dropping-particle":"","family":"Berta","given":"Riccardo","non-dropping-particle":"","parse-names":false,"suffix":""},{"dropping-particle":"","family":"Gloria","given":"Alessandro","non-dropping-particle":"De","parse-names":false,"suffix":""}],"container-title":"British Journal of Educational Technology","id":"ITEM-1","issue":"2","issued":{"date-parts":[["2015"]]},"page":"391-411","title":"Mapping Learning and Game Mechanics for Serious Games Analysis in Engineering Education","type":"article-journal","volume":"46"},"locator":"397","suppress-author":1,"uris":["http://www.mendeley.com/documents/?uuid=62418d02-93ca-4685-90c0-7baff85df4aa"]}],"mendeley":{"formattedCitation":"(2015, p. 397)","plainTextFormattedCitation":"(2015, p. 397)","previouslyFormattedCitation":"(2015, p. 397)"},"properties":{"noteIndex":0},"schema":"https://github.com/citation-style-language/schema/raw/master/csl-citation.json"}</w:instrText>
      </w:r>
      <w:r>
        <w:fldChar w:fldCharType="separate"/>
      </w:r>
      <w:r w:rsidRPr="00607D9C">
        <w:rPr>
          <w:noProof/>
        </w:rPr>
        <w:t>(2015, p. 397)</w:t>
      </w:r>
      <w:r>
        <w:fldChar w:fldCharType="end"/>
      </w:r>
      <w:r>
        <w:t xml:space="preserve"> </w:t>
      </w:r>
      <w:r w:rsidR="009877FE">
        <w:t xml:space="preserve">closest to ‘dialogue’ </w:t>
      </w:r>
      <w:r>
        <w:t>is Reflect/Discuss</w:t>
      </w:r>
      <w:r w:rsidR="006A4BED">
        <w:t>. As can be seen, this LM is identified typically within the scoring phase of each game and is associated with the Match, Measure, and Feedback Game Mechanics (GMs).</w:t>
      </w:r>
      <w:r w:rsidR="00904E15">
        <w:t xml:space="preserve"> In On the Shoulders of Giants (gameplay loop shown in</w:t>
      </w:r>
      <w:r w:rsidR="00B05476">
        <w:t xml:space="preserve"> </w:t>
      </w:r>
      <w:r w:rsidR="00B05476">
        <w:fldChar w:fldCharType="begin"/>
      </w:r>
      <w:r w:rsidR="00B05476">
        <w:instrText xml:space="preserve"> REF _Ref37672722 \h </w:instrText>
      </w:r>
      <w:r w:rsidR="00B05476">
        <w:fldChar w:fldCharType="separate"/>
      </w:r>
      <w:r w:rsidR="00B05476">
        <w:t xml:space="preserve">Figure </w:t>
      </w:r>
      <w:r w:rsidR="00B05476">
        <w:rPr>
          <w:noProof/>
        </w:rPr>
        <w:t>4</w:t>
      </w:r>
      <w:r w:rsidR="00B05476">
        <w:fldChar w:fldCharType="end"/>
      </w:r>
      <w:r w:rsidR="007F571D">
        <w:t xml:space="preserve">, previously published in Abbott </w:t>
      </w:r>
      <w:r w:rsidR="007F571D">
        <w:fldChar w:fldCharType="begin" w:fldLock="1"/>
      </w:r>
      <w:r w:rsidR="00730212">
        <w:instrText>ADDIN CSL_CITATION {"citationItems":[{"id":"ITEM-1","itemData":{"DOI":"10.1007/978-3-030-11548-7_30","author":[{"dropping-particle":"","family":"Abbott","given":"Daisy","non-dropping-particle":"","parse-names":false,"suffix":""}],"container-title":"Games and Learning Alliance","editor":[{"dropping-particle":"","family":"Gentile","given":"Manuel","non-dropping-particle":"","parse-names":false,"suffix":""},{"dropping-particle":"","family":"Allegra","given":"Mario","non-dropping-particle":"","parse-names":false,"suffix":""},{"dropping-particle":"","family":"Söbke","given":"Heinrich","non-dropping-particle":"","parse-names":false,"suffix":""}],"id":"ITEM-1","issued":{"date-parts":[["2019"]]},"page":"318-329","publisher":"Springer Lecture Notes in Computer Science, 11385","title":"Modding Tabletop Games for Education","type":"paper-conference"},"suppress-author":1,"uris":["http://www.mendeley.com/documents/?uuid=2e768cf2-604d-443a-aff9-3d668cabc084"]}],"mendeley":{"formattedCitation":"(2019b)","plainTextFormattedCitation":"(2019b)","previouslyFormattedCitation":"(2019b)"},"properties":{"noteIndex":0},"schema":"https://github.com/citation-style-language/schema/raw/master/csl-citation.json"}</w:instrText>
      </w:r>
      <w:r w:rsidR="007F571D">
        <w:fldChar w:fldCharType="separate"/>
      </w:r>
      <w:r w:rsidR="007F571D" w:rsidRPr="007F571D">
        <w:rPr>
          <w:noProof/>
        </w:rPr>
        <w:t>(2019b)</w:t>
      </w:r>
      <w:r w:rsidR="007F571D">
        <w:fldChar w:fldCharType="end"/>
      </w:r>
      <w:r w:rsidR="00904E15">
        <w:t>), there is a great deal of focus on Reflect/Discuss in the ‘out game’ interactions (i.e. it takes place during the duration of the game but</w:t>
      </w:r>
      <w:r w:rsidR="007F571D">
        <w:t xml:space="preserve"> is not directly caused by a particular GM) and here it is closely associated with the Guidance (from the tutor) LM.</w:t>
      </w:r>
      <w:r w:rsidR="00A532EB">
        <w:t xml:space="preserve"> There is clear potential here for such ‘out game’ discussions to move towards a more egali</w:t>
      </w:r>
      <w:r w:rsidR="002B632B">
        <w:t>tarian dialogue and to further c</w:t>
      </w:r>
      <w:r w:rsidR="00A532EB">
        <w:t>onsolidate understanding.</w:t>
      </w:r>
    </w:p>
    <w:p w:rsidR="00CD3522" w:rsidRDefault="00CD3522" w:rsidP="00A743BE"/>
    <w:p w:rsidR="00C1046A" w:rsidRDefault="00CD3522" w:rsidP="00A743BE">
      <w:r>
        <w:t xml:space="preserve">It is clear, however, that dialogic learning could </w:t>
      </w:r>
      <w:r w:rsidR="007F571D">
        <w:t xml:space="preserve">also </w:t>
      </w:r>
      <w:r>
        <w:t>play a part in other LMs, most obviously Plan and Analyse (closely associated with the Strategy/Planning GM</w:t>
      </w:r>
      <w:r w:rsidR="00BD46DC">
        <w:t>, and in some cases with the Design/Edit GM</w:t>
      </w:r>
      <w:r>
        <w:t>) but that this would require dialogue betwe</w:t>
      </w:r>
      <w:r w:rsidR="00904E15">
        <w:t>en players collaborating towards a goal, and therefore need</w:t>
      </w:r>
      <w:r w:rsidR="00B0479C">
        <w:t>s</w:t>
      </w:r>
      <w:r w:rsidR="00904E15">
        <w:t xml:space="preserve"> players to be working together in teams in a competitive </w:t>
      </w:r>
      <w:r w:rsidR="00352D07">
        <w:t xml:space="preserve">game context, or playing an entirely collaborative game. Other LMs which could include an element of dialogue are Ownership, Responsibility, and Consolidate. In the three case studies shown here, Ownership and Responsibility arise largely from the overall Participation in the game itself, in making and enacting gameplay decisions. </w:t>
      </w:r>
      <w:r w:rsidR="00A532EB">
        <w:t>A</w:t>
      </w:r>
      <w:r w:rsidR="00352D07">
        <w:t>sking students to verbalise, justify, question, and consider the</w:t>
      </w:r>
      <w:r w:rsidR="00A532EB">
        <w:t>se decisions in a dialogic way has the potential to strengthen their Ownership and Responsibility over the learning content as well as Consolidating learning within and across different teams of players. In this way, vicarious learning caused by observation and analysis of other players’ actions can instead become dialogic participation in gameplay for the self, the team, and competitors.</w:t>
      </w:r>
    </w:p>
    <w:p w:rsidR="00CD3522" w:rsidRDefault="00A532EB" w:rsidP="00A743BE">
      <w:r>
        <w:br/>
        <w:t>Finally, where the Ins</w:t>
      </w:r>
      <w:r w:rsidR="002B632B">
        <w:t>truction LM or the Question&amp;</w:t>
      </w:r>
      <w:r>
        <w:t>Answer GM have been identified, it is useful to consider if these could be replaced in full or part by dialogue.</w:t>
      </w:r>
    </w:p>
    <w:p w:rsidR="00132C28" w:rsidRDefault="00132C28" w:rsidP="00FF0538"/>
    <w:p w:rsidR="00C1046A" w:rsidRDefault="00EE7B4D" w:rsidP="00C1046A">
      <w:pPr>
        <w:keepNext/>
      </w:pPr>
      <w:r>
        <w:rPr>
          <w:noProof/>
        </w:rPr>
        <w:drawing>
          <wp:inline distT="0" distB="0" distL="0" distR="0">
            <wp:extent cx="5724525" cy="3390900"/>
            <wp:effectExtent l="0" t="0" r="0" b="0"/>
            <wp:docPr id="4" name="Picture 4" descr="modding-gam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ding-games-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rsidR="00203BFA" w:rsidRDefault="00C1046A" w:rsidP="00C1046A">
      <w:pPr>
        <w:pStyle w:val="Caption"/>
      </w:pPr>
      <w:bookmarkStart w:id="2" w:name="_Ref37672722"/>
      <w:r>
        <w:t xml:space="preserve">Figure </w:t>
      </w:r>
      <w:fldSimple w:instr=" SEQ Figure \* ARABIC ">
        <w:r w:rsidR="008622B7">
          <w:rPr>
            <w:noProof/>
          </w:rPr>
          <w:t>4</w:t>
        </w:r>
      </w:fldSimple>
      <w:bookmarkEnd w:id="2"/>
      <w:r>
        <w:t xml:space="preserve"> - gameplay loop for On the Shoulders of Giants, an edu</w:t>
      </w:r>
      <w:r w:rsidR="00B05476">
        <w:t>c</w:t>
      </w:r>
      <w:r>
        <w:t>ational mod of Meeple Circus</w:t>
      </w:r>
    </w:p>
    <w:p w:rsidR="008C3AED" w:rsidRDefault="008C3AED" w:rsidP="00FF0538"/>
    <w:p w:rsidR="008C3AED" w:rsidRDefault="008C3AED" w:rsidP="00FF0538"/>
    <w:p w:rsidR="00132C28" w:rsidRDefault="00EE4EEB" w:rsidP="00132C28">
      <w:pPr>
        <w:pStyle w:val="Heading2"/>
      </w:pPr>
      <w:r>
        <w:t>Analysis of</w:t>
      </w:r>
      <w:r w:rsidR="00132C28">
        <w:t xml:space="preserve"> dialogic learning</w:t>
      </w:r>
      <w:r>
        <w:t xml:space="preserve"> within the LM-GM framework</w:t>
      </w:r>
    </w:p>
    <w:p w:rsidR="002B632B" w:rsidRDefault="001740F2" w:rsidP="00FF0538">
      <w:r w:rsidRPr="001740F2">
        <w:t>Within the limitations of th</w:t>
      </w:r>
      <w:r>
        <w:t xml:space="preserve">is narrow genre of </w:t>
      </w:r>
      <w:r w:rsidR="00290237">
        <w:t xml:space="preserve">construction-themed </w:t>
      </w:r>
      <w:r>
        <w:t>tabletop game</w:t>
      </w:r>
      <w:r w:rsidR="00290237">
        <w:t>s</w:t>
      </w:r>
      <w:r>
        <w:t xml:space="preserve">, it can be seen that there is no simple one-to-one </w:t>
      </w:r>
      <w:r w:rsidR="009877FE">
        <w:t>interaction</w:t>
      </w:r>
      <w:r>
        <w:t xml:space="preserve"> between GMs, LMs, and dialogic learning. A preliminary proposition of three categories is suggested: GMs which either prompt or inhibit a number of initial dialogic LMs, which then themselves can prompt subsequent LMs (which may or may not also include dialogue).</w:t>
      </w:r>
      <w:r w:rsidR="006D57E8">
        <w:t xml:space="preserve"> For the purposes of </w:t>
      </w:r>
      <w:r w:rsidR="008622B7">
        <w:t>this</w:t>
      </w:r>
      <w:r w:rsidR="006D57E8">
        <w:t xml:space="preserve"> model</w:t>
      </w:r>
      <w:r w:rsidR="008622B7">
        <w:t>,</w:t>
      </w:r>
      <w:r w:rsidR="006D57E8">
        <w:t xml:space="preserve"> shown in</w:t>
      </w:r>
      <w:r w:rsidR="008622B7">
        <w:t xml:space="preserve"> </w:t>
      </w:r>
      <w:r w:rsidR="008622B7">
        <w:fldChar w:fldCharType="begin"/>
      </w:r>
      <w:r w:rsidR="008622B7">
        <w:instrText xml:space="preserve"> REF _Ref37793400 \h </w:instrText>
      </w:r>
      <w:r w:rsidR="008622B7">
        <w:fldChar w:fldCharType="separate"/>
      </w:r>
      <w:r w:rsidR="008622B7">
        <w:t xml:space="preserve">Figure </w:t>
      </w:r>
      <w:r w:rsidR="008622B7">
        <w:rPr>
          <w:noProof/>
        </w:rPr>
        <w:t>5</w:t>
      </w:r>
      <w:r w:rsidR="008622B7">
        <w:fldChar w:fldCharType="end"/>
      </w:r>
      <w:r w:rsidR="006D57E8">
        <w:t xml:space="preserve">, the LM Reflect/Discuss has been </w:t>
      </w:r>
      <w:r w:rsidR="008E61A6">
        <w:t>separated</w:t>
      </w:r>
      <w:r w:rsidR="008622B7">
        <w:t xml:space="preserve"> </w:t>
      </w:r>
      <w:r w:rsidR="00290237">
        <w:t>into</w:t>
      </w:r>
      <w:r w:rsidR="008622B7">
        <w:t xml:space="preserve"> Reflect</w:t>
      </w:r>
      <w:r w:rsidR="00290237">
        <w:t xml:space="preserve"> and Dialogue</w:t>
      </w:r>
      <w:r w:rsidR="006D57E8">
        <w:t xml:space="preserve">, acknowledging that </w:t>
      </w:r>
      <w:r w:rsidR="008622B7">
        <w:t>Dialogue</w:t>
      </w:r>
      <w:r w:rsidR="006D57E8">
        <w:t xml:space="preserve"> could take place across all of the identified LMs</w:t>
      </w:r>
      <w:r w:rsidR="001640BA">
        <w:t>, if the circumstances encourage it</w:t>
      </w:r>
      <w:r w:rsidR="006D57E8">
        <w:t>.</w:t>
      </w:r>
    </w:p>
    <w:p w:rsidR="008622B7" w:rsidRDefault="008622B7" w:rsidP="00FF0538"/>
    <w:p w:rsidR="008622B7" w:rsidRDefault="00EE7B4D" w:rsidP="00290237">
      <w:pPr>
        <w:keepNext/>
        <w:jc w:val="center"/>
      </w:pPr>
      <w:r>
        <w:rPr>
          <w:noProof/>
        </w:rPr>
        <w:drawing>
          <wp:inline distT="0" distB="0" distL="0" distR="0">
            <wp:extent cx="4305300" cy="2714625"/>
            <wp:effectExtent l="0" t="0" r="0" b="0"/>
            <wp:docPr id="5" name="Picture 5" descr="dialogic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logicL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2714625"/>
                    </a:xfrm>
                    <a:prstGeom prst="rect">
                      <a:avLst/>
                    </a:prstGeom>
                    <a:noFill/>
                    <a:ln>
                      <a:noFill/>
                    </a:ln>
                  </pic:spPr>
                </pic:pic>
              </a:graphicData>
            </a:graphic>
          </wp:inline>
        </w:drawing>
      </w:r>
    </w:p>
    <w:p w:rsidR="0065242C" w:rsidRDefault="0065242C" w:rsidP="008622B7">
      <w:pPr>
        <w:pStyle w:val="Caption"/>
      </w:pPr>
      <w:bookmarkStart w:id="3" w:name="_Ref37793400"/>
    </w:p>
    <w:p w:rsidR="008622B7" w:rsidRDefault="008622B7" w:rsidP="008622B7">
      <w:pPr>
        <w:pStyle w:val="Caption"/>
      </w:pPr>
      <w:r>
        <w:t xml:space="preserve">Figure </w:t>
      </w:r>
      <w:fldSimple w:instr=" SEQ Figure \* ARABIC ">
        <w:r>
          <w:rPr>
            <w:noProof/>
          </w:rPr>
          <w:t>5</w:t>
        </w:r>
      </w:fldSimple>
      <w:bookmarkEnd w:id="3"/>
      <w:r>
        <w:t xml:space="preserve"> - interaction mapping between GMs, initial LMs, and subsequent LMs</w:t>
      </w:r>
      <w:r w:rsidR="00B16870">
        <w:t xml:space="preserve"> derived from three construction-themed tabletop games</w:t>
      </w:r>
      <w:r>
        <w:t>.</w:t>
      </w:r>
    </w:p>
    <w:p w:rsidR="001740F2" w:rsidRDefault="001740F2" w:rsidP="00FF0538"/>
    <w:p w:rsidR="001740F2" w:rsidRDefault="008622B7" w:rsidP="00FF0538">
      <w:r>
        <w:t xml:space="preserve">The first major feature to note with this model is that whilst many LMs </w:t>
      </w:r>
      <w:r w:rsidRPr="008622B7">
        <w:rPr>
          <w:i/>
        </w:rPr>
        <w:t>can</w:t>
      </w:r>
      <w:r>
        <w:t xml:space="preserve"> include an element of dialogue, this tends not to arise from the GM itself – as can be seen, no GM </w:t>
      </w:r>
      <w:r w:rsidR="00290237">
        <w:t xml:space="preserve">present here </w:t>
      </w:r>
      <w:r>
        <w:t xml:space="preserve">directly prompts Dialogue, rather the GMs prompt cognitive interactions such as Plan, Analyse, Reflect, and Consolidate which </w:t>
      </w:r>
      <w:r w:rsidRPr="008622B7">
        <w:rPr>
          <w:i/>
        </w:rPr>
        <w:t>may</w:t>
      </w:r>
      <w:r>
        <w:t xml:space="preserve"> include Dialogue but do not have to. Some of these LMs then prompt further LMs. Some GMs however do inhibit Dialogue, typically due to competing cognitive loads, it is difficult to engage in dialogic learning whilst under time pressure, for instance.</w:t>
      </w:r>
    </w:p>
    <w:p w:rsidR="008622B7" w:rsidRDefault="008622B7" w:rsidP="00FF0538"/>
    <w:p w:rsidR="00B16870" w:rsidRDefault="00B16870" w:rsidP="00FF0538">
      <w:r>
        <w:t>What then, prompts dialogic learning as an ‘in game’ interaction? As hinted at above, fruitful dialogue between learners requires communal goal-directed behaviour</w:t>
      </w:r>
      <w:r w:rsidR="0065242C">
        <w:t>s</w:t>
      </w:r>
      <w:r>
        <w:t xml:space="preserve"> which are absent in most games where players compete in teams of one.</w:t>
      </w:r>
      <w:r w:rsidR="0065242C">
        <w:t xml:space="preserve"> Collaborative discussion tends to take place only as ‘out game’, reflective interactions, borne out by the analysis of On the Shoulders of Giants in </w:t>
      </w:r>
      <w:r w:rsidR="0065242C">
        <w:fldChar w:fldCharType="begin"/>
      </w:r>
      <w:r w:rsidR="0065242C">
        <w:instrText xml:space="preserve"> REF _Ref37672722 \h </w:instrText>
      </w:r>
      <w:r w:rsidR="0065242C">
        <w:fldChar w:fldCharType="separate"/>
      </w:r>
      <w:r w:rsidR="0065242C">
        <w:t xml:space="preserve">Figure </w:t>
      </w:r>
      <w:r w:rsidR="0065242C">
        <w:rPr>
          <w:noProof/>
        </w:rPr>
        <w:t>4</w:t>
      </w:r>
      <w:r w:rsidR="0065242C">
        <w:fldChar w:fldCharType="end"/>
      </w:r>
      <w:r w:rsidR="0065242C">
        <w:t xml:space="preserve">. Whilst Tobias </w:t>
      </w:r>
      <w:r w:rsidR="0065242C" w:rsidRPr="0065242C">
        <w:rPr>
          <w:i/>
        </w:rPr>
        <w:t>et al.</w:t>
      </w:r>
      <w:r w:rsidR="0065242C">
        <w:t xml:space="preserve"> include Competition as a core characteristic of an effective educational game </w:t>
      </w:r>
      <w:r w:rsidR="0065242C">
        <w:fldChar w:fldCharType="begin" w:fldLock="1"/>
      </w:r>
      <w:r w:rsidR="00504167">
        <w:instrText>ADDIN CSL_CITATION {"citationItems":[{"id":"ITEM-1","itemData":{"DOI":"10.1007/978-1-4614-3185-5_38","ISBN":"9781461431855","ISSN":"2155-4196","PMID":"43402269","abstract":"&lt;p&gt;In teaching, the use of virtual and augmented reality has been on the rise, exploring different means of interaction and student engagement. Based on constructivist pedagogic principles, augmented reality pretends to provide the learner/user with effective access to information through real-time immersive experiences. Game-based learning is one of the approaches that have received growing interest. This paper presents the development of a game in a teaching and learning context, aiming to help students acquire knowledge in the field of geometry. The game was intended to develop the following competences in primary school learners (8-10 years): a better visualization of geometric objects on a plane and in space; understanding of the properties of geometric solids; and familiarization with the vocabulary of geometry. The authors will show that by using the game students have improved around 35% the hits of correct responses to the classification and differentiation between edge, vertex and face in 3D solids.&lt;/p&gt;","author":[{"dropping-particle":"","family":"Tobias","given":"Sigmund","non-dropping-particle":"","parse-names":false,"suffix":""},{"dropping-particle":"","family":"Fletcher","given":"J. Dexter","non-dropping-particle":"","parse-names":false,"suffix":""},{"dropping-particle":"","family":"Wind","given":"Alexander P.","non-dropping-particle":"","parse-names":false,"suffix":""}],"container-title":"Handbook of Research on Educational Communications and Technology: Fourth Edition","id":"ITEM-1","issued":{"date-parts":[["2014"]]},"title":"Game-based learning","type":"chapter"},"suppress-author":1,"uris":["http://www.mendeley.com/documents/?uuid=53227eb0-1501-3d94-bb4f-28f9bed5dfac"]}],"mendeley":{"formattedCitation":"(2014)","plainTextFormattedCitation":"(2014)","previouslyFormattedCitation":"(2014)"},"properties":{"noteIndex":0},"schema":"https://github.com/citation-style-language/schema/raw/master/csl-citation.json"}</w:instrText>
      </w:r>
      <w:r w:rsidR="0065242C">
        <w:fldChar w:fldCharType="separate"/>
      </w:r>
      <w:r w:rsidR="0065242C" w:rsidRPr="0065242C">
        <w:rPr>
          <w:noProof/>
        </w:rPr>
        <w:t>(2014)</w:t>
      </w:r>
      <w:r w:rsidR="0065242C">
        <w:fldChar w:fldCharType="end"/>
      </w:r>
      <w:r w:rsidR="0065242C">
        <w:t xml:space="preserve">, in this case, Competition as a GM is actively detrimental to </w:t>
      </w:r>
      <w:r w:rsidR="00C9549D">
        <w:t>this</w:t>
      </w:r>
      <w:r w:rsidR="0065242C">
        <w:t xml:space="preserve"> type of learning</w:t>
      </w:r>
      <w:r w:rsidR="00C9549D">
        <w:t>,</w:t>
      </w:r>
      <w:r w:rsidR="0065242C">
        <w:t xml:space="preserve"> </w:t>
      </w:r>
      <w:r w:rsidR="00C9549D">
        <w:t>considered</w:t>
      </w:r>
      <w:r w:rsidR="0065242C">
        <w:t xml:space="preserve"> suitable for postgraduate research skills. Instead, to encourage dialogue alternative GMs such as Collaborate, Cooperate, Communal Discovery, and Role Play could be the focus. Does this mean, then, that highly structured, competitive games should not be considered</w:t>
      </w:r>
      <w:r w:rsidR="00ED37BC">
        <w:t xml:space="preserve"> as GBL tools within this context? This author proposes that the advantages for student engagement and motivation – excitement, novelty, desire to win, turn-taking ensuring that all learners get a chance to participate – not to mention a clearly structured rules set for the teacher to use, </w:t>
      </w:r>
      <w:r w:rsidR="00C9549D">
        <w:t>maintain</w:t>
      </w:r>
      <w:r w:rsidR="00ED37BC">
        <w:t xml:space="preserve"> </w:t>
      </w:r>
      <w:r w:rsidR="00C9549D">
        <w:t xml:space="preserve">competitive </w:t>
      </w:r>
      <w:r w:rsidR="00E32C5F">
        <w:t>games</w:t>
      </w:r>
      <w:r w:rsidR="00C9549D">
        <w:t xml:space="preserve"> as a</w:t>
      </w:r>
      <w:r w:rsidR="00ED37BC">
        <w:t xml:space="preserve"> worthwhile</w:t>
      </w:r>
      <w:r w:rsidR="00C9549D">
        <w:t xml:space="preserve"> approach</w:t>
      </w:r>
      <w:r w:rsidR="00E32C5F">
        <w:t xml:space="preserve"> for higher order learning outcomes</w:t>
      </w:r>
      <w:r w:rsidR="00C9549D">
        <w:t>, provided that Dialogue-prompting GMs can also be effectively included</w:t>
      </w:r>
      <w:r w:rsidR="00ED37BC">
        <w:t xml:space="preserve">. </w:t>
      </w:r>
      <w:r w:rsidR="00C9549D">
        <w:t>The following overall principles are suggest</w:t>
      </w:r>
      <w:r w:rsidR="00E32C5F">
        <w:t>ed</w:t>
      </w:r>
      <w:r w:rsidR="00C9549D">
        <w:t xml:space="preserve"> for modifying game rules to increase dialogic learning.</w:t>
      </w:r>
    </w:p>
    <w:p w:rsidR="00C9549D" w:rsidRDefault="00C9549D" w:rsidP="00C9549D">
      <w:pPr>
        <w:numPr>
          <w:ilvl w:val="0"/>
          <w:numId w:val="14"/>
        </w:numPr>
      </w:pPr>
      <w:r>
        <w:t>Where Competition is a core game mechanic, group students so that they compete as a team. Depending on the exact game rules, teams of 2-4 are recommended to ensure every learner participates.</w:t>
      </w:r>
      <w:r w:rsidR="00504167">
        <w:t xml:space="preserve"> (This has the added advantage of increasing the number of players the game supports, a noted limitation when using tabletop games for GBL).</w:t>
      </w:r>
    </w:p>
    <w:p w:rsidR="00B96357" w:rsidRDefault="00B96357" w:rsidP="00B96357">
      <w:pPr>
        <w:numPr>
          <w:ilvl w:val="0"/>
          <w:numId w:val="14"/>
        </w:numPr>
      </w:pPr>
      <w:r>
        <w:t>Ensure that Plan, Analyse, and Reflect LMs are dialogic as much as possible. For example, Plan dialogue could take place within teams whereas Reflect could involve dialogue across all teams. If possible and appropriate, GMs not typically seen in this genre of game could be included, for example, players could be asked to Role Play during the scoring phase</w:t>
      </w:r>
      <w:r w:rsidR="00E32C5F">
        <w:t xml:space="preserve"> to critique their own or others’ strategies in order to deepen understanding. </w:t>
      </w:r>
    </w:p>
    <w:p w:rsidR="00C9549D" w:rsidRDefault="00C9549D" w:rsidP="00C9549D">
      <w:pPr>
        <w:numPr>
          <w:ilvl w:val="0"/>
          <w:numId w:val="14"/>
        </w:numPr>
      </w:pPr>
      <w:r>
        <w:t>The tutor/game facilitator’s input should be minimised. Where possible, Instruction and Guidance should be restricted to how to play the game, or to prompt dialogue where needed. This encourages egalitarian dialogue between all participants which increases focus on the Ownership and Responsibility LMs.</w:t>
      </w:r>
      <w:r w:rsidR="00E32C5F">
        <w:t xml:space="preserve"> Instruction can then further consolidate learning during the ‘out game’ debrief, if necessary.</w:t>
      </w:r>
    </w:p>
    <w:p w:rsidR="00B96357" w:rsidRDefault="00B96357" w:rsidP="00C9549D">
      <w:pPr>
        <w:numPr>
          <w:ilvl w:val="0"/>
          <w:numId w:val="14"/>
        </w:numPr>
      </w:pPr>
      <w:r>
        <w:t>If the game includes GMs that inhibit dialogue, split the cognitive load between team members, where possible. For example, each round one team member could focus on Dexterity interactions whilst the others engage in dialogue that formally complements the actions involving physical game pieces. Alternatively, a Turn Taking GM could be added to ensure all team members engage in the different types of interactions. Time Pressure can inhibit dialogue, however it can also increase excitement and focus. Time Pressure should be carefully balanced with other GMs to maximise the learning.</w:t>
      </w:r>
    </w:p>
    <w:p w:rsidR="00C9549D" w:rsidRDefault="00C9549D" w:rsidP="00FF0538"/>
    <w:p w:rsidR="002B632B" w:rsidRDefault="002B632B" w:rsidP="002B632B">
      <w:pPr>
        <w:pStyle w:val="Heading2"/>
      </w:pPr>
      <w:r>
        <w:t>Dialogic modifications for On the Shoulders of Giants</w:t>
      </w:r>
    </w:p>
    <w:p w:rsidR="002B632B" w:rsidRDefault="00034416" w:rsidP="00FF0538">
      <w:r>
        <w:t>In line with the analysis above, modifications for dialogic learning will now be presented for the primary case study: On the Shoulders of Giants</w:t>
      </w:r>
      <w:r w:rsidR="005D0034">
        <w:t>. These modifications should be read alongside the full game rules</w:t>
      </w:r>
      <w:r>
        <w:t xml:space="preserve"> </w:t>
      </w:r>
      <w:r>
        <w:fldChar w:fldCharType="begin" w:fldLock="1"/>
      </w:r>
      <w:r w:rsidR="002909CF">
        <w:instrText>ADDIN CSL_CITATION {"citationItems":[{"id":"ITEM-1","itemData":{"URL":"http://blog.gsofasimvis.com/index.php/research/games/on-the-shoulders-of-giants/","accessed":{"date-parts":[["2020","4","13"]]},"author":[{"dropping-particle":"","family":"Abbott","given":"Daisy","non-dropping-particle":"","parse-names":false,"suffix":""}],"id":"ITEM-1","issued":{"date-parts":[["2018"]]},"title":"On the Shoulders of Giants","type":"webpage"},"uris":["http://www.mendeley.com/documents/?uuid=fb4dffed-ca8c-447d-b64a-f5b8bc0aa590"]}],"mendeley":{"formattedCitation":"(Abbott, 2018)","plainTextFormattedCitation":"(Abbott, 2018)","previouslyFormattedCitation":"(Abbott, 2018)"},"properties":{"noteIndex":0},"schema":"https://github.com/citation-style-language/schema/raw/master/csl-citation.json"}</w:instrText>
      </w:r>
      <w:r>
        <w:fldChar w:fldCharType="separate"/>
      </w:r>
      <w:r w:rsidRPr="00034416">
        <w:rPr>
          <w:noProof/>
        </w:rPr>
        <w:t>(Abbott, 2018)</w:t>
      </w:r>
      <w:r>
        <w:fldChar w:fldCharType="end"/>
      </w:r>
      <w:r>
        <w:t>.</w:t>
      </w:r>
    </w:p>
    <w:p w:rsidR="00034416" w:rsidRDefault="00034416" w:rsidP="00FF05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7"/>
        <w:gridCol w:w="3286"/>
      </w:tblGrid>
      <w:tr w:rsidR="00F32EB9" w:rsidTr="008D407A">
        <w:trPr>
          <w:jc w:val="center"/>
        </w:trPr>
        <w:tc>
          <w:tcPr>
            <w:tcW w:w="0" w:type="auto"/>
            <w:shd w:val="clear" w:color="auto" w:fill="auto"/>
          </w:tcPr>
          <w:p w:rsidR="00034416" w:rsidRDefault="00034416" w:rsidP="008D407A">
            <w:pPr>
              <w:jc w:val="center"/>
            </w:pPr>
            <w:r>
              <w:t>Rule change</w:t>
            </w:r>
          </w:p>
        </w:tc>
        <w:tc>
          <w:tcPr>
            <w:tcW w:w="0" w:type="auto"/>
            <w:shd w:val="clear" w:color="auto" w:fill="auto"/>
          </w:tcPr>
          <w:p w:rsidR="00034416" w:rsidRDefault="00034416" w:rsidP="008D407A">
            <w:pPr>
              <w:jc w:val="center"/>
            </w:pPr>
            <w:r>
              <w:t>Justification</w:t>
            </w:r>
          </w:p>
        </w:tc>
      </w:tr>
      <w:tr w:rsidR="00F32EB9" w:rsidTr="008D407A">
        <w:trPr>
          <w:jc w:val="center"/>
        </w:trPr>
        <w:tc>
          <w:tcPr>
            <w:tcW w:w="0" w:type="auto"/>
            <w:shd w:val="clear" w:color="auto" w:fill="auto"/>
          </w:tcPr>
          <w:p w:rsidR="00034416" w:rsidRDefault="005D0034" w:rsidP="00FF0538">
            <w:r>
              <w:t>Require players to play in teams of 2 or 3.</w:t>
            </w:r>
            <w:r w:rsidR="00F6362F">
              <w:t xml:space="preserve"> All actions which refer to a player now involve the whole team.</w:t>
            </w:r>
          </w:p>
        </w:tc>
        <w:tc>
          <w:tcPr>
            <w:tcW w:w="0" w:type="auto"/>
            <w:shd w:val="clear" w:color="auto" w:fill="auto"/>
          </w:tcPr>
          <w:p w:rsidR="00034416" w:rsidRDefault="005D0034" w:rsidP="005D0034">
            <w:r>
              <w:t>Introduces new GMs: Collaborate and Communal Discovery whilst maintaining Competition. Team limited to 3 to ensure Participation is maintained.</w:t>
            </w:r>
          </w:p>
        </w:tc>
      </w:tr>
      <w:tr w:rsidR="00F32EB9" w:rsidTr="008D407A">
        <w:trPr>
          <w:jc w:val="center"/>
        </w:trPr>
        <w:tc>
          <w:tcPr>
            <w:tcW w:w="0" w:type="auto"/>
            <w:shd w:val="clear" w:color="auto" w:fill="auto"/>
          </w:tcPr>
          <w:p w:rsidR="00034416" w:rsidRDefault="005D0034" w:rsidP="00FF0538">
            <w:r>
              <w:t>Formalise Turn Taking within teams when drawing game components.</w:t>
            </w:r>
          </w:p>
        </w:tc>
        <w:tc>
          <w:tcPr>
            <w:tcW w:w="0" w:type="auto"/>
            <w:shd w:val="clear" w:color="auto" w:fill="auto"/>
          </w:tcPr>
          <w:p w:rsidR="00034416" w:rsidRDefault="005D0034" w:rsidP="00FF0538">
            <w:r>
              <w:t>Ensures all individuals maintain Participation.</w:t>
            </w:r>
          </w:p>
        </w:tc>
      </w:tr>
      <w:tr w:rsidR="00F32EB9" w:rsidTr="008D407A">
        <w:trPr>
          <w:jc w:val="center"/>
        </w:trPr>
        <w:tc>
          <w:tcPr>
            <w:tcW w:w="0" w:type="auto"/>
            <w:shd w:val="clear" w:color="auto" w:fill="auto"/>
          </w:tcPr>
          <w:p w:rsidR="00034416" w:rsidRDefault="005D0034" w:rsidP="005D0034">
            <w:r>
              <w:t>When game cards are read out to the group, the team to the left of the active team has a very brief dialogue and then responds with a question, comment, or real-life example.</w:t>
            </w:r>
          </w:p>
        </w:tc>
        <w:tc>
          <w:tcPr>
            <w:tcW w:w="0" w:type="auto"/>
            <w:shd w:val="clear" w:color="auto" w:fill="auto"/>
          </w:tcPr>
          <w:p w:rsidR="00034416" w:rsidRDefault="005D0034" w:rsidP="00FF0538">
            <w:r>
              <w:t xml:space="preserve">Replace the ‘out game’ Instruction and Observation (see </w:t>
            </w:r>
            <w:r>
              <w:fldChar w:fldCharType="begin"/>
            </w:r>
            <w:r>
              <w:instrText xml:space="preserve"> REF _Ref37672722 \h </w:instrText>
            </w:r>
            <w:r>
              <w:fldChar w:fldCharType="separate"/>
            </w:r>
            <w:r>
              <w:t xml:space="preserve">Figure </w:t>
            </w:r>
            <w:r>
              <w:rPr>
                <w:noProof/>
              </w:rPr>
              <w:t>4</w:t>
            </w:r>
            <w:r>
              <w:fldChar w:fldCharType="end"/>
            </w:r>
            <w:r>
              <w:t>) with an ‘in game’ formal Analyse and Dialogue LM.</w:t>
            </w:r>
          </w:p>
        </w:tc>
      </w:tr>
      <w:tr w:rsidR="00F32EB9" w:rsidTr="008D407A">
        <w:trPr>
          <w:jc w:val="center"/>
        </w:trPr>
        <w:tc>
          <w:tcPr>
            <w:tcW w:w="0" w:type="auto"/>
            <w:shd w:val="clear" w:color="auto" w:fill="auto"/>
          </w:tcPr>
          <w:p w:rsidR="00034416" w:rsidRDefault="00F6362F" w:rsidP="00F6362F">
            <w:r>
              <w:t>In the Using Sources phases, one team member builds whilst remaining team members discuss ideas, real-world examples (or if stuck, ask questions) about the type of component being placed.</w:t>
            </w:r>
          </w:p>
        </w:tc>
        <w:tc>
          <w:tcPr>
            <w:tcW w:w="0" w:type="auto"/>
            <w:shd w:val="clear" w:color="auto" w:fill="auto"/>
          </w:tcPr>
          <w:p w:rsidR="00034416" w:rsidRDefault="00290237" w:rsidP="00290237">
            <w:r>
              <w:t xml:space="preserve">Requires Communal Discovery GM. </w:t>
            </w:r>
            <w:r w:rsidR="00F6362F">
              <w:t>I</w:t>
            </w:r>
            <w:r w:rsidR="0093015F">
              <w:t xml:space="preserve">ntroduces Discuss and </w:t>
            </w:r>
            <w:r w:rsidR="00F6362F">
              <w:t>Analyse</w:t>
            </w:r>
            <w:r>
              <w:t xml:space="preserve"> LMs to the build phase.</w:t>
            </w:r>
            <w:r w:rsidR="0093015F">
              <w:t xml:space="preserve"> </w:t>
            </w:r>
            <w:r>
              <w:t>S</w:t>
            </w:r>
            <w:r w:rsidR="0093015F">
              <w:t>eparates cognitive load.</w:t>
            </w:r>
          </w:p>
        </w:tc>
      </w:tr>
      <w:tr w:rsidR="00F32EB9" w:rsidTr="008D407A">
        <w:trPr>
          <w:jc w:val="center"/>
        </w:trPr>
        <w:tc>
          <w:tcPr>
            <w:tcW w:w="0" w:type="auto"/>
            <w:shd w:val="clear" w:color="auto" w:fill="auto"/>
          </w:tcPr>
          <w:p w:rsidR="00034416" w:rsidRDefault="00F32EB9" w:rsidP="00F32EB9">
            <w:r>
              <w:t>When choosing a ‘star’</w:t>
            </w:r>
            <w:r w:rsidR="00290237">
              <w:t xml:space="preserve"> resource in</w:t>
            </w:r>
            <w:r>
              <w:t xml:space="preserve"> the second round, each team discusses and contextualises their resource for the other teams. The tutor should only provide Guidance where absolutely necessary but can provide dialogic prompts if needed.</w:t>
            </w:r>
          </w:p>
        </w:tc>
        <w:tc>
          <w:tcPr>
            <w:tcW w:w="0" w:type="auto"/>
            <w:shd w:val="clear" w:color="auto" w:fill="auto"/>
          </w:tcPr>
          <w:p w:rsidR="00034416" w:rsidRDefault="00F32EB9" w:rsidP="00FF0538">
            <w:r>
              <w:t>Moves the focus from Guidance and Instruction to Dialogue.</w:t>
            </w:r>
          </w:p>
        </w:tc>
      </w:tr>
      <w:tr w:rsidR="00F32EB9" w:rsidTr="008D407A">
        <w:trPr>
          <w:jc w:val="center"/>
        </w:trPr>
        <w:tc>
          <w:tcPr>
            <w:tcW w:w="0" w:type="auto"/>
            <w:shd w:val="clear" w:color="auto" w:fill="auto"/>
          </w:tcPr>
          <w:p w:rsidR="00034416" w:rsidRDefault="00F32EB9" w:rsidP="00F32EB9">
            <w:r>
              <w:t>The final round should be performed as previous Using Sources phases with one team member building whilst the other(s) perform the Question/Answer interactions. Observing teams make notes. After each team has performed a short formal dialogue (using Turn Taking) consolidates the learning for all teams.</w:t>
            </w:r>
          </w:p>
        </w:tc>
        <w:tc>
          <w:tcPr>
            <w:tcW w:w="0" w:type="auto"/>
            <w:shd w:val="clear" w:color="auto" w:fill="auto"/>
          </w:tcPr>
          <w:p w:rsidR="00034416" w:rsidRDefault="00F32EB9" w:rsidP="00FF0538">
            <w:r>
              <w:t>Splits cognitive load and provides further Co</w:t>
            </w:r>
            <w:r w:rsidR="00290237">
              <w:t>nsolidate interactions through D</w:t>
            </w:r>
            <w:r>
              <w:t>ialogue between teams. Turn Taking ensures brevity and participation.</w:t>
            </w:r>
          </w:p>
        </w:tc>
      </w:tr>
    </w:tbl>
    <w:p w:rsidR="00C1046A" w:rsidRDefault="00C1046A" w:rsidP="00FF0538"/>
    <w:p w:rsidR="0079604B" w:rsidRDefault="0079604B" w:rsidP="0079604B">
      <w:pPr>
        <w:pStyle w:val="Heading1"/>
      </w:pPr>
      <w:r>
        <w:t>Conclusion</w:t>
      </w:r>
    </w:p>
    <w:p w:rsidR="00F32EB9" w:rsidRDefault="00F32EB9" w:rsidP="00FF0538">
      <w:r>
        <w:t xml:space="preserve">This research has provided theoretical reflections on a </w:t>
      </w:r>
      <w:r w:rsidR="00375B0C">
        <w:t>particular</w:t>
      </w:r>
      <w:r>
        <w:t xml:space="preserve"> genre of tabletop games and their suitability for modification to include dialogic learning.</w:t>
      </w:r>
      <w:r w:rsidR="002909CF">
        <w:t xml:space="preserve"> Within the LM-GM framework, three games were analysed using gameplay loops and particular interactions were identified as having potential for increasing dialogue. Useful Learning Mechanics for dialogue were identified as Plan, Analyse, Reflect, and Consolidate, which, when combined with Dialogue (which was separated from the Reflect/Discuss mechanics identified by Arnab </w:t>
      </w:r>
      <w:r w:rsidR="002909CF" w:rsidRPr="002909CF">
        <w:rPr>
          <w:i/>
        </w:rPr>
        <w:t>et al.</w:t>
      </w:r>
      <w:r w:rsidR="002909CF">
        <w:t xml:space="preserve"> </w:t>
      </w:r>
      <w:r w:rsidR="002909CF">
        <w:fldChar w:fldCharType="begin" w:fldLock="1"/>
      </w:r>
      <w:r w:rsidR="009B3FD6">
        <w:instrText>ADDIN CSL_CITATION {"citationItems":[{"id":"ITEM-1","itemData":{"DOI":"10.1111/bjet.12113","ISBN":"1467-8535","ISSN":"21686750","abstract":"Although there is a consensus on the instructional potential of Serious Games (SGs), there is still a lack of methodologies and tools not only for design but also to support analysis and assessment. Filling this gap is one of the main aims of the Games and Learning Alliance (http://www.galanoe.eu) European Network of Excellence on Serious Games,which has a focus upon pedagogy-driven SGs. This paper relies on the assumption that the fundamental aspect of SG design consists in the translation of learning goals/ practices into mechanical element of gameplay, serving to an instructional purpose beside that of play and fun. This paper proposes the Learning Mechanics–Game Mechanics (LM-GM) model, which supports SG analysis and design by allowing reflec- tion on the various pedagogical and gameelements in an SG.TheLM-GMmodel includes a set of pre-defined game mechanics and pedagogical elements that we have abstracted from literature on game studies and learning theories. Designers and analysts can exploit these mechanics to drawthe LM-GMmap for a game, so as to identify and highlight its main pedagogical and entertainment features, and their interrelations. The tool may also be useful for teachers to evaluate the effectiveness of a given game and better understand how to implement it in educational settings. A case study is reported to illustrate the framework’s support in determining how gameplay and pedagogy intertwine in an SG. Finally, the paper presents the results of two comparative user tests demonstrating the advantages of the proposed model with respect to a similar state-of-the-art framework.","author":[{"dropping-particle":"","family":"Arnab","given":"Sylvester","non-dropping-particle":"","parse-names":false,"suffix":""},{"dropping-particle":"","family":"Lim","given":"Theodore","non-dropping-particle":"","parse-names":false,"suffix":""},{"dropping-particle":"","family":"Carvalho","given":"Maira B.","non-dropping-particle":"","parse-names":false,"suffix":""},{"dropping-particle":"","family":"Bellotti","given":"Francesco","non-dropping-particle":"","parse-names":false,"suffix":""},{"dropping-particle":"de","family":"Freitas","given":"Sara","non-dropping-particle":"","parse-names":false,"suffix":""},{"dropping-particle":"","family":"Louchart","given":"Sandy","non-dropping-particle":"","parse-names":false,"suffix":""},{"dropping-particle":"","family":"Suttie","given":"Neil","non-dropping-particle":"","parse-names":false,"suffix":""},{"dropping-particle":"","family":"Berta","given":"Riccardo","non-dropping-particle":"","parse-names":false,"suffix":""},{"dropping-particle":"","family":"Gloria","given":"Alessandro","non-dropping-particle":"De","parse-names":false,"suffix":""}],"container-title":"British Journal of Educational Technology","id":"ITEM-1","issue":"2","issued":{"date-parts":[["2015"]]},"page":"391-411","title":"Mapping Learning and Game Mechanics for Serious Games Analysis in Engineering Education","type":"article-journal","volume":"46"},"suppress-author":1,"uris":["http://www.mendeley.com/documents/?uuid=62418d02-93ca-4685-90c0-7baff85df4aa"]}],"mendeley":{"formattedCitation":"(2015)","plainTextFormattedCitation":"(2015)","previouslyFormattedCitation":"(2015)"},"properties":{"noteIndex":0},"schema":"https://github.com/citation-style-language/schema/raw/master/csl-citation.json"}</w:instrText>
      </w:r>
      <w:r w:rsidR="002909CF">
        <w:fldChar w:fldCharType="separate"/>
      </w:r>
      <w:r w:rsidR="002909CF" w:rsidRPr="002909CF">
        <w:rPr>
          <w:noProof/>
        </w:rPr>
        <w:t>(2015)</w:t>
      </w:r>
      <w:r w:rsidR="002909CF">
        <w:fldChar w:fldCharType="end"/>
      </w:r>
      <w:r w:rsidR="002909CF">
        <w:t xml:space="preserve"> for the purposed of this analysis) have subsequent benefits for Ownership, Responsibility, and Consolidate. The gameplay loops indicated that the Game Mechanics which lead to these LMs are likely to be Stategy/Planning, Design/Edit, Match, Measure, and Feedback.</w:t>
      </w:r>
      <w:r w:rsidR="00BC6944">
        <w:t xml:space="preserve"> Therefore, when designing or modding games to encourage dialogic learning, these GMs could be made central to gameplay to achieve the learning behaviours desired. The analysis also identified some GMs that can be detrimental to dialogic learning, namely Time Pressure, Competition, and Dexterity and suggested some ways in which their counterproductive effects for dialogue may be reduced. </w:t>
      </w:r>
      <w:r w:rsidR="00F3675E">
        <w:t>It is proposed that games which already encourage informal dialogue can be adapted to move away from Observation (i.e. vicarious learning) and Guidance towards full participation in the ‘Dialogue’ Learning Mechanic.</w:t>
      </w:r>
    </w:p>
    <w:p w:rsidR="00BC6944" w:rsidRDefault="00BC6944" w:rsidP="00FF0538"/>
    <w:p w:rsidR="00BC6944" w:rsidRDefault="00F32EB9" w:rsidP="00BC6944">
      <w:r>
        <w:t>Limitations are that these propositions are based only on a part</w:t>
      </w:r>
      <w:r w:rsidR="002909CF">
        <w:t xml:space="preserve">icular type of tabletop game, those that were initially shortlisted for modding for a </w:t>
      </w:r>
      <w:r w:rsidR="00F3675E">
        <w:t>specific</w:t>
      </w:r>
      <w:r w:rsidR="00375B0C">
        <w:t xml:space="preserve"> </w:t>
      </w:r>
      <w:r w:rsidR="002909CF">
        <w:t>educational purpose; building knowledge and confidence for postgraduates undertaking a literature review. Therefore these games include game mechanics tha</w:t>
      </w:r>
      <w:r w:rsidR="00F3675E">
        <w:t>t might inhibit dialogic learning</w:t>
      </w:r>
      <w:r w:rsidR="002909CF">
        <w:t xml:space="preserve"> and the modifications proposed may not be as effective as designing a dialogic learning game from scratch. Nevertheless, game modding can be a fruitful approach as it greatly reduces the time and expertise needed to design an educational game and is particularly suitable for educators who are not also experienced game designers.</w:t>
      </w:r>
      <w:r w:rsidR="00BC6944">
        <w:t xml:space="preserve"> The GMs and LMs identified as productive or counterproductive for dialogic learning are limited to the scope of the game genre being analysed here and should not be considered to be a comprehensive list. Wider recommendations beyond these case studies could be achieved by analyses that cover a range of different game genres.</w:t>
      </w:r>
    </w:p>
    <w:p w:rsidR="00F32EB9" w:rsidRDefault="00F32EB9" w:rsidP="00FF0538"/>
    <w:p w:rsidR="00203BFA" w:rsidRDefault="00BC6944" w:rsidP="00203BFA">
      <w:r>
        <w:t xml:space="preserve">A further limitation is that this analysis is untested. </w:t>
      </w:r>
      <w:r w:rsidR="00610DD1">
        <w:t>The research methods initially included testing and co-design with students; this was made impossible due to COVID19 restrictions, t</w:t>
      </w:r>
      <w:r>
        <w:t>herefore this paper concentrated</w:t>
      </w:r>
      <w:r w:rsidR="00610DD1">
        <w:t xml:space="preserve"> instead on theoretical analysis.</w:t>
      </w:r>
      <w:r w:rsidR="00203BFA">
        <w:t xml:space="preserve"> </w:t>
      </w:r>
      <w:r>
        <w:t>E</w:t>
      </w:r>
      <w:r w:rsidR="00203BFA">
        <w:t xml:space="preserve">mpirical testing </w:t>
      </w:r>
      <w:r>
        <w:t xml:space="preserve">is needed to establish if dialogue is actually encouraged in the ways suggested and furthermore if that dialogue does in fact lead to the outcomes proposed. Therefore these results should be taken as preliminary until further validation has occurred. </w:t>
      </w:r>
    </w:p>
    <w:p w:rsidR="00CF55CF" w:rsidRDefault="00CF55CF" w:rsidP="00CF55CF"/>
    <w:p w:rsidR="00CF55CF" w:rsidRDefault="00CF55CF" w:rsidP="00CF55CF"/>
    <w:p w:rsidR="00CF55CF" w:rsidRPr="00BD1C23" w:rsidRDefault="00BD1C23" w:rsidP="00BD1C23">
      <w:pPr>
        <w:rPr>
          <w:b/>
        </w:rPr>
      </w:pPr>
      <w:r w:rsidRPr="00BD1C23">
        <w:rPr>
          <w:b/>
        </w:rPr>
        <w:t>References</w:t>
      </w:r>
    </w:p>
    <w:p w:rsidR="00BD1C23" w:rsidRDefault="00BD1C23" w:rsidP="00CF55CF"/>
    <w:p w:rsidR="00E86A03" w:rsidRPr="00E86A03" w:rsidRDefault="00BD1C23" w:rsidP="00E86A03">
      <w:pPr>
        <w:widowControl w:val="0"/>
        <w:autoSpaceDE w:val="0"/>
        <w:autoSpaceDN w:val="0"/>
        <w:adjustRightInd w:val="0"/>
        <w:rPr>
          <w:rFonts w:cs="Calibri"/>
          <w:noProof/>
        </w:rPr>
      </w:pPr>
      <w:r>
        <w:fldChar w:fldCharType="begin" w:fldLock="1"/>
      </w:r>
      <w:r>
        <w:instrText xml:space="preserve">ADDIN Mendeley Bibliography CSL_BIBLIOGRAPHY </w:instrText>
      </w:r>
      <w:r>
        <w:fldChar w:fldCharType="separate"/>
      </w:r>
      <w:r w:rsidR="00E86A03" w:rsidRPr="00E86A03">
        <w:rPr>
          <w:rFonts w:cs="Calibri"/>
          <w:noProof/>
        </w:rPr>
        <w:t xml:space="preserve">Abbott, D. (2015) </w:t>
      </w:r>
      <w:r w:rsidR="00E86A03" w:rsidRPr="00E86A03">
        <w:rPr>
          <w:rFonts w:cs="Calibri"/>
          <w:i/>
          <w:iCs/>
          <w:noProof/>
        </w:rPr>
        <w:t>How to Fail Your Research Degree</w:t>
      </w:r>
      <w:r w:rsidR="00E86A03" w:rsidRPr="00E86A03">
        <w:rPr>
          <w:rFonts w:cs="Calibri"/>
          <w:noProof/>
        </w:rPr>
        <w:t>. Available at: http://howtofailyourresearchdegree.com/ (Accessed: 11 April 2020).</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Abbott, D. (2018) </w:t>
      </w:r>
      <w:r w:rsidRPr="00E86A03">
        <w:rPr>
          <w:rFonts w:cs="Calibri"/>
          <w:i/>
          <w:iCs/>
          <w:noProof/>
        </w:rPr>
        <w:t>On the Shoulders of Giants</w:t>
      </w:r>
      <w:r w:rsidRPr="00E86A03">
        <w:rPr>
          <w:rFonts w:cs="Calibri"/>
          <w:noProof/>
        </w:rPr>
        <w:t>. Available at: http://blog.gsofasimvis.com/index.php/research/games/on-the-shoulders-of-giants/ (Accessed: 13 April 2020).</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Abbott, D. (2019a) ‘Game-based learning for postgraduates : an empirical study of an educational game to teach research skills’, </w:t>
      </w:r>
      <w:r w:rsidRPr="00E86A03">
        <w:rPr>
          <w:rFonts w:cs="Calibri"/>
          <w:i/>
          <w:iCs/>
          <w:noProof/>
        </w:rPr>
        <w:t>Higher Education Pedagogies</w:t>
      </w:r>
      <w:r w:rsidRPr="00E86A03">
        <w:rPr>
          <w:rFonts w:cs="Calibri"/>
          <w:noProof/>
        </w:rPr>
        <w:t>, 4(1), pp. 80–104. doi: 10.1080/23752696.2019.1629825.</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Abbott, D. (2019b) ‘Modding Tabletop Games for Education’, in Gentile, M., Allegra, M., and Söbke, H. (eds) </w:t>
      </w:r>
      <w:r w:rsidRPr="00E86A03">
        <w:rPr>
          <w:rFonts w:cs="Calibri"/>
          <w:i/>
          <w:iCs/>
          <w:noProof/>
        </w:rPr>
        <w:t>Games and Learning Alliance</w:t>
      </w:r>
      <w:r w:rsidRPr="00E86A03">
        <w:rPr>
          <w:rFonts w:cs="Calibri"/>
          <w:noProof/>
        </w:rPr>
        <w:t>. Springer Lecture Notes in Computer Science, 11385, pp. 318–329. doi: 10.1007/978-3-030-11548-7_30.</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Alexander, R. J. (2008) </w:t>
      </w:r>
      <w:r w:rsidRPr="00E86A03">
        <w:rPr>
          <w:rFonts w:cs="Calibri"/>
          <w:i/>
          <w:iCs/>
          <w:noProof/>
        </w:rPr>
        <w:t>Towards dialogic teaching: Rethinking classroom talk</w:t>
      </w:r>
      <w:r w:rsidRPr="00E86A03">
        <w:rPr>
          <w:rFonts w:cs="Calibri"/>
          <w:noProof/>
        </w:rPr>
        <w:t>. York: Dialogos.</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Arnab, S., Lim, T., Carvalho, M. B., Bellotti, F., De Freitas, S., </w:t>
      </w:r>
      <w:r w:rsidRPr="00E86A03">
        <w:rPr>
          <w:rFonts w:cs="Calibri"/>
          <w:i/>
          <w:iCs/>
          <w:noProof/>
        </w:rPr>
        <w:t>et al.</w:t>
      </w:r>
      <w:r w:rsidRPr="00E86A03">
        <w:rPr>
          <w:rFonts w:cs="Calibri"/>
          <w:noProof/>
        </w:rPr>
        <w:t xml:space="preserve"> (2015) ‘Mapping learning and game mechanics for serious games analysis’, </w:t>
      </w:r>
      <w:r w:rsidRPr="00E86A03">
        <w:rPr>
          <w:rFonts w:cs="Calibri"/>
          <w:i/>
          <w:iCs/>
          <w:noProof/>
        </w:rPr>
        <w:t>British Journal of Educational Technology</w:t>
      </w:r>
      <w:r w:rsidRPr="00E86A03">
        <w:rPr>
          <w:rFonts w:cs="Calibri"/>
          <w:noProof/>
        </w:rPr>
        <w:t>, 46(2). doi: 10.1111/bjet.12113.</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Arnab, S., Lim, T., Carvalho, M. B., Bellotti, F., Freitas, S. de, </w:t>
      </w:r>
      <w:r w:rsidRPr="00E86A03">
        <w:rPr>
          <w:rFonts w:cs="Calibri"/>
          <w:i/>
          <w:iCs/>
          <w:noProof/>
        </w:rPr>
        <w:t>et al.</w:t>
      </w:r>
      <w:r w:rsidRPr="00E86A03">
        <w:rPr>
          <w:rFonts w:cs="Calibri"/>
          <w:noProof/>
        </w:rPr>
        <w:t xml:space="preserve"> (2015) ‘Mapping Learning and Game Mechanics for Serious Games Analysis in Engineering Education’, </w:t>
      </w:r>
      <w:r w:rsidRPr="00E86A03">
        <w:rPr>
          <w:rFonts w:cs="Calibri"/>
          <w:i/>
          <w:iCs/>
          <w:noProof/>
        </w:rPr>
        <w:t>British Journal of Educational Technology</w:t>
      </w:r>
      <w:r w:rsidRPr="00E86A03">
        <w:rPr>
          <w:rFonts w:cs="Calibri"/>
          <w:noProof/>
        </w:rPr>
        <w:t>, 46(2), pp. 391–411. doi: 10.1111/bjet.12113.</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Arnseth, Hans Christian, Silseth, K. and Hanghøj, Thorkild (2018) ‘Games as Tools for Dialogic Teaching and Learning: Outlining a Pedagogical Model for Researching and Designing Game-Based Learning Environments’, in Arnseth, H. C. et al. (eds) </w:t>
      </w:r>
      <w:r w:rsidRPr="00E86A03">
        <w:rPr>
          <w:rFonts w:cs="Calibri"/>
          <w:i/>
          <w:iCs/>
          <w:noProof/>
        </w:rPr>
        <w:t>Games and Education: Designs in and for Learning</w:t>
      </w:r>
      <w:r w:rsidRPr="00E86A03">
        <w:rPr>
          <w:rFonts w:cs="Calibri"/>
          <w:noProof/>
        </w:rPr>
        <w:t>. Leiden: Brill. doi: 10.1163/9789004388826_008.</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Barr, M. (2019) </w:t>
      </w:r>
      <w:r w:rsidRPr="00E86A03">
        <w:rPr>
          <w:rFonts w:cs="Calibri"/>
          <w:i/>
          <w:iCs/>
          <w:noProof/>
        </w:rPr>
        <w:t>Graduate Skills and Game-Based Learning : Using Video Games for Employability in Higher Education</w:t>
      </w:r>
      <w:r w:rsidRPr="00E86A03">
        <w:rPr>
          <w:rFonts w:cs="Calibri"/>
          <w:noProof/>
        </w:rPr>
        <w:t>. Palgrave MacMillan. doi: 10.1007/978-3-030-27786-4.</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Benade, L. (2015) ‘Postgraduate research supervision as a partnership in the context of Freire’s dialogical pedagogy’, </w:t>
      </w:r>
      <w:r w:rsidRPr="00E86A03">
        <w:rPr>
          <w:rFonts w:cs="Calibri"/>
          <w:i/>
          <w:iCs/>
          <w:noProof/>
        </w:rPr>
        <w:t>Knowledge Cultures,</w:t>
      </w:r>
      <w:r w:rsidRPr="00E86A03">
        <w:rPr>
          <w:rFonts w:cs="Calibri"/>
          <w:noProof/>
        </w:rPr>
        <w:t xml:space="preserve"> 3(5), pp. 102–115.</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Burgess, H., Smith, J. and Wood, P. (2013) </w:t>
      </w:r>
      <w:r w:rsidRPr="00E86A03">
        <w:rPr>
          <w:rFonts w:cs="Calibri"/>
          <w:i/>
          <w:iCs/>
          <w:noProof/>
        </w:rPr>
        <w:t>Developing peer assessment in postgraduate research methods training: HEA Social Sciences strategic project 2012 -13 Teaching research methods in the Social Sciences</w:t>
      </w:r>
      <w:r w:rsidRPr="00E86A03">
        <w:rPr>
          <w:rFonts w:cs="Calibri"/>
          <w:noProof/>
        </w:rPr>
        <w:t>. Leicester. Available at: https://s3.eu-west-2.amazonaws.com/assets.creode.advancehe-document-manager/documents/hea/private/resources/leicester_1568037223.pdf.</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Camilleri, M. A. and Camilleri, A. C. (2019) ‘Student-Centred Learning Through Serious Games’, in </w:t>
      </w:r>
      <w:r w:rsidRPr="00E86A03">
        <w:rPr>
          <w:rFonts w:cs="Calibri"/>
          <w:i/>
          <w:iCs/>
          <w:noProof/>
        </w:rPr>
        <w:t>13th Annual International Technology, Education and Development Conference Proceedings</w:t>
      </w:r>
      <w:r w:rsidRPr="00E86A03">
        <w:rPr>
          <w:rFonts w:cs="Calibri"/>
          <w:noProof/>
        </w:rPr>
        <w:t>. Valecia: International Academy of Technology, Education and Development (IATED), pp. 2043–2052. doi: 10.21125/inted.2019.0578.</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Cicchino, M. I. (2015) ‘Using Game-Based Learning to Foster Critical Thinking in Student Discourse’, </w:t>
      </w:r>
      <w:r w:rsidRPr="00E86A03">
        <w:rPr>
          <w:rFonts w:cs="Calibri"/>
          <w:i/>
          <w:iCs/>
          <w:noProof/>
        </w:rPr>
        <w:t>Interdisciplinary Journal of Problem-Based Learning</w:t>
      </w:r>
      <w:r w:rsidRPr="00E86A03">
        <w:rPr>
          <w:rFonts w:cs="Calibri"/>
          <w:noProof/>
        </w:rPr>
        <w:t>. doi: 10.7771/1541-5015.1481.</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Czauderna, A. and Guardiola, E. (2019) ‘The gameplay loop methodology as a tool for educational game design’, </w:t>
      </w:r>
      <w:r w:rsidRPr="00E86A03">
        <w:rPr>
          <w:rFonts w:cs="Calibri"/>
          <w:i/>
          <w:iCs/>
          <w:noProof/>
        </w:rPr>
        <w:t>Electronic Journal of e-Learning</w:t>
      </w:r>
      <w:r w:rsidRPr="00E86A03">
        <w:rPr>
          <w:rFonts w:cs="Calibri"/>
          <w:noProof/>
        </w:rPr>
        <w:t>, 17(3), pp. 207–221. doi: 10.34190/JEL.17.3.004.</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Earley, M. A. (2014) ‘A synthesis of the literature on research methods education’, </w:t>
      </w:r>
      <w:r w:rsidRPr="00E86A03">
        <w:rPr>
          <w:rFonts w:cs="Calibri"/>
          <w:i/>
          <w:iCs/>
          <w:noProof/>
        </w:rPr>
        <w:t>Teaching in Higher Education</w:t>
      </w:r>
      <w:r w:rsidRPr="00E86A03">
        <w:rPr>
          <w:rFonts w:cs="Calibri"/>
          <w:noProof/>
        </w:rPr>
        <w:t>. Taylor &amp; Francis, 19(3), pp. 242–253. doi: 10.1080/13562517.2013.860105.</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Guardiola, E. (2016) ‘The Gameplay Loop: A Player Activity Model for Game Design and Analysis’, in </w:t>
      </w:r>
      <w:r w:rsidRPr="00E86A03">
        <w:rPr>
          <w:rFonts w:cs="Calibri"/>
          <w:i/>
          <w:iCs/>
          <w:noProof/>
        </w:rPr>
        <w:t>Proceedings of the 13th International Conference on Advances in Computer Entertainment Technology</w:t>
      </w:r>
      <w:r w:rsidRPr="00E86A03">
        <w:rPr>
          <w:rFonts w:cs="Calibri"/>
          <w:noProof/>
        </w:rPr>
        <w:t>. Osaka. doi: 10.1145/3001773.3001791.</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Hamnett, H. J. and Korb, A. S. (2017) ‘The Coffee Project Revisited: Teaching Research Skills to Forensic Chemists’, </w:t>
      </w:r>
      <w:r w:rsidRPr="00E86A03">
        <w:rPr>
          <w:rFonts w:cs="Calibri"/>
          <w:i/>
          <w:iCs/>
          <w:noProof/>
        </w:rPr>
        <w:t>Journal of Chemical Education</w:t>
      </w:r>
      <w:r w:rsidRPr="00E86A03">
        <w:rPr>
          <w:rFonts w:cs="Calibri"/>
          <w:noProof/>
        </w:rPr>
        <w:t>, 94(4), pp. 445–450. doi: 10.1021/acs.jchemed.6b00600.</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Hannan, E. and Neame, C. (2017) </w:t>
      </w:r>
      <w:r w:rsidRPr="00E86A03">
        <w:rPr>
          <w:rFonts w:cs="Calibri"/>
          <w:i/>
          <w:iCs/>
          <w:noProof/>
        </w:rPr>
        <w:t>SOTL Research Methods Game</w:t>
      </w:r>
      <w:r w:rsidRPr="00E86A03">
        <w:rPr>
          <w:rFonts w:cs="Calibri"/>
          <w:noProof/>
        </w:rPr>
        <w:t>. Available at: http://www.celt.mmu.ac.uk/games/researchmethods/ (Accessed: 8 April 2020).</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Huo, Y. (2019) ‘A pedagogy-based framework for optimizing learning efficiency across multiple disciplines in educational games’, </w:t>
      </w:r>
      <w:r w:rsidRPr="00E86A03">
        <w:rPr>
          <w:rFonts w:cs="Calibri"/>
          <w:i/>
          <w:iCs/>
          <w:noProof/>
        </w:rPr>
        <w:t>International Journal of Information and Education Technology</w:t>
      </w:r>
      <w:r w:rsidRPr="00E86A03">
        <w:rPr>
          <w:rFonts w:cs="Calibri"/>
          <w:noProof/>
        </w:rPr>
        <w:t>, 9(10), pp. 704–709. doi: 10.18178/ijiet.2019.9.10.1290.</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Kang, J. </w:t>
      </w:r>
      <w:r w:rsidRPr="00E86A03">
        <w:rPr>
          <w:rFonts w:cs="Calibri"/>
          <w:i/>
          <w:iCs/>
          <w:noProof/>
        </w:rPr>
        <w:t>et al.</w:t>
      </w:r>
      <w:r w:rsidRPr="00E86A03">
        <w:rPr>
          <w:rFonts w:cs="Calibri"/>
          <w:noProof/>
        </w:rPr>
        <w:t xml:space="preserve"> (2019) ‘Collaborative problem-solving process in a science serious game: Exploring group action similarity trajectory’, in </w:t>
      </w:r>
      <w:r w:rsidRPr="00E86A03">
        <w:rPr>
          <w:rFonts w:cs="Calibri"/>
          <w:i/>
          <w:iCs/>
          <w:noProof/>
        </w:rPr>
        <w:t>EDM 2019 - Proceedings of the 12th International Conference on Educational Data Mining</w:t>
      </w:r>
      <w:r w:rsidRPr="00E86A03">
        <w:rPr>
          <w:rFonts w:cs="Calibri"/>
          <w:noProof/>
        </w:rPr>
        <w:t>, pp. 336–341.</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Kernan, W. D., Basch, C. H. and Cadorett, V. (2018) ‘Using Mind Mapping to Identify Research Topics: A Lesson for Teaching Research Methods’, </w:t>
      </w:r>
      <w:r w:rsidRPr="00E86A03">
        <w:rPr>
          <w:rFonts w:cs="Calibri"/>
          <w:i/>
          <w:iCs/>
          <w:noProof/>
        </w:rPr>
        <w:t>Pedagogy in Health Promotion</w:t>
      </w:r>
      <w:r w:rsidRPr="00E86A03">
        <w:rPr>
          <w:rFonts w:cs="Calibri"/>
          <w:noProof/>
        </w:rPr>
        <w:t>, 4(2), pp. 101–107. doi: 10.1177/2373379917719729.</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Kirton, A., Campbell, P. and Hardwick, L. (2013) </w:t>
      </w:r>
      <w:r w:rsidRPr="00E86A03">
        <w:rPr>
          <w:rFonts w:cs="Calibri"/>
          <w:i/>
          <w:iCs/>
          <w:noProof/>
        </w:rPr>
        <w:t>Developing applied research skills through collaboration in extra-academic contexts: HEA Social Sciences strategic project 2012 -13 Teaching research methods in the Social Sciences</w:t>
      </w:r>
      <w:r w:rsidRPr="00E86A03">
        <w:rPr>
          <w:rFonts w:cs="Calibri"/>
          <w:noProof/>
        </w:rPr>
        <w:t>. Liverpool. Available at: https://www.heacademy.ac.uk/sites/default/files/resources/Liverpool.pdf.</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Kollars, N. and Rosen, A. M. (2017) ‘Who’s Afraid of the Big Bad Methods? Methodological Games and Role Play’, </w:t>
      </w:r>
      <w:r w:rsidRPr="00E86A03">
        <w:rPr>
          <w:rFonts w:cs="Calibri"/>
          <w:i/>
          <w:iCs/>
          <w:noProof/>
        </w:rPr>
        <w:t>Journal of Political Science Education</w:t>
      </w:r>
      <w:r w:rsidRPr="00E86A03">
        <w:rPr>
          <w:rFonts w:cs="Calibri"/>
          <w:noProof/>
        </w:rPr>
        <w:t>. Taylor &amp; Francis, 13(3), pp. 333–345. doi: 10.1080/15512169.2017.1331137.</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Lane, G. (2018) </w:t>
      </w:r>
      <w:r w:rsidRPr="00E86A03">
        <w:rPr>
          <w:rFonts w:cs="Calibri"/>
          <w:i/>
          <w:iCs/>
          <w:noProof/>
        </w:rPr>
        <w:t>Fairness Toolkit</w:t>
      </w:r>
      <w:r w:rsidRPr="00E86A03">
        <w:rPr>
          <w:rFonts w:cs="Calibri"/>
          <w:noProof/>
        </w:rPr>
        <w:t xml:space="preserve">, </w:t>
      </w:r>
      <w:r w:rsidRPr="00E86A03">
        <w:rPr>
          <w:rFonts w:cs="Calibri"/>
          <w:i/>
          <w:iCs/>
          <w:noProof/>
        </w:rPr>
        <w:t>UnBias</w:t>
      </w:r>
      <w:r w:rsidRPr="00E86A03">
        <w:rPr>
          <w:rFonts w:cs="Calibri"/>
          <w:noProof/>
        </w:rPr>
        <w:t>. Available at: https://unbias.wp.horizon.ac.uk/fairness-toolkit/ (Accessed: 11 April 2020).</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Lim, T. </w:t>
      </w:r>
      <w:r w:rsidRPr="00E86A03">
        <w:rPr>
          <w:rFonts w:cs="Calibri"/>
          <w:i/>
          <w:iCs/>
          <w:noProof/>
        </w:rPr>
        <w:t>et al.</w:t>
      </w:r>
      <w:r w:rsidRPr="00E86A03">
        <w:rPr>
          <w:rFonts w:cs="Calibri"/>
          <w:noProof/>
        </w:rPr>
        <w:t xml:space="preserve"> (2013) ‘Strategies for Effective Digital Games Development and Implementation’, in Baek, Y. and Whitton, N. (eds) </w:t>
      </w:r>
      <w:r w:rsidRPr="00E86A03">
        <w:rPr>
          <w:rFonts w:cs="Calibri"/>
          <w:i/>
          <w:iCs/>
          <w:noProof/>
        </w:rPr>
        <w:t>Cases on Digital Game-Based Learning: Methods, Models, and Strategies</w:t>
      </w:r>
      <w:r w:rsidRPr="00E86A03">
        <w:rPr>
          <w:rFonts w:cs="Calibri"/>
          <w:noProof/>
        </w:rPr>
        <w:t>. Hershey, PA: IGI Global, pp. 168–198. doi: 10.4018/978-1-4666-2848-9.ch010.</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Limniou, M. and Mansfield, R. (2019) ‘(Game-Based) Student Response Systems Engage Students with Research-Teaching Nexus Activities and Support Their Skills Development’, </w:t>
      </w:r>
      <w:r w:rsidRPr="00E86A03">
        <w:rPr>
          <w:rFonts w:cs="Calibri"/>
          <w:i/>
          <w:iCs/>
          <w:noProof/>
        </w:rPr>
        <w:t>Creative Education</w:t>
      </w:r>
      <w:r w:rsidRPr="00E86A03">
        <w:rPr>
          <w:rFonts w:cs="Calibri"/>
          <w:noProof/>
        </w:rPr>
        <w:t>, 10(01), pp. 36–47. doi: 10.4236/ce.2019.101003.</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McGregor, G. and Bartle, E. (2019) ‘The creation and trial of a serious game to support teaching and learning of professional psychology competencies in postgraduate programs’, </w:t>
      </w:r>
      <w:r w:rsidRPr="00E86A03">
        <w:rPr>
          <w:rFonts w:cs="Calibri"/>
          <w:i/>
          <w:iCs/>
          <w:noProof/>
        </w:rPr>
        <w:t>Australasian Journal of Educational Technology</w:t>
      </w:r>
      <w:r w:rsidRPr="00E86A03">
        <w:rPr>
          <w:rFonts w:cs="Calibri"/>
          <w:noProof/>
        </w:rPr>
        <w:t>, 35(5), pp. 15–28. doi: 10.14742/ajet.4237.</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Morton, J., Storch, N. and Thompson, C. (2014) ‘Feedback on writing in the supervision of postgraduate students: Insights from the work of Vygotsky and Bakhtin’, </w:t>
      </w:r>
      <w:r w:rsidRPr="00E86A03">
        <w:rPr>
          <w:rFonts w:cs="Calibri"/>
          <w:i/>
          <w:iCs/>
          <w:noProof/>
        </w:rPr>
        <w:t>Journal of Academic Language &amp; Learning</w:t>
      </w:r>
      <w:r w:rsidRPr="00E86A03">
        <w:rPr>
          <w:rFonts w:cs="Calibri"/>
          <w:noProof/>
        </w:rPr>
        <w:t>, 8(1), pp. 24–36.</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O’Donnell, V. L. </w:t>
      </w:r>
      <w:r w:rsidRPr="00E86A03">
        <w:rPr>
          <w:rFonts w:cs="Calibri"/>
          <w:i/>
          <w:iCs/>
          <w:noProof/>
        </w:rPr>
        <w:t>et al.</w:t>
      </w:r>
      <w:r w:rsidRPr="00E86A03">
        <w:rPr>
          <w:rFonts w:cs="Calibri"/>
          <w:noProof/>
        </w:rPr>
        <w:t xml:space="preserve"> (2009) ‘Transition to postgraduate study: Practice, participation and the widening participation agenda’, </w:t>
      </w:r>
      <w:r w:rsidRPr="00E86A03">
        <w:rPr>
          <w:rFonts w:cs="Calibri"/>
          <w:i/>
          <w:iCs/>
          <w:noProof/>
        </w:rPr>
        <w:t>Active Learning in Higher Education</w:t>
      </w:r>
      <w:r w:rsidRPr="00E86A03">
        <w:rPr>
          <w:rFonts w:cs="Calibri"/>
          <w:noProof/>
        </w:rPr>
        <w:t>, 10(1), pp. 26–40. doi: 10.1177/1469787408100193.</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Pilkington, R. (2015) </w:t>
      </w:r>
      <w:r w:rsidRPr="00E86A03">
        <w:rPr>
          <w:rFonts w:cs="Calibri"/>
          <w:i/>
          <w:iCs/>
          <w:noProof/>
        </w:rPr>
        <w:t>Discourse, Dialogue and Technology Enhanced Learning</w:t>
      </w:r>
      <w:r w:rsidRPr="00E86A03">
        <w:rPr>
          <w:rFonts w:cs="Calibri"/>
          <w:noProof/>
        </w:rPr>
        <w:t>. London: Routledge.</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Pipere, A. and Salite, I. (2006) ‘Educational Action Research In Teacher Education: Fostering Research Skills’, in </w:t>
      </w:r>
      <w:r w:rsidRPr="00E86A03">
        <w:rPr>
          <w:rFonts w:cs="Calibri"/>
          <w:i/>
          <w:iCs/>
          <w:noProof/>
        </w:rPr>
        <w:t>Full papers of APERA International Conference</w:t>
      </w:r>
      <w:r w:rsidRPr="00E86A03">
        <w:rPr>
          <w:rFonts w:cs="Calibri"/>
          <w:noProof/>
        </w:rPr>
        <w:t>. Hong Kong. Available at: http://edisdat.ied.edu.hk/pubarch/b15907314/full_paper/83022604.pdf.</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Pun, R. (2017) ‘Hacking the Research Library: Wikipedia, Trump, and Information Literacy in the Escape Room at Fresno State’, </w:t>
      </w:r>
      <w:r w:rsidRPr="00E86A03">
        <w:rPr>
          <w:rFonts w:cs="Calibri"/>
          <w:i/>
          <w:iCs/>
          <w:noProof/>
        </w:rPr>
        <w:t>The Library Quarterly</w:t>
      </w:r>
      <w:r w:rsidRPr="00E86A03">
        <w:rPr>
          <w:rFonts w:cs="Calibri"/>
          <w:noProof/>
        </w:rPr>
        <w:t>, 87(4), pp. 330–336. doi: https://doi.org/10.1086/693489.</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Rahman, S. </w:t>
      </w:r>
      <w:r w:rsidRPr="00E86A03">
        <w:rPr>
          <w:rFonts w:cs="Calibri"/>
          <w:i/>
          <w:iCs/>
          <w:noProof/>
        </w:rPr>
        <w:t>et al.</w:t>
      </w:r>
      <w:r w:rsidRPr="00E86A03">
        <w:rPr>
          <w:rFonts w:cs="Calibri"/>
          <w:noProof/>
        </w:rPr>
        <w:t xml:space="preserve"> (2014) ‘The use of metacognitive strategies to develop research skills among postgraduate students’, </w:t>
      </w:r>
      <w:r w:rsidRPr="00E86A03">
        <w:rPr>
          <w:rFonts w:cs="Calibri"/>
          <w:i/>
          <w:iCs/>
          <w:noProof/>
        </w:rPr>
        <w:t>Asian Social Science</w:t>
      </w:r>
      <w:r w:rsidRPr="00E86A03">
        <w:rPr>
          <w:rFonts w:cs="Calibri"/>
          <w:noProof/>
        </w:rPr>
        <w:t>, 10(19), pp. 271–275. doi: 10.5539/ass.v10n19p271.</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Ryan, M. </w:t>
      </w:r>
      <w:r w:rsidRPr="00E86A03">
        <w:rPr>
          <w:rFonts w:cs="Calibri"/>
          <w:i/>
          <w:iCs/>
          <w:noProof/>
        </w:rPr>
        <w:t>et al.</w:t>
      </w:r>
      <w:r w:rsidRPr="00E86A03">
        <w:rPr>
          <w:rFonts w:cs="Calibri"/>
          <w:noProof/>
        </w:rPr>
        <w:t xml:space="preserve"> (2014) ‘Improving Research Methods Teaching and Learning in Politics and International Relations: A “Reality Show” Approach’, </w:t>
      </w:r>
      <w:r w:rsidRPr="00E86A03">
        <w:rPr>
          <w:rFonts w:cs="Calibri"/>
          <w:i/>
          <w:iCs/>
          <w:noProof/>
        </w:rPr>
        <w:t>Politics</w:t>
      </w:r>
      <w:r w:rsidRPr="00E86A03">
        <w:rPr>
          <w:rFonts w:cs="Calibri"/>
          <w:noProof/>
        </w:rPr>
        <w:t>, 34(1), pp. 85–97. doi: https://doi.org/10.1111/1467-9256.12020.</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Sun, C. </w:t>
      </w:r>
      <w:r w:rsidRPr="00E86A03">
        <w:rPr>
          <w:rFonts w:cs="Calibri"/>
          <w:i/>
          <w:iCs/>
          <w:noProof/>
        </w:rPr>
        <w:t>et al.</w:t>
      </w:r>
      <w:r w:rsidRPr="00E86A03">
        <w:rPr>
          <w:rFonts w:cs="Calibri"/>
          <w:noProof/>
        </w:rPr>
        <w:t xml:space="preserve"> (2020) ‘Towards a generalized competency model of collaborative problem solving’, </w:t>
      </w:r>
      <w:r w:rsidRPr="00E86A03">
        <w:rPr>
          <w:rFonts w:cs="Calibri"/>
          <w:i/>
          <w:iCs/>
          <w:noProof/>
        </w:rPr>
        <w:t>Computers and Education</w:t>
      </w:r>
      <w:r w:rsidRPr="00E86A03">
        <w:rPr>
          <w:rFonts w:cs="Calibri"/>
          <w:noProof/>
        </w:rPr>
        <w:t>. Elsevier, 143(October 2018), p. 103672. doi: 10.1016/j.compedu.2019.103672.</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Tobias, S., Fletcher, J. D. and Wind, A. P. (2014) ‘Game-based learning’, in </w:t>
      </w:r>
      <w:r w:rsidRPr="00E86A03">
        <w:rPr>
          <w:rFonts w:cs="Calibri"/>
          <w:i/>
          <w:iCs/>
          <w:noProof/>
        </w:rPr>
        <w:t>Handbook of Research on Educational Communications and Technology: Fourth Edition</w:t>
      </w:r>
      <w:r w:rsidRPr="00E86A03">
        <w:rPr>
          <w:rFonts w:cs="Calibri"/>
          <w:noProof/>
        </w:rPr>
        <w:t>. doi: 10.1007/978-1-4614-3185-5_38.</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Waite, S. and Davis, B. (2006) ‘Developing undergraduate research skills in a faculty of education : motivation through collaboration’, </w:t>
      </w:r>
      <w:r w:rsidRPr="00E86A03">
        <w:rPr>
          <w:rFonts w:cs="Calibri"/>
          <w:i/>
          <w:iCs/>
          <w:noProof/>
        </w:rPr>
        <w:t>Higher Education Research and Development</w:t>
      </w:r>
      <w:r w:rsidRPr="00E86A03">
        <w:rPr>
          <w:rFonts w:cs="Calibri"/>
          <w:noProof/>
        </w:rPr>
        <w:t>, 25(4), pp. 403–419. doi: 10.1080/07294360600947426.</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Wells, G. (1999) </w:t>
      </w:r>
      <w:r w:rsidRPr="00E86A03">
        <w:rPr>
          <w:rFonts w:cs="Calibri"/>
          <w:i/>
          <w:iCs/>
          <w:noProof/>
        </w:rPr>
        <w:t>Dialogic inquiry: Towards a socio-cultural practice and theory of education</w:t>
      </w:r>
      <w:r w:rsidRPr="00E86A03">
        <w:rPr>
          <w:rFonts w:cs="Calibri"/>
          <w:noProof/>
        </w:rPr>
        <w:t>. Cambridge University Press.</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Westera, W. (2019) ‘Why and How Serious Games can Become Far More Effective : Accommodating Productive Learning Experiences , Learner Motivation and the Monitoring of Learning Gains’, </w:t>
      </w:r>
      <w:r w:rsidRPr="00E86A03">
        <w:rPr>
          <w:rFonts w:cs="Calibri"/>
          <w:i/>
          <w:iCs/>
          <w:noProof/>
        </w:rPr>
        <w:t>Educational Technology &amp; Society</w:t>
      </w:r>
      <w:r w:rsidRPr="00E86A03">
        <w:rPr>
          <w:rFonts w:cs="Calibri"/>
          <w:noProof/>
        </w:rPr>
        <w:t>, 22(1), pp. 59–69.</w:t>
      </w:r>
    </w:p>
    <w:p w:rsidR="00E86A03" w:rsidRPr="00E86A03" w:rsidRDefault="00E86A03" w:rsidP="00E86A03">
      <w:pPr>
        <w:widowControl w:val="0"/>
        <w:autoSpaceDE w:val="0"/>
        <w:autoSpaceDN w:val="0"/>
        <w:adjustRightInd w:val="0"/>
        <w:rPr>
          <w:rFonts w:cs="Calibri"/>
          <w:noProof/>
        </w:rPr>
      </w:pPr>
      <w:r w:rsidRPr="00E86A03">
        <w:rPr>
          <w:rFonts w:cs="Calibri"/>
          <w:noProof/>
        </w:rPr>
        <w:t xml:space="preserve">Whitton, N. and Moseley, A. (eds) (2012) </w:t>
      </w:r>
      <w:r w:rsidRPr="00E86A03">
        <w:rPr>
          <w:rFonts w:cs="Calibri"/>
          <w:i/>
          <w:iCs/>
          <w:noProof/>
        </w:rPr>
        <w:t>Using games to enhance learning and teaching: A beginner’s guide.</w:t>
      </w:r>
      <w:r w:rsidRPr="00E86A03">
        <w:rPr>
          <w:rFonts w:cs="Calibri"/>
          <w:noProof/>
        </w:rPr>
        <w:t xml:space="preserve"> London: Routledge.</w:t>
      </w:r>
    </w:p>
    <w:p w:rsidR="00BD1C23" w:rsidRDefault="00BD1C23" w:rsidP="00CF55CF">
      <w:r>
        <w:fldChar w:fldCharType="end"/>
      </w:r>
    </w:p>
    <w:sectPr w:rsidR="00BD1C23" w:rsidSect="00526373">
      <w:headerReference w:type="default" r:id="rId14"/>
      <w:footerReference w:type="first" r:id="rId15"/>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CA3" w:rsidRDefault="00594CA3" w:rsidP="00875210">
      <w:r>
        <w:separator/>
      </w:r>
    </w:p>
  </w:endnote>
  <w:endnote w:type="continuationSeparator" w:id="0">
    <w:p w:rsidR="00594CA3" w:rsidRDefault="00594CA3" w:rsidP="0087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3B6" w:rsidRDefault="009B03B6" w:rsidP="00875210">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CA3" w:rsidRDefault="00594CA3" w:rsidP="00875210">
      <w:r>
        <w:separator/>
      </w:r>
    </w:p>
  </w:footnote>
  <w:footnote w:type="continuationSeparator" w:id="0">
    <w:p w:rsidR="00594CA3" w:rsidRDefault="00594CA3" w:rsidP="00875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3B6" w:rsidRDefault="009B03B6" w:rsidP="00875210"/>
  <w:p w:rsidR="009B03B6" w:rsidRDefault="009B03B6" w:rsidP="008752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57ED0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34F5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B1EF7A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4D21AC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2236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D7671E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C52DC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F0C2D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7CA2E7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0F887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97075EE"/>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7264168"/>
    <w:multiLevelType w:val="multilevel"/>
    <w:tmpl w:val="7B0CD6D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2" w15:restartNumberingAfterBreak="0">
    <w:nsid w:val="3D05261C"/>
    <w:multiLevelType w:val="hybridMultilevel"/>
    <w:tmpl w:val="972E5E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AE2B06"/>
    <w:multiLevelType w:val="hybridMultilevel"/>
    <w:tmpl w:val="6706D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12"/>
  </w:num>
  <w:num w:numId="4">
    <w:abstractNumId w:val="8"/>
  </w:num>
  <w:num w:numId="5">
    <w:abstractNumId w:val="7"/>
  </w:num>
  <w:num w:numId="6">
    <w:abstractNumId w:val="9"/>
  </w:num>
  <w:num w:numId="7">
    <w:abstractNumId w:val="4"/>
  </w:num>
  <w:num w:numId="8">
    <w:abstractNumId w:val="3"/>
  </w:num>
  <w:num w:numId="9">
    <w:abstractNumId w:val="2"/>
  </w:num>
  <w:num w:numId="10">
    <w:abstractNumId w:val="1"/>
  </w:num>
  <w:num w:numId="11">
    <w:abstractNumId w:val="6"/>
  </w:num>
  <w:num w:numId="12">
    <w:abstractNumId w:val="5"/>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65A"/>
    <w:rsid w:val="00006F4D"/>
    <w:rsid w:val="00016F51"/>
    <w:rsid w:val="000278AA"/>
    <w:rsid w:val="00032A7C"/>
    <w:rsid w:val="00034416"/>
    <w:rsid w:val="00034FDD"/>
    <w:rsid w:val="0003760D"/>
    <w:rsid w:val="00040FFF"/>
    <w:rsid w:val="00044B69"/>
    <w:rsid w:val="00055C78"/>
    <w:rsid w:val="0006037C"/>
    <w:rsid w:val="000628F2"/>
    <w:rsid w:val="00072F95"/>
    <w:rsid w:val="00074421"/>
    <w:rsid w:val="00077989"/>
    <w:rsid w:val="000842F4"/>
    <w:rsid w:val="00084EDE"/>
    <w:rsid w:val="00092FFE"/>
    <w:rsid w:val="00093FE2"/>
    <w:rsid w:val="000B213D"/>
    <w:rsid w:val="000B4C61"/>
    <w:rsid w:val="000C47F0"/>
    <w:rsid w:val="000C4C0B"/>
    <w:rsid w:val="000C544E"/>
    <w:rsid w:val="000D03CC"/>
    <w:rsid w:val="000F18B1"/>
    <w:rsid w:val="00111A10"/>
    <w:rsid w:val="00111C57"/>
    <w:rsid w:val="00115044"/>
    <w:rsid w:val="00121BC7"/>
    <w:rsid w:val="00132C28"/>
    <w:rsid w:val="00146B16"/>
    <w:rsid w:val="00150510"/>
    <w:rsid w:val="00153930"/>
    <w:rsid w:val="001640BA"/>
    <w:rsid w:val="001740F2"/>
    <w:rsid w:val="001826C6"/>
    <w:rsid w:val="00183D81"/>
    <w:rsid w:val="001843D4"/>
    <w:rsid w:val="001876A8"/>
    <w:rsid w:val="00187D93"/>
    <w:rsid w:val="001A2621"/>
    <w:rsid w:val="001A6953"/>
    <w:rsid w:val="001B0F82"/>
    <w:rsid w:val="001C1B51"/>
    <w:rsid w:val="001C7FD4"/>
    <w:rsid w:val="001D5047"/>
    <w:rsid w:val="001D776B"/>
    <w:rsid w:val="001E25B8"/>
    <w:rsid w:val="001E313E"/>
    <w:rsid w:val="001E4891"/>
    <w:rsid w:val="001E4C06"/>
    <w:rsid w:val="001E6EC2"/>
    <w:rsid w:val="001E7472"/>
    <w:rsid w:val="001F7EF8"/>
    <w:rsid w:val="00202A64"/>
    <w:rsid w:val="002032F9"/>
    <w:rsid w:val="002037C6"/>
    <w:rsid w:val="00203BFA"/>
    <w:rsid w:val="00213204"/>
    <w:rsid w:val="00214C22"/>
    <w:rsid w:val="002167A3"/>
    <w:rsid w:val="00227D85"/>
    <w:rsid w:val="00230A78"/>
    <w:rsid w:val="0023522E"/>
    <w:rsid w:val="00235799"/>
    <w:rsid w:val="0024319B"/>
    <w:rsid w:val="00243BE4"/>
    <w:rsid w:val="002455F1"/>
    <w:rsid w:val="00247FB5"/>
    <w:rsid w:val="002507FF"/>
    <w:rsid w:val="002617D0"/>
    <w:rsid w:val="00261FA0"/>
    <w:rsid w:val="00263AA1"/>
    <w:rsid w:val="002704FF"/>
    <w:rsid w:val="002757A1"/>
    <w:rsid w:val="002760A1"/>
    <w:rsid w:val="002760B5"/>
    <w:rsid w:val="0028034E"/>
    <w:rsid w:val="002875F1"/>
    <w:rsid w:val="00290237"/>
    <w:rsid w:val="002909CF"/>
    <w:rsid w:val="002948BA"/>
    <w:rsid w:val="002A1316"/>
    <w:rsid w:val="002A152D"/>
    <w:rsid w:val="002A53B2"/>
    <w:rsid w:val="002A7F5B"/>
    <w:rsid w:val="002B632B"/>
    <w:rsid w:val="002C2B71"/>
    <w:rsid w:val="002C3600"/>
    <w:rsid w:val="002C565A"/>
    <w:rsid w:val="002D0A6A"/>
    <w:rsid w:val="002D4130"/>
    <w:rsid w:val="002D7E0C"/>
    <w:rsid w:val="002E23C6"/>
    <w:rsid w:val="002E6D10"/>
    <w:rsid w:val="002E7869"/>
    <w:rsid w:val="0030165B"/>
    <w:rsid w:val="00302139"/>
    <w:rsid w:val="00310BB4"/>
    <w:rsid w:val="00310C23"/>
    <w:rsid w:val="00311753"/>
    <w:rsid w:val="00312E30"/>
    <w:rsid w:val="00314A8C"/>
    <w:rsid w:val="003165F6"/>
    <w:rsid w:val="00322440"/>
    <w:rsid w:val="00325005"/>
    <w:rsid w:val="003251D1"/>
    <w:rsid w:val="0033197E"/>
    <w:rsid w:val="00334D29"/>
    <w:rsid w:val="0034389B"/>
    <w:rsid w:val="003447AA"/>
    <w:rsid w:val="00345074"/>
    <w:rsid w:val="00352D07"/>
    <w:rsid w:val="003631BF"/>
    <w:rsid w:val="003759F8"/>
    <w:rsid w:val="00375B0C"/>
    <w:rsid w:val="003761AA"/>
    <w:rsid w:val="00383838"/>
    <w:rsid w:val="003858EB"/>
    <w:rsid w:val="00386661"/>
    <w:rsid w:val="00391D78"/>
    <w:rsid w:val="00392936"/>
    <w:rsid w:val="00394AF0"/>
    <w:rsid w:val="003A0E28"/>
    <w:rsid w:val="003B1D40"/>
    <w:rsid w:val="003B3AF9"/>
    <w:rsid w:val="003C19D0"/>
    <w:rsid w:val="003F355D"/>
    <w:rsid w:val="003F384B"/>
    <w:rsid w:val="003F4B24"/>
    <w:rsid w:val="003F505D"/>
    <w:rsid w:val="0040556E"/>
    <w:rsid w:val="00411A4F"/>
    <w:rsid w:val="00413751"/>
    <w:rsid w:val="0041589F"/>
    <w:rsid w:val="00422736"/>
    <w:rsid w:val="00433169"/>
    <w:rsid w:val="00440D8A"/>
    <w:rsid w:val="004429DB"/>
    <w:rsid w:val="00445514"/>
    <w:rsid w:val="00446C4F"/>
    <w:rsid w:val="00450A0B"/>
    <w:rsid w:val="00455545"/>
    <w:rsid w:val="00460EE0"/>
    <w:rsid w:val="00461C96"/>
    <w:rsid w:val="0046279E"/>
    <w:rsid w:val="00470489"/>
    <w:rsid w:val="00476624"/>
    <w:rsid w:val="004810CA"/>
    <w:rsid w:val="004858CC"/>
    <w:rsid w:val="004927E7"/>
    <w:rsid w:val="00495814"/>
    <w:rsid w:val="00495CB1"/>
    <w:rsid w:val="004B0FB1"/>
    <w:rsid w:val="004B18C5"/>
    <w:rsid w:val="004B2021"/>
    <w:rsid w:val="004B7864"/>
    <w:rsid w:val="004C07BA"/>
    <w:rsid w:val="004C1FC5"/>
    <w:rsid w:val="004C4327"/>
    <w:rsid w:val="004C746C"/>
    <w:rsid w:val="004D2276"/>
    <w:rsid w:val="004F05C0"/>
    <w:rsid w:val="004F548A"/>
    <w:rsid w:val="004F6E1E"/>
    <w:rsid w:val="00501189"/>
    <w:rsid w:val="0050412F"/>
    <w:rsid w:val="00504167"/>
    <w:rsid w:val="00511A47"/>
    <w:rsid w:val="00512E8C"/>
    <w:rsid w:val="005162E2"/>
    <w:rsid w:val="00526373"/>
    <w:rsid w:val="0054383A"/>
    <w:rsid w:val="00544830"/>
    <w:rsid w:val="00547A40"/>
    <w:rsid w:val="00551F0C"/>
    <w:rsid w:val="00553828"/>
    <w:rsid w:val="00557B05"/>
    <w:rsid w:val="0058061F"/>
    <w:rsid w:val="00581910"/>
    <w:rsid w:val="00594CA3"/>
    <w:rsid w:val="00596DAB"/>
    <w:rsid w:val="005A44E7"/>
    <w:rsid w:val="005A457F"/>
    <w:rsid w:val="005A5044"/>
    <w:rsid w:val="005A6281"/>
    <w:rsid w:val="005A6E0C"/>
    <w:rsid w:val="005A7A20"/>
    <w:rsid w:val="005B3776"/>
    <w:rsid w:val="005B633C"/>
    <w:rsid w:val="005C30C7"/>
    <w:rsid w:val="005D0034"/>
    <w:rsid w:val="005D6541"/>
    <w:rsid w:val="005E1491"/>
    <w:rsid w:val="005E5160"/>
    <w:rsid w:val="00607CE6"/>
    <w:rsid w:val="00607D9C"/>
    <w:rsid w:val="00610DD1"/>
    <w:rsid w:val="006176DC"/>
    <w:rsid w:val="006200E7"/>
    <w:rsid w:val="00621986"/>
    <w:rsid w:val="006266FB"/>
    <w:rsid w:val="00630419"/>
    <w:rsid w:val="00631EC5"/>
    <w:rsid w:val="00633D00"/>
    <w:rsid w:val="006365A3"/>
    <w:rsid w:val="00637052"/>
    <w:rsid w:val="00640A81"/>
    <w:rsid w:val="0064183F"/>
    <w:rsid w:val="00645980"/>
    <w:rsid w:val="00646B88"/>
    <w:rsid w:val="00647EB5"/>
    <w:rsid w:val="00651C4A"/>
    <w:rsid w:val="0065242C"/>
    <w:rsid w:val="00654CB8"/>
    <w:rsid w:val="00661EFA"/>
    <w:rsid w:val="006649A1"/>
    <w:rsid w:val="006656B1"/>
    <w:rsid w:val="00666224"/>
    <w:rsid w:val="00676201"/>
    <w:rsid w:val="00685D5D"/>
    <w:rsid w:val="00690B8B"/>
    <w:rsid w:val="006942EC"/>
    <w:rsid w:val="00697172"/>
    <w:rsid w:val="006A4BED"/>
    <w:rsid w:val="006B5B78"/>
    <w:rsid w:val="006B70B4"/>
    <w:rsid w:val="006C49E2"/>
    <w:rsid w:val="006C73FC"/>
    <w:rsid w:val="006D17CA"/>
    <w:rsid w:val="006D1E27"/>
    <w:rsid w:val="006D24BC"/>
    <w:rsid w:val="006D3B4D"/>
    <w:rsid w:val="006D57E8"/>
    <w:rsid w:val="006E3A5B"/>
    <w:rsid w:val="006E6DDC"/>
    <w:rsid w:val="006E6E73"/>
    <w:rsid w:val="006F250A"/>
    <w:rsid w:val="007020F7"/>
    <w:rsid w:val="00713131"/>
    <w:rsid w:val="00714D0E"/>
    <w:rsid w:val="007163F2"/>
    <w:rsid w:val="00721D2F"/>
    <w:rsid w:val="0072329A"/>
    <w:rsid w:val="0072573C"/>
    <w:rsid w:val="00730212"/>
    <w:rsid w:val="00736936"/>
    <w:rsid w:val="00745902"/>
    <w:rsid w:val="00746CBF"/>
    <w:rsid w:val="00747061"/>
    <w:rsid w:val="00750DA6"/>
    <w:rsid w:val="00754D38"/>
    <w:rsid w:val="00763965"/>
    <w:rsid w:val="00767680"/>
    <w:rsid w:val="007701A5"/>
    <w:rsid w:val="007719A7"/>
    <w:rsid w:val="007725B0"/>
    <w:rsid w:val="00773F77"/>
    <w:rsid w:val="00775F9D"/>
    <w:rsid w:val="00777105"/>
    <w:rsid w:val="00791DEF"/>
    <w:rsid w:val="0079604B"/>
    <w:rsid w:val="00796BAA"/>
    <w:rsid w:val="007A4806"/>
    <w:rsid w:val="007B4A7B"/>
    <w:rsid w:val="007C2953"/>
    <w:rsid w:val="007C4C46"/>
    <w:rsid w:val="007C6B33"/>
    <w:rsid w:val="007D32E3"/>
    <w:rsid w:val="007D492C"/>
    <w:rsid w:val="007E23BF"/>
    <w:rsid w:val="007E34E3"/>
    <w:rsid w:val="007E3834"/>
    <w:rsid w:val="007E4216"/>
    <w:rsid w:val="007E54BC"/>
    <w:rsid w:val="007E5577"/>
    <w:rsid w:val="007F0100"/>
    <w:rsid w:val="007F571D"/>
    <w:rsid w:val="007F5B48"/>
    <w:rsid w:val="007F5BF4"/>
    <w:rsid w:val="007F7D30"/>
    <w:rsid w:val="00803988"/>
    <w:rsid w:val="00804A12"/>
    <w:rsid w:val="00806D68"/>
    <w:rsid w:val="00810C85"/>
    <w:rsid w:val="00821A85"/>
    <w:rsid w:val="00832032"/>
    <w:rsid w:val="0084251C"/>
    <w:rsid w:val="008578F1"/>
    <w:rsid w:val="008622B7"/>
    <w:rsid w:val="00862899"/>
    <w:rsid w:val="00871400"/>
    <w:rsid w:val="00875210"/>
    <w:rsid w:val="00897336"/>
    <w:rsid w:val="008A148D"/>
    <w:rsid w:val="008B3C3D"/>
    <w:rsid w:val="008C0C25"/>
    <w:rsid w:val="008C23FD"/>
    <w:rsid w:val="008C2D7F"/>
    <w:rsid w:val="008C3AED"/>
    <w:rsid w:val="008C442A"/>
    <w:rsid w:val="008C7417"/>
    <w:rsid w:val="008C7C80"/>
    <w:rsid w:val="008D37EB"/>
    <w:rsid w:val="008D407A"/>
    <w:rsid w:val="008E61A6"/>
    <w:rsid w:val="008F1D71"/>
    <w:rsid w:val="008F4BB3"/>
    <w:rsid w:val="0090063A"/>
    <w:rsid w:val="00900BC9"/>
    <w:rsid w:val="00903AD9"/>
    <w:rsid w:val="00904E15"/>
    <w:rsid w:val="0091179E"/>
    <w:rsid w:val="00924DF7"/>
    <w:rsid w:val="00925032"/>
    <w:rsid w:val="009258B1"/>
    <w:rsid w:val="00926E0A"/>
    <w:rsid w:val="0093015F"/>
    <w:rsid w:val="00941510"/>
    <w:rsid w:val="0094182A"/>
    <w:rsid w:val="009471CA"/>
    <w:rsid w:val="0095079B"/>
    <w:rsid w:val="00951E11"/>
    <w:rsid w:val="0096248F"/>
    <w:rsid w:val="009716E0"/>
    <w:rsid w:val="00983ADE"/>
    <w:rsid w:val="009877FE"/>
    <w:rsid w:val="00990E9B"/>
    <w:rsid w:val="009A25A2"/>
    <w:rsid w:val="009A286A"/>
    <w:rsid w:val="009A7DEB"/>
    <w:rsid w:val="009B03B6"/>
    <w:rsid w:val="009B3FD6"/>
    <w:rsid w:val="009C4227"/>
    <w:rsid w:val="009C4C40"/>
    <w:rsid w:val="009C751B"/>
    <w:rsid w:val="009D02FB"/>
    <w:rsid w:val="009D69A5"/>
    <w:rsid w:val="009E60DC"/>
    <w:rsid w:val="009E7E18"/>
    <w:rsid w:val="009F734E"/>
    <w:rsid w:val="00A00768"/>
    <w:rsid w:val="00A165AA"/>
    <w:rsid w:val="00A22A4B"/>
    <w:rsid w:val="00A30207"/>
    <w:rsid w:val="00A363D0"/>
    <w:rsid w:val="00A368B3"/>
    <w:rsid w:val="00A40739"/>
    <w:rsid w:val="00A457DF"/>
    <w:rsid w:val="00A50864"/>
    <w:rsid w:val="00A532EB"/>
    <w:rsid w:val="00A65E94"/>
    <w:rsid w:val="00A6687E"/>
    <w:rsid w:val="00A70DE4"/>
    <w:rsid w:val="00A72B1C"/>
    <w:rsid w:val="00A743BE"/>
    <w:rsid w:val="00A871F9"/>
    <w:rsid w:val="00AA4045"/>
    <w:rsid w:val="00AB10EE"/>
    <w:rsid w:val="00AD7F23"/>
    <w:rsid w:val="00AE1B10"/>
    <w:rsid w:val="00B0479C"/>
    <w:rsid w:val="00B05476"/>
    <w:rsid w:val="00B07D11"/>
    <w:rsid w:val="00B1523C"/>
    <w:rsid w:val="00B16870"/>
    <w:rsid w:val="00B21264"/>
    <w:rsid w:val="00B31ACC"/>
    <w:rsid w:val="00B37A2C"/>
    <w:rsid w:val="00B4793A"/>
    <w:rsid w:val="00B47F80"/>
    <w:rsid w:val="00B519BC"/>
    <w:rsid w:val="00B52676"/>
    <w:rsid w:val="00B70998"/>
    <w:rsid w:val="00B74B12"/>
    <w:rsid w:val="00B75FEB"/>
    <w:rsid w:val="00B84B50"/>
    <w:rsid w:val="00B91407"/>
    <w:rsid w:val="00B915F7"/>
    <w:rsid w:val="00B96357"/>
    <w:rsid w:val="00BB03EB"/>
    <w:rsid w:val="00BB098C"/>
    <w:rsid w:val="00BB261B"/>
    <w:rsid w:val="00BB27F4"/>
    <w:rsid w:val="00BB2913"/>
    <w:rsid w:val="00BC6944"/>
    <w:rsid w:val="00BC7C81"/>
    <w:rsid w:val="00BD1C23"/>
    <w:rsid w:val="00BD46DC"/>
    <w:rsid w:val="00BE35E5"/>
    <w:rsid w:val="00BF2879"/>
    <w:rsid w:val="00BF4393"/>
    <w:rsid w:val="00C00F4E"/>
    <w:rsid w:val="00C1046A"/>
    <w:rsid w:val="00C13393"/>
    <w:rsid w:val="00C13A5C"/>
    <w:rsid w:val="00C32D81"/>
    <w:rsid w:val="00C43A8A"/>
    <w:rsid w:val="00C51681"/>
    <w:rsid w:val="00C51C79"/>
    <w:rsid w:val="00C52879"/>
    <w:rsid w:val="00C55D67"/>
    <w:rsid w:val="00C63E46"/>
    <w:rsid w:val="00C66C2E"/>
    <w:rsid w:val="00C72E75"/>
    <w:rsid w:val="00C74A2C"/>
    <w:rsid w:val="00C77A8A"/>
    <w:rsid w:val="00C81776"/>
    <w:rsid w:val="00C863C0"/>
    <w:rsid w:val="00C87B0E"/>
    <w:rsid w:val="00C93F0D"/>
    <w:rsid w:val="00C9488A"/>
    <w:rsid w:val="00C9549D"/>
    <w:rsid w:val="00CA0AA6"/>
    <w:rsid w:val="00CA2924"/>
    <w:rsid w:val="00CB51B0"/>
    <w:rsid w:val="00CC4246"/>
    <w:rsid w:val="00CD3522"/>
    <w:rsid w:val="00CE33C2"/>
    <w:rsid w:val="00CE7A18"/>
    <w:rsid w:val="00CF0BAD"/>
    <w:rsid w:val="00CF55CF"/>
    <w:rsid w:val="00CF7656"/>
    <w:rsid w:val="00D01DDB"/>
    <w:rsid w:val="00D06952"/>
    <w:rsid w:val="00D20ACE"/>
    <w:rsid w:val="00D3262D"/>
    <w:rsid w:val="00D32694"/>
    <w:rsid w:val="00D33BE5"/>
    <w:rsid w:val="00D33E08"/>
    <w:rsid w:val="00D40818"/>
    <w:rsid w:val="00D41694"/>
    <w:rsid w:val="00D5321E"/>
    <w:rsid w:val="00D54F54"/>
    <w:rsid w:val="00D61426"/>
    <w:rsid w:val="00D6410E"/>
    <w:rsid w:val="00D8162F"/>
    <w:rsid w:val="00D82A4A"/>
    <w:rsid w:val="00D85D46"/>
    <w:rsid w:val="00D86924"/>
    <w:rsid w:val="00D94E66"/>
    <w:rsid w:val="00DB747D"/>
    <w:rsid w:val="00DC1956"/>
    <w:rsid w:val="00DC1E34"/>
    <w:rsid w:val="00DC2880"/>
    <w:rsid w:val="00DC3287"/>
    <w:rsid w:val="00DD4EAD"/>
    <w:rsid w:val="00DD7FC8"/>
    <w:rsid w:val="00DE3560"/>
    <w:rsid w:val="00DF2755"/>
    <w:rsid w:val="00DF51FA"/>
    <w:rsid w:val="00DF626B"/>
    <w:rsid w:val="00E006E2"/>
    <w:rsid w:val="00E02714"/>
    <w:rsid w:val="00E03C9F"/>
    <w:rsid w:val="00E126DF"/>
    <w:rsid w:val="00E16029"/>
    <w:rsid w:val="00E17047"/>
    <w:rsid w:val="00E23530"/>
    <w:rsid w:val="00E24A55"/>
    <w:rsid w:val="00E32C5F"/>
    <w:rsid w:val="00E378CC"/>
    <w:rsid w:val="00E4246C"/>
    <w:rsid w:val="00E45D71"/>
    <w:rsid w:val="00E46818"/>
    <w:rsid w:val="00E52BC4"/>
    <w:rsid w:val="00E530D2"/>
    <w:rsid w:val="00E67290"/>
    <w:rsid w:val="00E81A29"/>
    <w:rsid w:val="00E82B82"/>
    <w:rsid w:val="00E85730"/>
    <w:rsid w:val="00E86A03"/>
    <w:rsid w:val="00E92C4A"/>
    <w:rsid w:val="00E9545A"/>
    <w:rsid w:val="00EA0A4F"/>
    <w:rsid w:val="00EA3118"/>
    <w:rsid w:val="00EB660B"/>
    <w:rsid w:val="00EC07FE"/>
    <w:rsid w:val="00ED036B"/>
    <w:rsid w:val="00ED37BC"/>
    <w:rsid w:val="00ED39A7"/>
    <w:rsid w:val="00EE2E12"/>
    <w:rsid w:val="00EE4EEB"/>
    <w:rsid w:val="00EE69D9"/>
    <w:rsid w:val="00EE7B4D"/>
    <w:rsid w:val="00EF465B"/>
    <w:rsid w:val="00EF5393"/>
    <w:rsid w:val="00F01C79"/>
    <w:rsid w:val="00F042A4"/>
    <w:rsid w:val="00F05746"/>
    <w:rsid w:val="00F11166"/>
    <w:rsid w:val="00F14EDD"/>
    <w:rsid w:val="00F22412"/>
    <w:rsid w:val="00F27ABE"/>
    <w:rsid w:val="00F30E04"/>
    <w:rsid w:val="00F32EB9"/>
    <w:rsid w:val="00F3302A"/>
    <w:rsid w:val="00F3675E"/>
    <w:rsid w:val="00F3687A"/>
    <w:rsid w:val="00F447F2"/>
    <w:rsid w:val="00F46EF6"/>
    <w:rsid w:val="00F5148D"/>
    <w:rsid w:val="00F54001"/>
    <w:rsid w:val="00F601A9"/>
    <w:rsid w:val="00F625C7"/>
    <w:rsid w:val="00F6362F"/>
    <w:rsid w:val="00F64048"/>
    <w:rsid w:val="00F6739C"/>
    <w:rsid w:val="00F71596"/>
    <w:rsid w:val="00F74635"/>
    <w:rsid w:val="00F81645"/>
    <w:rsid w:val="00F82307"/>
    <w:rsid w:val="00F841E0"/>
    <w:rsid w:val="00F86431"/>
    <w:rsid w:val="00F86FC6"/>
    <w:rsid w:val="00F927CF"/>
    <w:rsid w:val="00F92FFF"/>
    <w:rsid w:val="00F976B2"/>
    <w:rsid w:val="00FA02F9"/>
    <w:rsid w:val="00FA62B7"/>
    <w:rsid w:val="00FB0C36"/>
    <w:rsid w:val="00FD13BA"/>
    <w:rsid w:val="00FD324F"/>
    <w:rsid w:val="00FD55A9"/>
    <w:rsid w:val="00FD5AB1"/>
    <w:rsid w:val="00FD70E9"/>
    <w:rsid w:val="00FE09FE"/>
    <w:rsid w:val="00FE2909"/>
    <w:rsid w:val="00FE4DD3"/>
    <w:rsid w:val="00FF0538"/>
    <w:rsid w:val="00FF08F0"/>
    <w:rsid w:val="00FF6232"/>
    <w:rsid w:val="00FF7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BE4842E-8F62-4C83-A402-EBCE04908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75210"/>
    <w:pPr>
      <w:jc w:val="both"/>
    </w:pPr>
    <w:rPr>
      <w:rFonts w:ascii="Calibri" w:hAnsi="Calibri"/>
      <w:szCs w:val="24"/>
      <w:lang w:eastAsia="en-US"/>
    </w:rPr>
  </w:style>
  <w:style w:type="paragraph" w:styleId="Heading1">
    <w:name w:val="heading 1"/>
    <w:basedOn w:val="Normal"/>
    <w:next w:val="Normal"/>
    <w:qFormat/>
    <w:rsid w:val="002C565A"/>
    <w:pPr>
      <w:keepNext/>
      <w:numPr>
        <w:numId w:val="2"/>
      </w:numPr>
      <w:spacing w:before="240" w:after="120"/>
      <w:jc w:val="left"/>
      <w:outlineLvl w:val="0"/>
    </w:pPr>
    <w:rPr>
      <w:rFonts w:cs="Arial"/>
      <w:b/>
      <w:bCs/>
      <w:kern w:val="32"/>
      <w:sz w:val="24"/>
      <w:szCs w:val="32"/>
    </w:rPr>
  </w:style>
  <w:style w:type="paragraph" w:styleId="Heading2">
    <w:name w:val="heading 2"/>
    <w:basedOn w:val="Normal"/>
    <w:next w:val="Normal"/>
    <w:qFormat/>
    <w:rsid w:val="002C565A"/>
    <w:pPr>
      <w:keepNext/>
      <w:numPr>
        <w:ilvl w:val="1"/>
        <w:numId w:val="2"/>
      </w:numPr>
      <w:spacing w:before="240" w:after="120"/>
      <w:jc w:val="left"/>
      <w:outlineLvl w:val="1"/>
    </w:pPr>
    <w:rPr>
      <w:rFonts w:cs="Arial"/>
      <w:b/>
      <w:bCs/>
      <w:iCs/>
      <w:sz w:val="22"/>
      <w:szCs w:val="28"/>
    </w:rPr>
  </w:style>
  <w:style w:type="paragraph" w:styleId="Heading3">
    <w:name w:val="heading 3"/>
    <w:basedOn w:val="Normal"/>
    <w:next w:val="Normal"/>
    <w:qFormat/>
    <w:rsid w:val="002C565A"/>
    <w:pPr>
      <w:keepNext/>
      <w:numPr>
        <w:ilvl w:val="2"/>
        <w:numId w:val="2"/>
      </w:numPr>
      <w:spacing w:before="240" w:after="120"/>
      <w:jc w:val="left"/>
      <w:outlineLvl w:val="2"/>
    </w:pPr>
    <w:rPr>
      <w:rFonts w:cs="Arial"/>
      <w:bCs/>
      <w:i/>
      <w:sz w:val="22"/>
      <w:szCs w:val="26"/>
    </w:rPr>
  </w:style>
  <w:style w:type="paragraph" w:styleId="Heading4">
    <w:name w:val="heading 4"/>
    <w:basedOn w:val="Normal"/>
    <w:next w:val="Normal"/>
    <w:qFormat/>
    <w:rsid w:val="002C565A"/>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qFormat/>
    <w:rsid w:val="002C565A"/>
    <w:pPr>
      <w:numPr>
        <w:ilvl w:val="4"/>
        <w:numId w:val="2"/>
      </w:numPr>
      <w:spacing w:before="240" w:after="60"/>
      <w:outlineLvl w:val="4"/>
    </w:pPr>
    <w:rPr>
      <w:b/>
      <w:bCs/>
      <w:i/>
      <w:iCs/>
      <w:sz w:val="26"/>
      <w:szCs w:val="26"/>
    </w:rPr>
  </w:style>
  <w:style w:type="paragraph" w:styleId="Heading6">
    <w:name w:val="heading 6"/>
    <w:basedOn w:val="Normal"/>
    <w:next w:val="Normal"/>
    <w:qFormat/>
    <w:rsid w:val="002C565A"/>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qFormat/>
    <w:rsid w:val="002C565A"/>
    <w:pPr>
      <w:numPr>
        <w:ilvl w:val="6"/>
        <w:numId w:val="2"/>
      </w:numPr>
      <w:spacing w:before="240" w:after="60"/>
      <w:outlineLvl w:val="6"/>
    </w:pPr>
    <w:rPr>
      <w:rFonts w:ascii="Times New Roman" w:hAnsi="Times New Roman"/>
      <w:sz w:val="24"/>
    </w:rPr>
  </w:style>
  <w:style w:type="paragraph" w:styleId="Heading8">
    <w:name w:val="heading 8"/>
    <w:basedOn w:val="Normal"/>
    <w:next w:val="Normal"/>
    <w:qFormat/>
    <w:rsid w:val="002C565A"/>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rsid w:val="002C565A"/>
    <w:pPr>
      <w:numPr>
        <w:ilvl w:val="8"/>
        <w:numId w:val="2"/>
      </w:numPr>
      <w:spacing w:before="240" w:after="60"/>
      <w:outlineLvl w:val="8"/>
    </w:pPr>
    <w:rPr>
      <w:rFonts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ullets">
    <w:name w:val="Bullets"/>
    <w:basedOn w:val="ListBullet"/>
    <w:rsid w:val="002C565A"/>
    <w:pPr>
      <w:tabs>
        <w:tab w:val="clear" w:pos="360"/>
        <w:tab w:val="left" w:pos="284"/>
      </w:tabs>
      <w:spacing w:after="60"/>
      <w:ind w:left="284" w:hanging="284"/>
    </w:pPr>
  </w:style>
  <w:style w:type="paragraph" w:styleId="ListBullet">
    <w:name w:val="List Bullet"/>
    <w:basedOn w:val="Normal"/>
    <w:rsid w:val="002C565A"/>
    <w:pPr>
      <w:numPr>
        <w:numId w:val="1"/>
      </w:numPr>
    </w:pPr>
  </w:style>
  <w:style w:type="character" w:styleId="Hyperlink">
    <w:name w:val="Hyperlink"/>
    <w:rsid w:val="002C565A"/>
    <w:rPr>
      <w:color w:val="0000FF"/>
      <w:u w:val="single"/>
    </w:rPr>
  </w:style>
  <w:style w:type="paragraph" w:styleId="Footer">
    <w:name w:val="footer"/>
    <w:basedOn w:val="Normal"/>
    <w:link w:val="FooterChar"/>
    <w:rsid w:val="00676201"/>
    <w:pPr>
      <w:tabs>
        <w:tab w:val="center" w:pos="4513"/>
        <w:tab w:val="right" w:pos="9026"/>
      </w:tabs>
    </w:pPr>
  </w:style>
  <w:style w:type="character" w:customStyle="1" w:styleId="FooterChar">
    <w:name w:val="Footer Char"/>
    <w:link w:val="Footer"/>
    <w:rsid w:val="00676201"/>
    <w:rPr>
      <w:rFonts w:ascii="Arial" w:hAnsi="Arial"/>
      <w:szCs w:val="24"/>
      <w:lang w:eastAsia="en-US"/>
    </w:rPr>
  </w:style>
  <w:style w:type="paragraph" w:styleId="Header">
    <w:name w:val="header"/>
    <w:basedOn w:val="Normal"/>
    <w:link w:val="HeaderChar"/>
    <w:rsid w:val="00676201"/>
    <w:pPr>
      <w:tabs>
        <w:tab w:val="center" w:pos="4513"/>
        <w:tab w:val="right" w:pos="9026"/>
      </w:tabs>
    </w:pPr>
  </w:style>
  <w:style w:type="character" w:customStyle="1" w:styleId="HeaderChar">
    <w:name w:val="Header Char"/>
    <w:link w:val="Header"/>
    <w:rsid w:val="00676201"/>
    <w:rPr>
      <w:rFonts w:ascii="Arial" w:hAnsi="Arial"/>
      <w:szCs w:val="24"/>
      <w:lang w:eastAsia="en-US"/>
    </w:rPr>
  </w:style>
  <w:style w:type="character" w:customStyle="1" w:styleId="ref-lnk">
    <w:name w:val="ref-lnk"/>
    <w:rsid w:val="00445514"/>
  </w:style>
  <w:style w:type="paragraph" w:styleId="NormalWeb">
    <w:name w:val="Normal (Web)"/>
    <w:basedOn w:val="Normal"/>
    <w:uiPriority w:val="99"/>
    <w:unhideWhenUsed/>
    <w:rsid w:val="00445514"/>
    <w:pPr>
      <w:spacing w:before="100" w:beforeAutospacing="1" w:after="100" w:afterAutospacing="1"/>
      <w:jc w:val="left"/>
    </w:pPr>
    <w:rPr>
      <w:rFonts w:ascii="Times New Roman" w:hAnsi="Times New Roman"/>
      <w:sz w:val="24"/>
      <w:lang w:eastAsia="en-GB"/>
    </w:rPr>
  </w:style>
  <w:style w:type="character" w:styleId="FollowedHyperlink">
    <w:name w:val="FollowedHyperlink"/>
    <w:rsid w:val="000C47F0"/>
    <w:rPr>
      <w:color w:val="954F72"/>
      <w:u w:val="single"/>
    </w:rPr>
  </w:style>
  <w:style w:type="paragraph" w:styleId="Caption">
    <w:name w:val="caption"/>
    <w:basedOn w:val="Normal"/>
    <w:next w:val="Normal"/>
    <w:unhideWhenUsed/>
    <w:qFormat/>
    <w:rsid w:val="00C1046A"/>
    <w:rPr>
      <w:b/>
      <w:bCs/>
      <w:szCs w:val="20"/>
    </w:rPr>
  </w:style>
  <w:style w:type="table" w:styleId="TableGrid">
    <w:name w:val="Table Grid"/>
    <w:basedOn w:val="TableNormal"/>
    <w:rsid w:val="00034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252788">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d.abbott@gsa.ac.uk"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B9281-1DCA-4D19-A8B5-A2FF4141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22835</Words>
  <Characters>130160</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The Title of the Paper Goes Here, in Title Case and Title Style</vt:lpstr>
    </vt:vector>
  </TitlesOfParts>
  <Company>MCIL</Company>
  <LinksUpToDate>false</LinksUpToDate>
  <CharactersWithSpaces>152690</CharactersWithSpaces>
  <SharedDoc>false</SharedDoc>
  <HLinks>
    <vt:vector size="6" baseType="variant">
      <vt:variant>
        <vt:i4>7995476</vt:i4>
      </vt:variant>
      <vt:variant>
        <vt:i4>0</vt:i4>
      </vt:variant>
      <vt:variant>
        <vt:i4>0</vt:i4>
      </vt:variant>
      <vt:variant>
        <vt:i4>5</vt:i4>
      </vt:variant>
      <vt:variant>
        <vt:lpwstr>mailto:d.abbott@gsa.ac.uk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the Paper Goes Here, in Title Case and Title Style</dc:title>
  <dc:subject/>
  <dc:creator>elaine</dc:creator>
  <cp:keywords/>
  <cp:lastModifiedBy>Siminson, Nicola Jane</cp:lastModifiedBy>
  <cp:revision>2</cp:revision>
  <dcterms:created xsi:type="dcterms:W3CDTF">2022-06-06T11:29:00Z</dcterms:created>
  <dcterms:modified xsi:type="dcterms:W3CDTF">2022-06-06T11:29:00Z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2878babd-500c-3122-9cf8-80f2c7fb2eaf</vt:lpwstr>
  </property>
  <property fmtid="{D5CDD505-2E9C-101B-9397-08002B2CF9AE}" pid="24" name="Mendeley Citation Style_1">
    <vt:lpwstr>http://www.zotero.org/styles/harvard1</vt:lpwstr>
  </property>
</Properties>
</file>