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B0CC" w14:textId="49D0CE89" w:rsidR="00AF2206" w:rsidRDefault="00AF2206" w:rsidP="00E16452">
      <w:pPr>
        <w:rPr>
          <w:rFonts w:cstheme="minorHAnsi"/>
          <w:sz w:val="20"/>
          <w:szCs w:val="20"/>
          <w:lang w:val="en-GB"/>
        </w:rPr>
      </w:pPr>
    </w:p>
    <w:p w14:paraId="625BED58" w14:textId="77777777" w:rsidR="00EE389F" w:rsidRDefault="00EE389F" w:rsidP="00E16452">
      <w:pPr>
        <w:rPr>
          <w:rFonts w:cstheme="minorHAnsi"/>
          <w:sz w:val="20"/>
          <w:szCs w:val="20"/>
          <w:lang w:val="en-GB"/>
        </w:rPr>
      </w:pPr>
    </w:p>
    <w:p w14:paraId="4BDB2132" w14:textId="77777777" w:rsidR="00310E6D" w:rsidRDefault="00BC29E9" w:rsidP="00E16452">
      <w:pPr>
        <w:rPr>
          <w:rFonts w:cstheme="minorHAnsi"/>
          <w:b/>
          <w:i/>
          <w:sz w:val="20"/>
          <w:szCs w:val="20"/>
          <w:lang w:val="en-GB"/>
        </w:rPr>
      </w:pPr>
      <w:r w:rsidRPr="00BC29E9">
        <w:rPr>
          <w:rFonts w:cstheme="minorHAnsi"/>
          <w:b/>
          <w:i/>
          <w:sz w:val="20"/>
          <w:szCs w:val="20"/>
          <w:lang w:val="en-GB"/>
        </w:rPr>
        <w:t>As i</w:t>
      </w:r>
      <w:r w:rsidR="004958D6" w:rsidRPr="00BC29E9">
        <w:rPr>
          <w:rFonts w:cstheme="minorHAnsi"/>
          <w:b/>
          <w:i/>
          <w:sz w:val="20"/>
          <w:szCs w:val="20"/>
          <w:lang w:val="en-GB"/>
        </w:rPr>
        <w:t>f</w:t>
      </w:r>
      <w:r w:rsidR="002854EE">
        <w:rPr>
          <w:rFonts w:cstheme="minorHAnsi"/>
          <w:b/>
          <w:i/>
          <w:sz w:val="20"/>
          <w:szCs w:val="20"/>
          <w:lang w:val="en-GB"/>
        </w:rPr>
        <w:t>*</w:t>
      </w:r>
    </w:p>
    <w:p w14:paraId="40845A7A" w14:textId="30954B7D" w:rsidR="00893BB4" w:rsidRDefault="00893BB4" w:rsidP="00E16452">
      <w:pPr>
        <w:rPr>
          <w:rFonts w:cstheme="minorHAnsi"/>
          <w:b/>
          <w:i/>
          <w:sz w:val="20"/>
          <w:szCs w:val="20"/>
          <w:lang w:val="en-GB"/>
        </w:rPr>
      </w:pPr>
      <w:r>
        <w:rPr>
          <w:rFonts w:cstheme="minorHAnsi"/>
          <w:b/>
          <w:i/>
          <w:sz w:val="20"/>
          <w:szCs w:val="20"/>
          <w:lang w:val="en-GB"/>
        </w:rPr>
        <w:t>an editorial</w:t>
      </w:r>
    </w:p>
    <w:p w14:paraId="4C1E8F3F" w14:textId="44D7A55D" w:rsidR="00A510B9" w:rsidRPr="00A510B9" w:rsidRDefault="00A510B9" w:rsidP="00E16452">
      <w:pPr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>Laura Edbrook, August 2019</w:t>
      </w:r>
    </w:p>
    <w:p w14:paraId="6A903FEC" w14:textId="3AF13EFD" w:rsidR="00132D09" w:rsidRDefault="00132D09" w:rsidP="00E16452">
      <w:pPr>
        <w:rPr>
          <w:rFonts w:cstheme="minorHAnsi"/>
          <w:sz w:val="20"/>
          <w:szCs w:val="20"/>
          <w:lang w:val="en-GB"/>
        </w:rPr>
      </w:pPr>
    </w:p>
    <w:p w14:paraId="49DBD014" w14:textId="77777777" w:rsidR="00FE6B3D" w:rsidRPr="004B3F0B" w:rsidRDefault="00FE6B3D" w:rsidP="00E16452">
      <w:pPr>
        <w:rPr>
          <w:rFonts w:cstheme="minorHAnsi"/>
          <w:sz w:val="20"/>
          <w:szCs w:val="20"/>
          <w:lang w:val="en-GB"/>
        </w:rPr>
      </w:pPr>
    </w:p>
    <w:p w14:paraId="7DB837D2" w14:textId="1ABA81C9" w:rsidR="006E0F7A" w:rsidRPr="004B3F0B" w:rsidRDefault="00132D09" w:rsidP="00E16452">
      <w:pPr>
        <w:rPr>
          <w:rFonts w:cstheme="minorHAnsi"/>
          <w:sz w:val="20"/>
          <w:szCs w:val="20"/>
          <w:lang w:val="en-GB"/>
        </w:rPr>
      </w:pPr>
      <w:r w:rsidRPr="004B3F0B">
        <w:rPr>
          <w:rFonts w:cstheme="minorHAnsi"/>
          <w:sz w:val="20"/>
          <w:szCs w:val="20"/>
          <w:lang w:val="en-GB"/>
        </w:rPr>
        <w:t>What does it mean to fall in love with a writer?</w:t>
      </w:r>
      <w:r w:rsidR="005A1478" w:rsidRPr="004B3F0B">
        <w:rPr>
          <w:rFonts w:cstheme="minorHAnsi"/>
          <w:sz w:val="20"/>
          <w:szCs w:val="20"/>
          <w:lang w:val="en-GB"/>
        </w:rPr>
        <w:t xml:space="preserve"> </w:t>
      </w:r>
      <w:r w:rsidR="00A364DD" w:rsidRPr="004B3F0B">
        <w:rPr>
          <w:rFonts w:cstheme="minorHAnsi"/>
          <w:sz w:val="20"/>
          <w:szCs w:val="20"/>
          <w:lang w:val="en-GB"/>
        </w:rPr>
        <w:t>Or rather, to be e</w:t>
      </w:r>
      <w:r w:rsidR="00DA34A4" w:rsidRPr="004B3F0B">
        <w:rPr>
          <w:rFonts w:cstheme="minorHAnsi"/>
          <w:sz w:val="20"/>
          <w:szCs w:val="20"/>
          <w:lang w:val="en-GB"/>
        </w:rPr>
        <w:t>nsorcel</w:t>
      </w:r>
      <w:r w:rsidR="003A43DD">
        <w:rPr>
          <w:rFonts w:cstheme="minorHAnsi"/>
          <w:sz w:val="20"/>
          <w:szCs w:val="20"/>
          <w:lang w:val="en-GB"/>
        </w:rPr>
        <w:t>l</w:t>
      </w:r>
      <w:r w:rsidR="00DA34A4" w:rsidRPr="004B3F0B">
        <w:rPr>
          <w:rFonts w:cstheme="minorHAnsi"/>
          <w:sz w:val="20"/>
          <w:szCs w:val="20"/>
          <w:lang w:val="en-GB"/>
        </w:rPr>
        <w:t xml:space="preserve">ed in </w:t>
      </w:r>
      <w:r w:rsidR="00A364DD" w:rsidRPr="004B3F0B">
        <w:rPr>
          <w:rFonts w:cstheme="minorHAnsi"/>
          <w:sz w:val="20"/>
          <w:szCs w:val="20"/>
          <w:lang w:val="en-GB"/>
        </w:rPr>
        <w:t>some kind of</w:t>
      </w:r>
      <w:r w:rsidR="00DA34A4" w:rsidRPr="004B3F0B">
        <w:rPr>
          <w:rFonts w:cstheme="minorHAnsi"/>
          <w:sz w:val="20"/>
          <w:szCs w:val="20"/>
          <w:lang w:val="en-GB"/>
        </w:rPr>
        <w:t xml:space="preserve"> remedial romance, </w:t>
      </w:r>
      <w:r w:rsidR="00A364DD" w:rsidRPr="004B3F0B">
        <w:rPr>
          <w:rFonts w:cstheme="minorHAnsi"/>
          <w:sz w:val="20"/>
          <w:szCs w:val="20"/>
          <w:lang w:val="en-GB"/>
        </w:rPr>
        <w:t>or</w:t>
      </w:r>
      <w:r w:rsidR="000929F2" w:rsidRPr="004B3F0B">
        <w:rPr>
          <w:rFonts w:cstheme="minorHAnsi"/>
          <w:sz w:val="20"/>
          <w:szCs w:val="20"/>
          <w:lang w:val="en-GB"/>
        </w:rPr>
        <w:t>, maybe the question is, to practice</w:t>
      </w:r>
      <w:r w:rsidR="00A364DD" w:rsidRPr="004B3F0B">
        <w:rPr>
          <w:rFonts w:cstheme="minorHAnsi"/>
          <w:sz w:val="20"/>
          <w:szCs w:val="20"/>
          <w:lang w:val="en-GB"/>
        </w:rPr>
        <w:t xml:space="preserve"> </w:t>
      </w:r>
      <w:r w:rsidR="00DA34A4" w:rsidRPr="004B3F0B">
        <w:rPr>
          <w:rFonts w:cstheme="minorHAnsi"/>
          <w:sz w:val="20"/>
          <w:szCs w:val="20"/>
          <w:lang w:val="en-GB"/>
        </w:rPr>
        <w:t>weak (at the knees</w:t>
      </w:r>
      <w:r w:rsidR="00B9320C">
        <w:rPr>
          <w:rFonts w:cstheme="minorHAnsi"/>
          <w:sz w:val="20"/>
          <w:szCs w:val="20"/>
          <w:lang w:val="en-GB"/>
        </w:rPr>
        <w:t>?</w:t>
      </w:r>
      <w:r w:rsidR="00DA34A4" w:rsidRPr="004B3F0B">
        <w:rPr>
          <w:rFonts w:cstheme="minorHAnsi"/>
          <w:sz w:val="20"/>
          <w:szCs w:val="20"/>
          <w:lang w:val="en-GB"/>
        </w:rPr>
        <w:t xml:space="preserve">) </w:t>
      </w:r>
      <w:r w:rsidR="008B6A81" w:rsidRPr="004B3F0B">
        <w:rPr>
          <w:rFonts w:cstheme="minorHAnsi"/>
          <w:sz w:val="20"/>
          <w:szCs w:val="20"/>
          <w:lang w:val="en-GB"/>
        </w:rPr>
        <w:t xml:space="preserve">(compassionate) </w:t>
      </w:r>
      <w:r w:rsidR="00DA34A4" w:rsidRPr="004B3F0B">
        <w:rPr>
          <w:rFonts w:cstheme="minorHAnsi"/>
          <w:sz w:val="20"/>
          <w:szCs w:val="20"/>
          <w:lang w:val="en-GB"/>
        </w:rPr>
        <w:t>theory</w:t>
      </w:r>
      <w:r w:rsidR="000929F2" w:rsidRPr="004B3F0B">
        <w:rPr>
          <w:rFonts w:cstheme="minorHAnsi"/>
          <w:sz w:val="20"/>
          <w:szCs w:val="20"/>
          <w:lang w:val="en-GB"/>
        </w:rPr>
        <w:t>?</w:t>
      </w:r>
      <w:r w:rsidR="00401709" w:rsidRPr="004B3F0B">
        <w:rPr>
          <w:rFonts w:cstheme="minorHAnsi"/>
          <w:sz w:val="20"/>
          <w:szCs w:val="20"/>
          <w:lang w:val="en-GB"/>
        </w:rPr>
        <w:t xml:space="preserve"> The concluding paragraph of Eve </w:t>
      </w:r>
      <w:proofErr w:type="spellStart"/>
      <w:r w:rsidR="00401709" w:rsidRPr="004B3F0B">
        <w:rPr>
          <w:rFonts w:cstheme="minorHAnsi"/>
          <w:sz w:val="20"/>
          <w:szCs w:val="20"/>
          <w:lang w:val="en-GB"/>
        </w:rPr>
        <w:t>K</w:t>
      </w:r>
      <w:r w:rsidR="003A30DC" w:rsidRPr="004B3F0B">
        <w:rPr>
          <w:rFonts w:cstheme="minorHAnsi"/>
          <w:sz w:val="20"/>
          <w:szCs w:val="20"/>
          <w:lang w:val="en-GB"/>
        </w:rPr>
        <w:t>osofsky</w:t>
      </w:r>
      <w:proofErr w:type="spellEnd"/>
      <w:r w:rsidR="00401709" w:rsidRPr="004B3F0B">
        <w:rPr>
          <w:rFonts w:cstheme="minorHAnsi"/>
          <w:sz w:val="20"/>
          <w:szCs w:val="20"/>
          <w:lang w:val="en-GB"/>
        </w:rPr>
        <w:t xml:space="preserve"> S</w:t>
      </w:r>
      <w:r w:rsidR="003A30DC" w:rsidRPr="004B3F0B">
        <w:rPr>
          <w:rFonts w:cstheme="minorHAnsi"/>
          <w:sz w:val="20"/>
          <w:szCs w:val="20"/>
          <w:lang w:val="en-GB"/>
        </w:rPr>
        <w:t>edgwick</w:t>
      </w:r>
      <w:r w:rsidR="00401709" w:rsidRPr="004B3F0B">
        <w:rPr>
          <w:rFonts w:cstheme="minorHAnsi"/>
          <w:sz w:val="20"/>
          <w:szCs w:val="20"/>
          <w:lang w:val="en-GB"/>
        </w:rPr>
        <w:t xml:space="preserve"> and </w:t>
      </w:r>
      <w:r w:rsidR="003A30DC" w:rsidRPr="004B3F0B">
        <w:rPr>
          <w:rFonts w:cstheme="minorHAnsi"/>
          <w:sz w:val="20"/>
          <w:szCs w:val="20"/>
          <w:lang w:val="en-GB"/>
        </w:rPr>
        <w:t>Adam Frank’s</w:t>
      </w:r>
      <w:r w:rsidR="00401709" w:rsidRPr="004B3F0B">
        <w:rPr>
          <w:rFonts w:cstheme="minorHAnsi"/>
          <w:sz w:val="20"/>
          <w:szCs w:val="20"/>
          <w:lang w:val="en-GB"/>
        </w:rPr>
        <w:t xml:space="preserve"> </w:t>
      </w:r>
      <w:r w:rsidR="00B062C4">
        <w:rPr>
          <w:rFonts w:cstheme="minorHAnsi"/>
          <w:sz w:val="20"/>
          <w:szCs w:val="20"/>
          <w:lang w:val="en-GB"/>
        </w:rPr>
        <w:t>essay</w:t>
      </w:r>
      <w:r w:rsidR="00401709" w:rsidRPr="004B3F0B">
        <w:rPr>
          <w:rFonts w:cstheme="minorHAnsi"/>
          <w:sz w:val="20"/>
          <w:szCs w:val="20"/>
          <w:lang w:val="en-GB"/>
        </w:rPr>
        <w:t xml:space="preserve"> ‘</w:t>
      </w:r>
      <w:r w:rsidR="00AC00E0" w:rsidRPr="004B3F0B">
        <w:rPr>
          <w:rFonts w:cstheme="minorHAnsi"/>
          <w:sz w:val="20"/>
          <w:szCs w:val="20"/>
          <w:lang w:val="en-GB"/>
        </w:rPr>
        <w:t>Shame in the Cybernetic Fold: Reading Silvan Tomkins’</w:t>
      </w:r>
      <w:r w:rsidR="00401709" w:rsidRPr="004B3F0B">
        <w:rPr>
          <w:rFonts w:cstheme="minorHAnsi"/>
          <w:sz w:val="20"/>
          <w:szCs w:val="20"/>
          <w:lang w:val="en-GB"/>
        </w:rPr>
        <w:t xml:space="preserve"> proposes the critical attachment of love; of affection, gratitude, solidarity, as a mode of cathecting </w:t>
      </w:r>
      <w:r w:rsidR="007F679B" w:rsidRPr="004B3F0B">
        <w:rPr>
          <w:rFonts w:cstheme="minorHAnsi"/>
          <w:sz w:val="20"/>
          <w:szCs w:val="20"/>
          <w:lang w:val="en-GB"/>
        </w:rPr>
        <w:t xml:space="preserve">‘a theoretical moment not </w:t>
      </w:r>
      <w:r w:rsidR="00B76CE2" w:rsidRPr="004B3F0B">
        <w:rPr>
          <w:rFonts w:cstheme="minorHAnsi"/>
          <w:sz w:val="20"/>
          <w:szCs w:val="20"/>
          <w:lang w:val="en-GB"/>
        </w:rPr>
        <w:t xml:space="preserve">[of] </w:t>
      </w:r>
      <w:r w:rsidR="007F679B" w:rsidRPr="004B3F0B">
        <w:rPr>
          <w:rFonts w:cstheme="minorHAnsi"/>
          <w:sz w:val="20"/>
          <w:szCs w:val="20"/>
          <w:lang w:val="en-GB"/>
        </w:rPr>
        <w:t>one’s own’</w:t>
      </w:r>
      <w:r w:rsidR="002854EE" w:rsidRPr="004B3F0B">
        <w:rPr>
          <w:rStyle w:val="FootnoteReference"/>
          <w:rFonts w:cstheme="minorHAnsi"/>
          <w:sz w:val="20"/>
          <w:szCs w:val="20"/>
          <w:lang w:val="en-GB"/>
        </w:rPr>
        <w:footnoteReference w:id="1"/>
      </w:r>
      <w:r w:rsidR="00FD6E9D" w:rsidRPr="004B3F0B">
        <w:rPr>
          <w:rFonts w:cstheme="minorHAnsi"/>
          <w:sz w:val="20"/>
          <w:szCs w:val="20"/>
          <w:lang w:val="en-GB"/>
        </w:rPr>
        <w:t>—</w:t>
      </w:r>
      <w:r w:rsidR="00F82C25">
        <w:rPr>
          <w:rFonts w:cstheme="minorHAnsi"/>
          <w:sz w:val="20"/>
          <w:szCs w:val="20"/>
          <w:lang w:val="en-GB"/>
        </w:rPr>
        <w:t xml:space="preserve">a </w:t>
      </w:r>
      <w:r w:rsidR="007F679B" w:rsidRPr="004B3F0B">
        <w:rPr>
          <w:rFonts w:cstheme="minorHAnsi"/>
          <w:sz w:val="20"/>
          <w:szCs w:val="20"/>
          <w:lang w:val="en-GB"/>
        </w:rPr>
        <w:t>critical attentio</w:t>
      </w:r>
      <w:r w:rsidR="005D7853" w:rsidRPr="004B3F0B">
        <w:rPr>
          <w:rFonts w:cstheme="minorHAnsi"/>
          <w:sz w:val="20"/>
          <w:szCs w:val="20"/>
          <w:lang w:val="en-GB"/>
        </w:rPr>
        <w:t>n</w:t>
      </w:r>
      <w:r w:rsidR="00FD6E9D" w:rsidRPr="004B3F0B">
        <w:rPr>
          <w:rFonts w:cstheme="minorHAnsi"/>
          <w:sz w:val="20"/>
          <w:szCs w:val="20"/>
          <w:lang w:val="en-GB"/>
        </w:rPr>
        <w:t>,</w:t>
      </w:r>
      <w:r w:rsidR="005D7853" w:rsidRPr="004B3F0B">
        <w:rPr>
          <w:rFonts w:cstheme="minorHAnsi"/>
          <w:sz w:val="20"/>
          <w:szCs w:val="20"/>
          <w:lang w:val="en-GB"/>
        </w:rPr>
        <w:t xml:space="preserve"> attentiveness,</w:t>
      </w:r>
      <w:r w:rsidR="00FD6E9D" w:rsidRPr="004B3F0B">
        <w:rPr>
          <w:rFonts w:cstheme="minorHAnsi"/>
          <w:sz w:val="20"/>
          <w:szCs w:val="20"/>
          <w:lang w:val="en-GB"/>
        </w:rPr>
        <w:t xml:space="preserve"> </w:t>
      </w:r>
      <w:r w:rsidR="00F82C25">
        <w:rPr>
          <w:rFonts w:cstheme="minorHAnsi"/>
          <w:sz w:val="20"/>
          <w:szCs w:val="20"/>
          <w:lang w:val="en-GB"/>
        </w:rPr>
        <w:t xml:space="preserve">a </w:t>
      </w:r>
      <w:r w:rsidR="00B9320C">
        <w:rPr>
          <w:rFonts w:cstheme="minorHAnsi"/>
          <w:sz w:val="20"/>
          <w:szCs w:val="20"/>
          <w:lang w:val="en-GB"/>
        </w:rPr>
        <w:t>form</w:t>
      </w:r>
      <w:r w:rsidR="00F82C25">
        <w:rPr>
          <w:rFonts w:cstheme="minorHAnsi"/>
          <w:sz w:val="20"/>
          <w:szCs w:val="20"/>
          <w:lang w:val="en-GB"/>
        </w:rPr>
        <w:t xml:space="preserve"> of </w:t>
      </w:r>
      <w:r w:rsidR="007A7797">
        <w:rPr>
          <w:rFonts w:cstheme="minorHAnsi"/>
          <w:sz w:val="20"/>
          <w:szCs w:val="20"/>
          <w:lang w:val="en-GB"/>
        </w:rPr>
        <w:t>care</w:t>
      </w:r>
      <w:r w:rsidR="00FD6E9D" w:rsidRPr="004B3F0B">
        <w:rPr>
          <w:rFonts w:cstheme="minorHAnsi"/>
          <w:sz w:val="20"/>
          <w:szCs w:val="20"/>
          <w:lang w:val="en-GB"/>
        </w:rPr>
        <w:t xml:space="preserve"> </w:t>
      </w:r>
      <w:r w:rsidR="002A6F80" w:rsidRPr="004B3F0B">
        <w:rPr>
          <w:rFonts w:cstheme="minorHAnsi"/>
          <w:sz w:val="20"/>
          <w:szCs w:val="20"/>
          <w:lang w:val="en-GB"/>
        </w:rPr>
        <w:t>a</w:t>
      </w:r>
      <w:r w:rsidR="007F679B" w:rsidRPr="004B3F0B">
        <w:rPr>
          <w:rFonts w:cstheme="minorHAnsi"/>
          <w:sz w:val="20"/>
          <w:szCs w:val="20"/>
          <w:lang w:val="en-GB"/>
        </w:rPr>
        <w:t>s</w:t>
      </w:r>
      <w:r w:rsidR="006E0F7A" w:rsidRPr="004B3F0B">
        <w:rPr>
          <w:rFonts w:cstheme="minorHAnsi"/>
          <w:sz w:val="20"/>
          <w:szCs w:val="20"/>
          <w:lang w:val="en-GB"/>
        </w:rPr>
        <w:t xml:space="preserve"> a </w:t>
      </w:r>
      <w:r w:rsidR="00D1644E">
        <w:rPr>
          <w:rFonts w:cstheme="minorHAnsi"/>
          <w:sz w:val="20"/>
          <w:szCs w:val="20"/>
          <w:lang w:val="en-GB"/>
        </w:rPr>
        <w:t>form</w:t>
      </w:r>
      <w:r w:rsidR="006E0F7A" w:rsidRPr="004B3F0B">
        <w:rPr>
          <w:rFonts w:cstheme="minorHAnsi"/>
          <w:sz w:val="20"/>
          <w:szCs w:val="20"/>
          <w:lang w:val="en-GB"/>
        </w:rPr>
        <w:t xml:space="preserve"> of practice which situates itself towards the</w:t>
      </w:r>
      <w:r w:rsidR="007F679B" w:rsidRPr="004B3F0B">
        <w:rPr>
          <w:rFonts w:cstheme="minorHAnsi"/>
          <w:sz w:val="20"/>
          <w:szCs w:val="20"/>
          <w:lang w:val="en-GB"/>
        </w:rPr>
        <w:t>/a</w:t>
      </w:r>
      <w:r w:rsidR="006E0F7A" w:rsidRPr="004B3F0B">
        <w:rPr>
          <w:rFonts w:cstheme="minorHAnsi"/>
          <w:sz w:val="20"/>
          <w:szCs w:val="20"/>
          <w:lang w:val="en-GB"/>
        </w:rPr>
        <w:t xml:space="preserve"> present.</w:t>
      </w:r>
    </w:p>
    <w:p w14:paraId="3C042AD3" w14:textId="06EBB999" w:rsidR="009710A0" w:rsidRPr="004B3F0B" w:rsidRDefault="009710A0" w:rsidP="00E16452">
      <w:pPr>
        <w:rPr>
          <w:rFonts w:cstheme="minorHAnsi"/>
          <w:sz w:val="20"/>
          <w:szCs w:val="20"/>
          <w:lang w:val="en-GB"/>
        </w:rPr>
      </w:pPr>
    </w:p>
    <w:p w14:paraId="6E27109F" w14:textId="0B2A4E58" w:rsidR="0089569F" w:rsidRDefault="009710A0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  <w:r w:rsidRPr="004B3F0B">
        <w:rPr>
          <w:rFonts w:cstheme="minorHAnsi"/>
          <w:sz w:val="20"/>
          <w:szCs w:val="20"/>
          <w:lang w:val="en-GB"/>
        </w:rPr>
        <w:t xml:space="preserve">The </w:t>
      </w:r>
      <w:r w:rsidR="003A30DC" w:rsidRPr="004B3F0B">
        <w:rPr>
          <w:rFonts w:cstheme="minorHAnsi"/>
          <w:sz w:val="20"/>
          <w:szCs w:val="20"/>
          <w:lang w:val="en-GB"/>
        </w:rPr>
        <w:t xml:space="preserve">caveat </w:t>
      </w:r>
      <w:r w:rsidRPr="004B3F0B">
        <w:rPr>
          <w:rFonts w:cstheme="minorHAnsi"/>
          <w:sz w:val="20"/>
          <w:szCs w:val="20"/>
          <w:lang w:val="en-GB"/>
        </w:rPr>
        <w:t>question</w:t>
      </w:r>
      <w:r w:rsidR="003A30DC" w:rsidRPr="004B3F0B">
        <w:rPr>
          <w:rFonts w:cstheme="minorHAnsi"/>
          <w:sz w:val="20"/>
          <w:szCs w:val="20"/>
          <w:lang w:val="en-GB"/>
        </w:rPr>
        <w:t xml:space="preserve"> </w:t>
      </w:r>
      <w:r w:rsidR="002C2218" w:rsidRPr="004B3F0B">
        <w:rPr>
          <w:rFonts w:cstheme="minorHAnsi"/>
          <w:sz w:val="20"/>
          <w:szCs w:val="20"/>
          <w:lang w:val="en-GB"/>
        </w:rPr>
        <w:t xml:space="preserve">Sedgwick and Frank </w:t>
      </w:r>
      <w:r w:rsidR="005B11A0">
        <w:rPr>
          <w:rFonts w:cstheme="minorHAnsi"/>
          <w:sz w:val="20"/>
          <w:szCs w:val="20"/>
          <w:lang w:val="en-GB"/>
        </w:rPr>
        <w:t xml:space="preserve">go on to </w:t>
      </w:r>
      <w:r w:rsidR="002C2218" w:rsidRPr="004B3F0B">
        <w:rPr>
          <w:rFonts w:cstheme="minorHAnsi"/>
          <w:sz w:val="20"/>
          <w:szCs w:val="20"/>
          <w:lang w:val="en-GB"/>
        </w:rPr>
        <w:t>ask</w:t>
      </w:r>
      <w:r w:rsidRPr="004B3F0B">
        <w:rPr>
          <w:rFonts w:cstheme="minorHAnsi"/>
          <w:sz w:val="20"/>
          <w:szCs w:val="20"/>
          <w:lang w:val="en-GB"/>
        </w:rPr>
        <w:t xml:space="preserve"> is</w:t>
      </w:r>
      <w:r w:rsidR="003A30DC" w:rsidRPr="004B3F0B">
        <w:rPr>
          <w:rFonts w:cstheme="minorHAnsi"/>
          <w:sz w:val="20"/>
          <w:szCs w:val="20"/>
          <w:lang w:val="en-GB"/>
        </w:rPr>
        <w:t>:</w:t>
      </w:r>
      <w:r w:rsidRPr="004B3F0B">
        <w:rPr>
          <w:rFonts w:cstheme="minorHAnsi"/>
          <w:sz w:val="20"/>
          <w:szCs w:val="20"/>
          <w:lang w:val="en-GB"/>
        </w:rPr>
        <w:t xml:space="preserve"> ‘what else </w:t>
      </w:r>
      <w:r w:rsidRPr="00F82C25">
        <w:rPr>
          <w:rFonts w:cstheme="minorHAnsi"/>
          <w:i/>
          <w:sz w:val="20"/>
          <w:szCs w:val="20"/>
          <w:lang w:val="en-GB"/>
        </w:rPr>
        <w:t>could</w:t>
      </w:r>
      <w:r w:rsidR="001179D7">
        <w:rPr>
          <w:rFonts w:cstheme="minorHAnsi"/>
          <w:sz w:val="20"/>
          <w:szCs w:val="20"/>
          <w:lang w:val="en-GB"/>
        </w:rPr>
        <w:t xml:space="preserve"> </w:t>
      </w:r>
      <w:r w:rsidR="005B11A0">
        <w:rPr>
          <w:rFonts w:cstheme="minorHAnsi"/>
          <w:sz w:val="20"/>
          <w:szCs w:val="20"/>
          <w:lang w:val="en-GB"/>
        </w:rPr>
        <w:t>[</w:t>
      </w:r>
      <w:r w:rsidR="00711E70">
        <w:rPr>
          <w:rFonts w:cstheme="minorHAnsi"/>
          <w:sz w:val="20"/>
          <w:szCs w:val="20"/>
          <w:lang w:val="en-GB"/>
        </w:rPr>
        <w:t>loving</w:t>
      </w:r>
      <w:r w:rsidR="005B11A0">
        <w:rPr>
          <w:rFonts w:cstheme="minorHAnsi"/>
          <w:sz w:val="20"/>
          <w:szCs w:val="20"/>
          <w:lang w:val="en-GB"/>
        </w:rPr>
        <w:t xml:space="preserve">] </w:t>
      </w:r>
      <w:r w:rsidRPr="004B3F0B">
        <w:rPr>
          <w:rFonts w:cstheme="minorHAnsi"/>
          <w:sz w:val="20"/>
          <w:szCs w:val="20"/>
          <w:lang w:val="en-GB"/>
        </w:rPr>
        <w:t>mean</w:t>
      </w:r>
      <w:r w:rsidR="00C30BEE" w:rsidRPr="004B3F0B">
        <w:rPr>
          <w:rFonts w:cstheme="minorHAnsi"/>
          <w:sz w:val="20"/>
          <w:szCs w:val="20"/>
          <w:lang w:val="en-GB"/>
        </w:rPr>
        <w:t>?’</w:t>
      </w:r>
      <w:r w:rsidR="001B67D9" w:rsidRPr="004B3F0B">
        <w:rPr>
          <w:rStyle w:val="FootnoteReference"/>
          <w:rFonts w:cstheme="minorHAnsi"/>
          <w:sz w:val="20"/>
          <w:szCs w:val="20"/>
          <w:lang w:val="en-GB"/>
        </w:rPr>
        <w:footnoteReference w:id="2"/>
      </w:r>
      <w:r w:rsidR="001B67D9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  <w:r w:rsidR="00C30BEE" w:rsidRPr="004B3F0B">
        <w:rPr>
          <w:rFonts w:cstheme="minorHAnsi"/>
          <w:sz w:val="20"/>
          <w:szCs w:val="20"/>
          <w:lang w:val="en-GB"/>
        </w:rPr>
        <w:t>Th</w:t>
      </w:r>
      <w:r w:rsidR="00D819CC" w:rsidRPr="004B3F0B">
        <w:rPr>
          <w:rFonts w:cstheme="minorHAnsi"/>
          <w:sz w:val="20"/>
          <w:szCs w:val="20"/>
          <w:lang w:val="en-GB"/>
        </w:rPr>
        <w:t>eir</w:t>
      </w:r>
      <w:r w:rsidR="00C30BEE" w:rsidRPr="004B3F0B">
        <w:rPr>
          <w:rFonts w:cstheme="minorHAnsi"/>
          <w:sz w:val="20"/>
          <w:szCs w:val="20"/>
          <w:lang w:val="en-GB"/>
        </w:rPr>
        <w:t xml:space="preserve"> work on </w:t>
      </w:r>
      <w:r w:rsidR="003A30DC" w:rsidRPr="004B3F0B">
        <w:rPr>
          <w:rFonts w:cstheme="minorHAnsi"/>
          <w:sz w:val="20"/>
          <w:szCs w:val="20"/>
          <w:lang w:val="en-GB"/>
        </w:rPr>
        <w:t xml:space="preserve">the American psychologist </w:t>
      </w:r>
      <w:r w:rsidR="00C30BEE" w:rsidRPr="004B3F0B">
        <w:rPr>
          <w:rFonts w:cstheme="minorHAnsi"/>
          <w:sz w:val="20"/>
          <w:szCs w:val="20"/>
          <w:lang w:val="en-GB"/>
        </w:rPr>
        <w:t xml:space="preserve">Silvan Tomkins </w:t>
      </w:r>
      <w:r w:rsidR="003A30DC" w:rsidRPr="004B3F0B">
        <w:rPr>
          <w:rFonts w:cstheme="minorHAnsi"/>
          <w:sz w:val="20"/>
          <w:szCs w:val="20"/>
          <w:lang w:val="en-GB"/>
        </w:rPr>
        <w:t xml:space="preserve">(1911-1991) </w:t>
      </w:r>
      <w:r w:rsidR="00C30BEE" w:rsidRPr="004B3F0B">
        <w:rPr>
          <w:rFonts w:cstheme="minorHAnsi"/>
          <w:sz w:val="20"/>
          <w:szCs w:val="20"/>
          <w:lang w:val="en-GB"/>
        </w:rPr>
        <w:t xml:space="preserve">prefigures </w:t>
      </w:r>
      <w:r w:rsidR="00D819CC" w:rsidRPr="004B3F0B">
        <w:rPr>
          <w:rFonts w:cstheme="minorHAnsi"/>
          <w:sz w:val="20"/>
          <w:szCs w:val="20"/>
          <w:lang w:val="en-GB"/>
        </w:rPr>
        <w:t xml:space="preserve">Sedgwick’s </w:t>
      </w:r>
      <w:r w:rsidR="00C30BEE" w:rsidRPr="004B3F0B">
        <w:rPr>
          <w:rFonts w:cstheme="minorHAnsi"/>
          <w:sz w:val="20"/>
          <w:szCs w:val="20"/>
          <w:lang w:val="en-GB"/>
        </w:rPr>
        <w:t>call for a reparative reading practice</w:t>
      </w:r>
      <w:r w:rsidR="00D819CC" w:rsidRPr="004B3F0B">
        <w:rPr>
          <w:rStyle w:val="FootnoteReference"/>
          <w:rFonts w:cstheme="minorHAnsi"/>
          <w:sz w:val="20"/>
          <w:szCs w:val="20"/>
          <w:lang w:val="en-GB"/>
        </w:rPr>
        <w:footnoteReference w:id="3"/>
      </w:r>
      <w:r w:rsidR="00F82C2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as a spirit of resistance and necessary form of </w:t>
      </w:r>
      <w:proofErr w:type="spellStart"/>
      <w:r w:rsidR="00F82C25">
        <w:rPr>
          <w:rFonts w:eastAsia="Times New Roman" w:cstheme="minorHAnsi"/>
          <w:iCs/>
          <w:color w:val="000000"/>
          <w:sz w:val="20"/>
          <w:szCs w:val="20"/>
          <w:lang w:val="en"/>
        </w:rPr>
        <w:t>renarrativising</w:t>
      </w:r>
      <w:proofErr w:type="spellEnd"/>
      <w:r w:rsidR="00F82C2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. </w:t>
      </w:r>
    </w:p>
    <w:p w14:paraId="30C4FEE6" w14:textId="77777777" w:rsidR="0089569F" w:rsidRDefault="0089569F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</w:p>
    <w:p w14:paraId="4DA7C29C" w14:textId="3EB205F3" w:rsidR="00EF7549" w:rsidRDefault="00970A21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In </w:t>
      </w:r>
      <w:r w:rsidR="00CA7F71">
        <w:rPr>
          <w:rFonts w:eastAsia="Times New Roman" w:cstheme="minorHAnsi"/>
          <w:iCs/>
          <w:color w:val="000000"/>
          <w:sz w:val="20"/>
          <w:szCs w:val="20"/>
          <w:lang w:val="en"/>
        </w:rPr>
        <w:t>a workshop</w:t>
      </w: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launching the first year of the</w:t>
      </w:r>
      <w:r w:rsidR="0089569F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Master of Letters in Art Writing at The Glasgow School of Art</w:t>
      </w: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>,</w:t>
      </w:r>
      <w:r w:rsidR="00F82C2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  <w:r w:rsidR="0089569F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we thought about what it might, or could, mean to write in or from an art studio. </w:t>
      </w:r>
      <w:r w:rsidR="00F94FA5">
        <w:rPr>
          <w:rFonts w:eastAsia="Times New Roman" w:cstheme="minorHAnsi"/>
          <w:iCs/>
          <w:color w:val="000000"/>
          <w:sz w:val="20"/>
          <w:szCs w:val="20"/>
          <w:lang w:val="en"/>
        </w:rPr>
        <w:t>We thought about the meeting point between liter</w:t>
      </w:r>
      <w:r w:rsidR="00CA7F71">
        <w:rPr>
          <w:rFonts w:eastAsia="Times New Roman" w:cstheme="minorHAnsi"/>
          <w:iCs/>
          <w:color w:val="000000"/>
          <w:sz w:val="20"/>
          <w:szCs w:val="20"/>
          <w:lang w:val="en"/>
        </w:rPr>
        <w:t>ature, art and critical theory</w:t>
      </w:r>
      <w:r w:rsidR="003A43DD">
        <w:rPr>
          <w:rFonts w:eastAsia="Times New Roman" w:cstheme="minorHAnsi"/>
          <w:iCs/>
          <w:color w:val="000000"/>
          <w:sz w:val="20"/>
          <w:szCs w:val="20"/>
          <w:lang w:val="en"/>
        </w:rPr>
        <w:t>:</w:t>
      </w:r>
      <w:r w:rsidR="00CA7F71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s</w:t>
      </w:r>
      <w:r w:rsidR="009B1676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upporting this conversation </w:t>
      </w: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>we read the</w:t>
      </w:r>
      <w:r w:rsidR="009B1676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reflective essays</w:t>
      </w:r>
      <w:r w:rsidR="00D8348F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in</w:t>
      </w:r>
      <w:r w:rsidR="009B1676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  <w:r w:rsidR="00D8348F">
        <w:rPr>
          <w:rFonts w:eastAsia="Times New Roman" w:cstheme="minorHAnsi"/>
          <w:i/>
          <w:iCs/>
          <w:color w:val="000000"/>
          <w:sz w:val="20"/>
          <w:szCs w:val="20"/>
          <w:lang w:val="en"/>
        </w:rPr>
        <w:t>Theory, A Sunday</w:t>
      </w:r>
      <w:r w:rsidR="00DC2C88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, </w:t>
      </w: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a collection </w:t>
      </w:r>
      <w:proofErr w:type="spellStart"/>
      <w:r w:rsidR="00DC2C88">
        <w:rPr>
          <w:rFonts w:eastAsia="Times New Roman" w:cstheme="minorHAnsi"/>
          <w:iCs/>
          <w:color w:val="000000"/>
          <w:sz w:val="20"/>
          <w:szCs w:val="20"/>
          <w:lang w:val="en"/>
        </w:rPr>
        <w:t>anthologising</w:t>
      </w:r>
      <w:proofErr w:type="spellEnd"/>
      <w:r w:rsidR="00D8348F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a Québec-based </w:t>
      </w:r>
      <w:r w:rsidR="001468C4">
        <w:rPr>
          <w:rFonts w:eastAsia="Times New Roman" w:cstheme="minorHAnsi"/>
          <w:iCs/>
          <w:color w:val="000000"/>
          <w:sz w:val="20"/>
          <w:szCs w:val="20"/>
          <w:lang w:val="en"/>
        </w:rPr>
        <w:t>discussion</w:t>
      </w:r>
      <w:r w:rsidR="00D8348F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group </w:t>
      </w:r>
      <w:r w:rsidR="001468C4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which met every two months </w:t>
      </w: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>during</w:t>
      </w:r>
      <w:r w:rsidR="001468C4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1983.</w:t>
      </w:r>
      <w:r w:rsidR="004153C9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Proposals for the writing studio reflected hopes for the same ‘living, writing, and discussing th</w:t>
      </w:r>
      <w:r w:rsidR="007A7514">
        <w:rPr>
          <w:rFonts w:eastAsia="Times New Roman" w:cstheme="minorHAnsi"/>
          <w:iCs/>
          <w:color w:val="000000"/>
          <w:sz w:val="20"/>
          <w:szCs w:val="20"/>
          <w:lang w:val="en"/>
        </w:rPr>
        <w:t>r</w:t>
      </w:r>
      <w:r w:rsidR="004153C9">
        <w:rPr>
          <w:rFonts w:eastAsia="Times New Roman" w:cstheme="minorHAnsi"/>
          <w:iCs/>
          <w:color w:val="000000"/>
          <w:sz w:val="20"/>
          <w:szCs w:val="20"/>
          <w:lang w:val="en"/>
        </w:rPr>
        <w:t>ough [one’s] own specificity’ that Lisa Robertson describes in her introduction</w:t>
      </w:r>
      <w:r w:rsidR="00EF7549">
        <w:rPr>
          <w:rFonts w:eastAsia="Times New Roman" w:cstheme="minorHAnsi"/>
          <w:iCs/>
          <w:color w:val="000000"/>
          <w:sz w:val="20"/>
          <w:szCs w:val="20"/>
          <w:lang w:val="en"/>
        </w:rPr>
        <w:t>,</w:t>
      </w:r>
      <w:r w:rsidR="004153C9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‘Theory, A City’. ‘What supported [this] intellectual generosity and intensity?’</w:t>
      </w:r>
      <w:r w:rsidR="001B23AE">
        <w:rPr>
          <w:rStyle w:val="FootnoteReference"/>
          <w:rFonts w:eastAsia="Times New Roman" w:cstheme="minorHAnsi"/>
          <w:iCs/>
          <w:color w:val="000000"/>
          <w:sz w:val="20"/>
          <w:szCs w:val="20"/>
          <w:lang w:val="en"/>
        </w:rPr>
        <w:footnoteReference w:id="4"/>
      </w:r>
      <w:r w:rsidR="004153C9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asks Robertson. </w:t>
      </w:r>
    </w:p>
    <w:p w14:paraId="6A88E3BB" w14:textId="77777777" w:rsidR="00EF7549" w:rsidRDefault="00EF7549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</w:p>
    <w:p w14:paraId="731F1B91" w14:textId="4E9B1591" w:rsidR="003F6AE5" w:rsidRDefault="002C6BBA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>If we</w:t>
      </w:r>
      <w:r w:rsidR="004153C9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think of the studio as </w:t>
      </w:r>
      <w:r w:rsidR="008A1ACA">
        <w:rPr>
          <w:rFonts w:eastAsia="Times New Roman" w:cstheme="minorHAnsi"/>
          <w:iCs/>
          <w:color w:val="000000"/>
          <w:sz w:val="20"/>
          <w:szCs w:val="20"/>
          <w:lang w:val="en"/>
        </w:rPr>
        <w:t>a</w:t>
      </w:r>
      <w:r w:rsidR="001328C3">
        <w:rPr>
          <w:rFonts w:eastAsia="Times New Roman" w:cstheme="minorHAnsi"/>
          <w:iCs/>
          <w:color w:val="000000"/>
          <w:sz w:val="20"/>
          <w:szCs w:val="20"/>
          <w:lang w:val="en"/>
        </w:rPr>
        <w:t>n</w:t>
      </w:r>
      <w:r w:rsidR="008A1ACA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  <w:r w:rsidR="00AF48AC">
        <w:rPr>
          <w:rFonts w:eastAsia="Times New Roman" w:cstheme="minorHAnsi"/>
          <w:iCs/>
          <w:color w:val="000000"/>
          <w:sz w:val="20"/>
          <w:szCs w:val="20"/>
          <w:lang w:val="en"/>
        </w:rPr>
        <w:t>embodied</w:t>
      </w:r>
      <w:r w:rsidR="004153C9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  <w:r w:rsidR="00BF7791">
        <w:rPr>
          <w:rFonts w:eastAsia="Times New Roman" w:cstheme="minorHAnsi"/>
          <w:iCs/>
          <w:color w:val="000000"/>
          <w:sz w:val="20"/>
          <w:szCs w:val="20"/>
          <w:lang w:val="en"/>
        </w:rPr>
        <w:t>location</w:t>
      </w:r>
      <w:r w:rsidR="004153C9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situated in the present</w:t>
      </w: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, then we </w:t>
      </w:r>
      <w:r w:rsidR="007A7514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know of </w:t>
      </w: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>its forces for writing</w:t>
      </w:r>
      <w:r w:rsidR="00B74C48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and voicing</w:t>
      </w:r>
      <w:r w:rsidR="00A60FCB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, its </w:t>
      </w:r>
      <w:r w:rsidR="005F244F">
        <w:rPr>
          <w:rFonts w:eastAsia="Times New Roman" w:cstheme="minorHAnsi"/>
          <w:iCs/>
          <w:color w:val="000000"/>
          <w:sz w:val="20"/>
          <w:szCs w:val="20"/>
          <w:lang w:val="en"/>
        </w:rPr>
        <w:t>capacity</w:t>
      </w:r>
      <w:r w:rsidR="00A60FCB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for </w:t>
      </w:r>
      <w:r w:rsidR="00CA7F71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active, </w:t>
      </w:r>
      <w:r w:rsidR="007A7514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tacit, </w:t>
      </w:r>
      <w:r w:rsidR="005F244F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speculative and </w:t>
      </w:r>
      <w:r w:rsidR="00A60FCB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transformative practices. </w:t>
      </w:r>
      <w:r w:rsidR="001257CB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The </w:t>
      </w:r>
      <w:r w:rsidR="00CA7F71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shared </w:t>
      </w:r>
      <w:r w:rsidR="001257CB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studio is a collective activity </w:t>
      </w:r>
      <w:r w:rsidR="002F0072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and </w:t>
      </w:r>
      <w:r w:rsidR="007D5DBD">
        <w:rPr>
          <w:rFonts w:eastAsia="Times New Roman" w:cstheme="minorHAnsi"/>
          <w:iCs/>
          <w:color w:val="000000"/>
          <w:sz w:val="20"/>
          <w:szCs w:val="20"/>
          <w:lang w:val="en"/>
        </w:rPr>
        <w:t>yet</w:t>
      </w:r>
      <w:r w:rsidR="001257CB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a site that does not negate solitude. </w:t>
      </w:r>
      <w:r w:rsidR="0093486F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Such </w:t>
      </w:r>
      <w:r w:rsidR="005C09C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relational and </w:t>
      </w:r>
      <w:r w:rsidR="0093486F">
        <w:rPr>
          <w:rFonts w:eastAsia="Times New Roman" w:cstheme="minorHAnsi"/>
          <w:iCs/>
          <w:color w:val="000000"/>
          <w:sz w:val="20"/>
          <w:szCs w:val="20"/>
          <w:lang w:val="en"/>
        </w:rPr>
        <w:t>c</w:t>
      </w:r>
      <w:r w:rsidR="007D5DBD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onversational </w:t>
      </w:r>
      <w:r w:rsidR="0093486F">
        <w:rPr>
          <w:rFonts w:eastAsia="Times New Roman" w:cstheme="minorHAnsi"/>
          <w:iCs/>
          <w:color w:val="000000"/>
          <w:sz w:val="20"/>
          <w:szCs w:val="20"/>
          <w:lang w:val="en"/>
        </w:rPr>
        <w:t>modes of art, writing and theory are</w:t>
      </w:r>
      <w:r w:rsidR="007D5DBD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activated by a reparative model of practice, one </w:t>
      </w:r>
      <w:r w:rsidR="0005710D">
        <w:rPr>
          <w:rFonts w:eastAsia="Times New Roman" w:cstheme="minorHAnsi"/>
          <w:iCs/>
          <w:color w:val="000000"/>
          <w:sz w:val="20"/>
          <w:szCs w:val="20"/>
          <w:lang w:val="en"/>
        </w:rPr>
        <w:t>that has</w:t>
      </w:r>
      <w:r w:rsidR="007D5DBD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supported each student on the Art Writing </w:t>
      </w:r>
      <w:proofErr w:type="spellStart"/>
      <w:r w:rsidR="007D5DBD">
        <w:rPr>
          <w:rFonts w:eastAsia="Times New Roman" w:cstheme="minorHAnsi"/>
          <w:iCs/>
          <w:color w:val="000000"/>
          <w:sz w:val="20"/>
          <w:szCs w:val="20"/>
          <w:lang w:val="en"/>
        </w:rPr>
        <w:t>programme</w:t>
      </w:r>
      <w:proofErr w:type="spellEnd"/>
      <w:r w:rsidR="007D5DBD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to flourish according to their own</w:t>
      </w:r>
      <w:r w:rsidR="00BF7791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rhythm</w:t>
      </w:r>
      <w:r w:rsidR="007D5DBD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. 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I don’t </w:t>
      </w:r>
      <w:r w:rsidR="00830CAD">
        <w:rPr>
          <w:rFonts w:eastAsia="Times New Roman" w:cstheme="minorHAnsi"/>
          <w:iCs/>
          <w:color w:val="000000"/>
          <w:sz w:val="20"/>
          <w:szCs w:val="20"/>
          <w:lang w:val="en"/>
        </w:rPr>
        <w:t>attempt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here to </w:t>
      </w:r>
      <w:proofErr w:type="spellStart"/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>canonise</w:t>
      </w:r>
      <w:proofErr w:type="spellEnd"/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th</w:t>
      </w:r>
      <w:r w:rsidR="00830CAD">
        <w:rPr>
          <w:rFonts w:eastAsia="Times New Roman" w:cstheme="minorHAnsi"/>
          <w:iCs/>
          <w:color w:val="000000"/>
          <w:sz w:val="20"/>
          <w:szCs w:val="20"/>
          <w:lang w:val="en"/>
        </w:rPr>
        <w:t>is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inaugural year </w:t>
      </w:r>
      <w:r w:rsidR="00156E8F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or </w:t>
      </w:r>
      <w:r w:rsidR="0005710D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determine a pedagogical </w:t>
      </w:r>
      <w:r w:rsidR="00156E8F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practice-led ontology, 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but to reflect on the </w:t>
      </w:r>
      <w:r w:rsidR="00121CFC">
        <w:rPr>
          <w:rFonts w:eastAsia="Times New Roman" w:cstheme="minorHAnsi"/>
          <w:iCs/>
          <w:color w:val="000000"/>
          <w:sz w:val="20"/>
          <w:szCs w:val="20"/>
          <w:lang w:val="en"/>
        </w:rPr>
        <w:t>value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of </w:t>
      </w:r>
      <w:r w:rsidR="001328C3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temporal belonging, </w:t>
      </w:r>
      <w:r w:rsidR="00BC3FA8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of friendship 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>and care</w:t>
      </w:r>
      <w:r w:rsidR="0005710D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(even within the institution)</w:t>
      </w:r>
      <w:r w:rsidR="006030D6">
        <w:rPr>
          <w:rFonts w:eastAsia="Times New Roman" w:cstheme="minorHAnsi"/>
          <w:iCs/>
          <w:color w:val="000000"/>
          <w:sz w:val="20"/>
          <w:szCs w:val="20"/>
          <w:lang w:val="en"/>
        </w:rPr>
        <w:t>,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both in </w:t>
      </w:r>
      <w:r w:rsidR="007A7514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the </w:t>
      </w:r>
      <w:proofErr w:type="spellStart"/>
      <w:r w:rsidR="007A7514">
        <w:rPr>
          <w:rFonts w:eastAsia="Times New Roman" w:cstheme="minorHAnsi"/>
          <w:iCs/>
          <w:color w:val="000000"/>
          <w:sz w:val="20"/>
          <w:szCs w:val="20"/>
          <w:lang w:val="en"/>
        </w:rPr>
        <w:t>localised</w:t>
      </w:r>
      <w:proofErr w:type="spellEnd"/>
      <w:r w:rsidR="007A7514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sense of </w:t>
      </w:r>
      <w:r w:rsidR="006030D6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encounters with 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one another, and </w:t>
      </w:r>
      <w:r w:rsidR="007A7514">
        <w:rPr>
          <w:rFonts w:eastAsia="Times New Roman" w:cstheme="minorHAnsi"/>
          <w:iCs/>
          <w:color w:val="000000"/>
          <w:sz w:val="20"/>
          <w:szCs w:val="20"/>
          <w:lang w:val="en"/>
        </w:rPr>
        <w:t>in a</w:t>
      </w:r>
      <w:r w:rsidR="00BC3FA8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  <w:r w:rsidR="007A7514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contextual sense 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of the works we carry into our own, </w:t>
      </w:r>
      <w:r w:rsidR="007A7514">
        <w:rPr>
          <w:rFonts w:eastAsia="Times New Roman" w:cstheme="minorHAnsi"/>
          <w:iCs/>
          <w:color w:val="000000"/>
          <w:sz w:val="20"/>
          <w:szCs w:val="20"/>
          <w:lang w:val="en"/>
        </w:rPr>
        <w:t>of who and what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we </w:t>
      </w:r>
      <w:r w:rsidR="00251844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live and 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write </w:t>
      </w:r>
      <w:r w:rsidR="004D45F5">
        <w:rPr>
          <w:rFonts w:eastAsia="Times New Roman" w:cstheme="minorHAnsi"/>
          <w:i/>
          <w:iCs/>
          <w:color w:val="000000"/>
          <w:sz w:val="20"/>
          <w:szCs w:val="20"/>
          <w:lang w:val="en"/>
        </w:rPr>
        <w:t>with</w:t>
      </w:r>
      <w:r w:rsidR="004D45F5">
        <w:rPr>
          <w:rFonts w:eastAsia="Times New Roman" w:cstheme="minorHAnsi"/>
          <w:iCs/>
          <w:color w:val="000000"/>
          <w:sz w:val="20"/>
          <w:szCs w:val="20"/>
          <w:lang w:val="en"/>
        </w:rPr>
        <w:t>.</w:t>
      </w:r>
      <w:r w:rsidR="00F21C89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</w:p>
    <w:p w14:paraId="1D3954B2" w14:textId="77777777" w:rsidR="003F6AE5" w:rsidRDefault="003F6AE5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</w:p>
    <w:p w14:paraId="7F291F7F" w14:textId="2E9730CC" w:rsidR="003C63AA" w:rsidRPr="003F3215" w:rsidRDefault="003F6AE5" w:rsidP="00E16452">
      <w:pPr>
        <w:rPr>
          <w:rFonts w:eastAsia="Times New Roman" w:cstheme="minorHAnsi"/>
          <w:iCs/>
          <w:sz w:val="20"/>
          <w:szCs w:val="20"/>
          <w:lang w:val="en"/>
        </w:rPr>
      </w:pPr>
      <w:r w:rsidRPr="003F3215">
        <w:rPr>
          <w:rFonts w:eastAsia="Times New Roman" w:cstheme="minorHAnsi"/>
          <w:iCs/>
          <w:sz w:val="20"/>
          <w:szCs w:val="20"/>
          <w:lang w:val="en"/>
        </w:rPr>
        <w:t xml:space="preserve">As the year draws to a close, we </w:t>
      </w:r>
      <w:r w:rsidR="00BD05D4">
        <w:rPr>
          <w:rFonts w:eastAsia="Times New Roman" w:cstheme="minorHAnsi"/>
          <w:iCs/>
          <w:sz w:val="20"/>
          <w:szCs w:val="20"/>
          <w:lang w:val="en"/>
        </w:rPr>
        <w:t>contemplate</w:t>
      </w:r>
      <w:r w:rsidRPr="003F3215">
        <w:rPr>
          <w:rFonts w:eastAsia="Times New Roman" w:cstheme="minorHAnsi"/>
          <w:iCs/>
          <w:sz w:val="20"/>
          <w:szCs w:val="20"/>
          <w:lang w:val="en"/>
        </w:rPr>
        <w:t xml:space="preserve"> Rola</w:t>
      </w:r>
      <w:r w:rsidR="00F21C89" w:rsidRPr="003F3215">
        <w:rPr>
          <w:rFonts w:eastAsia="Times New Roman" w:cstheme="minorHAnsi"/>
          <w:iCs/>
          <w:sz w:val="20"/>
          <w:szCs w:val="20"/>
          <w:lang w:val="en"/>
        </w:rPr>
        <w:t>n</w:t>
      </w:r>
      <w:r w:rsidRPr="003F3215">
        <w:rPr>
          <w:rFonts w:eastAsia="Times New Roman" w:cstheme="minorHAnsi"/>
          <w:iCs/>
          <w:sz w:val="20"/>
          <w:szCs w:val="20"/>
          <w:lang w:val="en"/>
        </w:rPr>
        <w:t>d</w:t>
      </w:r>
      <w:r w:rsidR="00F21C89" w:rsidRPr="003F3215">
        <w:rPr>
          <w:rFonts w:eastAsia="Times New Roman" w:cstheme="minorHAnsi"/>
          <w:iCs/>
          <w:sz w:val="20"/>
          <w:szCs w:val="20"/>
          <w:lang w:val="en"/>
        </w:rPr>
        <w:t xml:space="preserve"> Barthes’ </w:t>
      </w:r>
      <w:r w:rsidR="00F21C89" w:rsidRPr="003F3215">
        <w:rPr>
          <w:rFonts w:eastAsia="Times New Roman" w:cstheme="minorHAnsi"/>
          <w:i/>
          <w:iCs/>
          <w:sz w:val="20"/>
          <w:szCs w:val="20"/>
          <w:lang w:val="en"/>
        </w:rPr>
        <w:t>How to Live Together</w:t>
      </w:r>
      <w:r w:rsidR="00F21C89" w:rsidRPr="003F3215">
        <w:rPr>
          <w:rFonts w:eastAsia="Times New Roman" w:cstheme="minorHAnsi"/>
          <w:iCs/>
          <w:sz w:val="20"/>
          <w:szCs w:val="20"/>
          <w:lang w:val="en"/>
        </w:rPr>
        <w:t xml:space="preserve">, a </w:t>
      </w:r>
      <w:r w:rsidR="006E2FAD" w:rsidRPr="003F3215">
        <w:rPr>
          <w:rFonts w:eastAsia="Times New Roman" w:cstheme="minorHAnsi"/>
          <w:iCs/>
          <w:sz w:val="20"/>
          <w:szCs w:val="20"/>
          <w:lang w:val="en"/>
        </w:rPr>
        <w:t>series of</w:t>
      </w:r>
      <w:r w:rsidR="00F21C89" w:rsidRPr="003F3215">
        <w:rPr>
          <w:rFonts w:eastAsia="Times New Roman" w:cstheme="minorHAnsi"/>
          <w:iCs/>
          <w:sz w:val="20"/>
          <w:szCs w:val="20"/>
          <w:lang w:val="en"/>
        </w:rPr>
        <w:t xml:space="preserve"> lecture</w:t>
      </w:r>
      <w:r w:rsidR="006E2FAD" w:rsidRPr="003F3215">
        <w:rPr>
          <w:rFonts w:eastAsia="Times New Roman" w:cstheme="minorHAnsi"/>
          <w:iCs/>
          <w:sz w:val="20"/>
          <w:szCs w:val="20"/>
          <w:lang w:val="en"/>
        </w:rPr>
        <w:t>s</w:t>
      </w:r>
      <w:r w:rsidR="00F21C89" w:rsidRPr="003F3215">
        <w:rPr>
          <w:rFonts w:eastAsia="Times New Roman" w:cstheme="minorHAnsi"/>
          <w:iCs/>
          <w:sz w:val="20"/>
          <w:szCs w:val="20"/>
          <w:lang w:val="en"/>
        </w:rPr>
        <w:t xml:space="preserve"> translated by Kate Briggs, </w:t>
      </w:r>
      <w:r w:rsidR="006E2FAD" w:rsidRPr="003F3215">
        <w:rPr>
          <w:rFonts w:eastAsia="Times New Roman" w:cstheme="minorHAnsi"/>
          <w:iCs/>
          <w:sz w:val="20"/>
          <w:szCs w:val="20"/>
          <w:lang w:val="en"/>
        </w:rPr>
        <w:t>considering</w:t>
      </w:r>
      <w:r w:rsidR="00F21C89" w:rsidRPr="003F3215">
        <w:rPr>
          <w:rFonts w:eastAsia="Times New Roman" w:cstheme="minorHAnsi"/>
          <w:iCs/>
          <w:sz w:val="20"/>
          <w:szCs w:val="20"/>
          <w:lang w:val="en"/>
        </w:rPr>
        <w:t xml:space="preserve"> the </w:t>
      </w:r>
      <w:r w:rsidR="006E2FAD" w:rsidRPr="003F3215">
        <w:rPr>
          <w:rFonts w:cs="AppleSystemUIFont"/>
          <w:sz w:val="20"/>
          <w:szCs w:val="20"/>
        </w:rPr>
        <w:t>potential</w:t>
      </w:r>
      <w:r w:rsidR="00F21C89" w:rsidRPr="003F3215">
        <w:rPr>
          <w:rFonts w:cs="AppleSystemUIFont"/>
          <w:sz w:val="20"/>
          <w:szCs w:val="20"/>
        </w:rPr>
        <w:t xml:space="preserve"> of writing and art to create and reinvent shared</w:t>
      </w:r>
      <w:r w:rsidR="006E2FAD" w:rsidRPr="003F3215">
        <w:rPr>
          <w:rFonts w:cs="AppleSystemUIFont"/>
          <w:sz w:val="20"/>
          <w:szCs w:val="20"/>
        </w:rPr>
        <w:t xml:space="preserve"> </w:t>
      </w:r>
      <w:r w:rsidR="00F21C89" w:rsidRPr="003F3215">
        <w:rPr>
          <w:rFonts w:cs="AppleSystemUIFont"/>
          <w:sz w:val="20"/>
          <w:szCs w:val="20"/>
        </w:rPr>
        <w:t>spaces, ways of living</w:t>
      </w:r>
      <w:r w:rsidR="00BD05D4">
        <w:rPr>
          <w:rFonts w:cs="AppleSystemUIFont"/>
          <w:sz w:val="20"/>
          <w:szCs w:val="20"/>
        </w:rPr>
        <w:t>,</w:t>
      </w:r>
      <w:r w:rsidR="00F21C89" w:rsidRPr="003F3215">
        <w:rPr>
          <w:rFonts w:cs="AppleSystemUIFont"/>
          <w:sz w:val="20"/>
          <w:szCs w:val="20"/>
        </w:rPr>
        <w:t xml:space="preserve"> forms of social and ecological </w:t>
      </w:r>
      <w:r w:rsidR="00C737B1" w:rsidRPr="003F3215">
        <w:rPr>
          <w:rFonts w:cs="AppleSystemUIFont"/>
          <w:sz w:val="20"/>
          <w:szCs w:val="20"/>
        </w:rPr>
        <w:t>relations</w:t>
      </w:r>
      <w:r w:rsidR="00F21C89" w:rsidRPr="003F3215">
        <w:rPr>
          <w:rFonts w:cs="AppleSystemUIFont"/>
          <w:sz w:val="20"/>
          <w:szCs w:val="20"/>
        </w:rPr>
        <w:t>.</w:t>
      </w:r>
      <w:r w:rsidR="002D2844" w:rsidRPr="003F3215">
        <w:rPr>
          <w:rFonts w:cs="AppleSystemUIFont"/>
          <w:sz w:val="20"/>
          <w:szCs w:val="20"/>
        </w:rPr>
        <w:t xml:space="preserve"> </w:t>
      </w:r>
      <w:r w:rsidR="00BD05D4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>T</w:t>
      </w:r>
      <w:r w:rsidR="00D81E80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 xml:space="preserve">his project </w:t>
      </w:r>
      <w:r w:rsidR="00BD05D4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 xml:space="preserve">saw </w:t>
      </w:r>
      <w:r w:rsidR="00D81E80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 xml:space="preserve">Barthes </w:t>
      </w:r>
      <w:r w:rsidR="00BD05D4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 xml:space="preserve">explore </w:t>
      </w:r>
      <w:r w:rsidR="002D2844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 xml:space="preserve">forms and techniques of </w:t>
      </w:r>
      <w:r w:rsidR="00D81E80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>temporal belonging, and specifically, a fantasy</w:t>
      </w:r>
      <w:r w:rsidR="002D2844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 xml:space="preserve"> of </w:t>
      </w:r>
      <w:proofErr w:type="spellStart"/>
      <w:r w:rsidR="002D2844" w:rsidRPr="003F3215">
        <w:rPr>
          <w:rFonts w:eastAsia="Times New Roman" w:cstheme="minorHAnsi"/>
          <w:iCs/>
          <w:sz w:val="20"/>
          <w:szCs w:val="20"/>
          <w:lang w:val="en"/>
        </w:rPr>
        <w:t>idiorrythmy</w:t>
      </w:r>
      <w:proofErr w:type="spellEnd"/>
      <w:r w:rsidR="00D81E80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>: a form</w:t>
      </w:r>
      <w:r w:rsidR="002D2844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 xml:space="preserve"> of ‘living together’ where </w:t>
      </w:r>
      <w:r w:rsidR="00EA613C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>‘</w:t>
      </w:r>
      <w:r w:rsidR="002D2844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>cohabitation does not preclude individual freedom.</w:t>
      </w:r>
      <w:r w:rsidR="00EA613C" w:rsidRPr="003F3215">
        <w:rPr>
          <w:rFonts w:eastAsia="Times New Roman" w:cstheme="minorHAnsi"/>
          <w:sz w:val="20"/>
          <w:szCs w:val="20"/>
          <w:bdr w:val="none" w:sz="0" w:space="0" w:color="auto" w:frame="1"/>
          <w:lang w:val="en-GB"/>
        </w:rPr>
        <w:t>’</w:t>
      </w:r>
      <w:r w:rsidR="009B6562">
        <w:rPr>
          <w:rStyle w:val="FootnoteReference"/>
          <w:rFonts w:eastAsia="Times New Roman" w:cstheme="minorHAnsi"/>
          <w:iCs/>
          <w:color w:val="000000"/>
          <w:sz w:val="20"/>
          <w:szCs w:val="20"/>
          <w:lang w:val="en"/>
        </w:rPr>
        <w:footnoteReference w:id="5"/>
      </w:r>
    </w:p>
    <w:p w14:paraId="2BD8C2BA" w14:textId="0E951C68" w:rsidR="00BC3FA8" w:rsidRDefault="00BC3FA8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</w:p>
    <w:p w14:paraId="096F6D78" w14:textId="7EF282E2" w:rsidR="00517014" w:rsidRPr="00517014" w:rsidRDefault="00517014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>To love a writer (let’s name them a writer)</w:t>
      </w:r>
      <w:r w:rsidR="00156E8F">
        <w:rPr>
          <w:rStyle w:val="FootnoteReference"/>
          <w:rFonts w:eastAsia="Times New Roman" w:cstheme="minorHAnsi"/>
          <w:iCs/>
          <w:color w:val="000000"/>
          <w:sz w:val="20"/>
          <w:szCs w:val="20"/>
          <w:lang w:val="en"/>
        </w:rPr>
        <w:footnoteReference w:id="6"/>
      </w: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reconnects literature, art and critical theory to life and literature, art and critical theory to the writer </w:t>
      </w:r>
      <w:r>
        <w:rPr>
          <w:rFonts w:eastAsia="Times New Roman" w:cstheme="minorHAnsi"/>
          <w:i/>
          <w:iCs/>
          <w:color w:val="000000"/>
          <w:sz w:val="20"/>
          <w:szCs w:val="20"/>
          <w:lang w:val="en"/>
        </w:rPr>
        <w:t>and</w:t>
      </w:r>
      <w:r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the reader. </w:t>
      </w:r>
      <w:r w:rsidR="000D5782">
        <w:rPr>
          <w:rFonts w:eastAsia="Times New Roman" w:cstheme="minorHAnsi"/>
          <w:iCs/>
          <w:color w:val="000000"/>
          <w:sz w:val="20"/>
          <w:szCs w:val="20"/>
          <w:lang w:val="en"/>
        </w:rPr>
        <w:t>As w</w:t>
      </w:r>
      <w:r w:rsidR="00063DE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e sit around the </w:t>
      </w:r>
      <w:r w:rsidR="003548B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low </w:t>
      </w:r>
      <w:r w:rsidR="00063DE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circular plinth </w:t>
      </w:r>
      <w:r w:rsidR="000D5782">
        <w:rPr>
          <w:rFonts w:eastAsia="Times New Roman" w:cstheme="minorHAnsi"/>
          <w:iCs/>
          <w:color w:val="000000"/>
          <w:sz w:val="20"/>
          <w:szCs w:val="20"/>
          <w:lang w:val="en"/>
        </w:rPr>
        <w:t>repurposed</w:t>
      </w:r>
      <w:r w:rsidR="00063DE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as a </w:t>
      </w:r>
      <w:r w:rsidR="00063DE0">
        <w:rPr>
          <w:rFonts w:eastAsia="Times New Roman" w:cstheme="minorHAnsi"/>
          <w:iCs/>
          <w:color w:val="000000"/>
          <w:sz w:val="20"/>
          <w:szCs w:val="20"/>
          <w:lang w:val="en"/>
        </w:rPr>
        <w:lastRenderedPageBreak/>
        <w:t>coffee table</w:t>
      </w:r>
      <w:r w:rsidR="000D5782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and</w:t>
      </w:r>
      <w:r w:rsidR="00063DE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cloaked in a patterned cloth</w:t>
      </w:r>
      <w:r w:rsidR="00D66745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(let’s name this a point of contact)</w:t>
      </w:r>
      <w:r w:rsidR="00156E8F">
        <w:rPr>
          <w:rFonts w:eastAsia="Times New Roman" w:cstheme="minorHAnsi"/>
          <w:iCs/>
          <w:color w:val="000000"/>
          <w:sz w:val="20"/>
          <w:szCs w:val="20"/>
          <w:lang w:val="en"/>
        </w:rPr>
        <w:t>,</w:t>
      </w:r>
      <w:r w:rsidR="00063DE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we remind one another to </w:t>
      </w:r>
      <w:r w:rsidR="00156E8F">
        <w:rPr>
          <w:rFonts w:eastAsia="Times New Roman" w:cstheme="minorHAnsi"/>
          <w:iCs/>
          <w:color w:val="000000"/>
          <w:sz w:val="20"/>
          <w:szCs w:val="20"/>
          <w:lang w:val="en"/>
        </w:rPr>
        <w:t>reimagine</w:t>
      </w:r>
      <w:r w:rsidR="00063DE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what we see </w:t>
      </w:r>
      <w:r w:rsidR="00121CFC">
        <w:rPr>
          <w:rFonts w:eastAsia="Times New Roman" w:cstheme="minorHAnsi"/>
          <w:iCs/>
          <w:color w:val="000000"/>
          <w:sz w:val="20"/>
          <w:szCs w:val="20"/>
          <w:lang w:val="en"/>
        </w:rPr>
        <w:t>as a vital form of interaction with the world</w:t>
      </w:r>
      <w:r w:rsidR="00250138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, a vigorous attempt to </w:t>
      </w:r>
      <w:r w:rsidR="00250138" w:rsidRPr="00F21C89">
        <w:rPr>
          <w:rFonts w:eastAsia="Times New Roman" w:cstheme="minorHAnsi"/>
          <w:i/>
          <w:iCs/>
          <w:color w:val="000000"/>
          <w:sz w:val="20"/>
          <w:szCs w:val="20"/>
          <w:lang w:val="en"/>
        </w:rPr>
        <w:t>clear the air</w:t>
      </w:r>
      <w:r w:rsidR="00063DE0">
        <w:rPr>
          <w:rFonts w:eastAsia="Times New Roman" w:cstheme="minorHAnsi"/>
          <w:iCs/>
          <w:color w:val="000000"/>
          <w:sz w:val="20"/>
          <w:szCs w:val="20"/>
          <w:lang w:val="en"/>
        </w:rPr>
        <w:t>.</w:t>
      </w:r>
      <w:r w:rsidR="00F21C89">
        <w:rPr>
          <w:rStyle w:val="FootnoteReference"/>
          <w:rFonts w:eastAsia="Times New Roman" w:cstheme="minorHAnsi"/>
          <w:iCs/>
          <w:color w:val="000000"/>
          <w:sz w:val="20"/>
          <w:szCs w:val="20"/>
          <w:lang w:val="en"/>
        </w:rPr>
        <w:footnoteReference w:id="7"/>
      </w:r>
    </w:p>
    <w:p w14:paraId="35F07E84" w14:textId="77777777" w:rsidR="00BC3FA8" w:rsidRDefault="00BC3FA8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</w:p>
    <w:p w14:paraId="17428BB2" w14:textId="77777777" w:rsidR="008A1ACA" w:rsidRPr="004B3F0B" w:rsidRDefault="008A1ACA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</w:p>
    <w:p w14:paraId="0A7DE157" w14:textId="7937C2C5" w:rsidR="003C63AA" w:rsidRDefault="003C63AA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  <w:r w:rsidRPr="004B3F0B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This first edition of </w:t>
      </w:r>
      <w:r w:rsidRPr="008A1ACA">
        <w:rPr>
          <w:rFonts w:eastAsia="Times New Roman" w:cstheme="minorHAnsi"/>
          <w:i/>
          <w:iCs/>
          <w:color w:val="000000"/>
          <w:sz w:val="20"/>
          <w:szCs w:val="20"/>
          <w:lang w:val="en"/>
        </w:rPr>
        <w:t>The Yellow Paper</w:t>
      </w:r>
      <w:r w:rsidRPr="004B3F0B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  <w:r w:rsidR="003548B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marks the </w:t>
      </w:r>
      <w:r w:rsidR="003A43DD">
        <w:rPr>
          <w:rFonts w:eastAsia="Times New Roman" w:cstheme="minorHAnsi"/>
          <w:iCs/>
          <w:color w:val="000000"/>
          <w:sz w:val="20"/>
          <w:szCs w:val="20"/>
          <w:lang w:val="en"/>
        </w:rPr>
        <w:t>beginning of the</w:t>
      </w:r>
      <w:r w:rsidR="003548B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Graduate </w:t>
      </w:r>
      <w:proofErr w:type="spellStart"/>
      <w:r w:rsidR="003548B0">
        <w:rPr>
          <w:rFonts w:eastAsia="Times New Roman" w:cstheme="minorHAnsi"/>
          <w:iCs/>
          <w:color w:val="000000"/>
          <w:sz w:val="20"/>
          <w:szCs w:val="20"/>
          <w:lang w:val="en"/>
        </w:rPr>
        <w:t>Programme</w:t>
      </w:r>
      <w:proofErr w:type="spellEnd"/>
      <w:r w:rsidR="003548B0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</w:t>
      </w:r>
      <w:r w:rsidR="00A35827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in Art Writing at The Glasgow School of Art. It gathers work from the inaugural cohort and contributions from artists and writers who have been key to </w:t>
      </w:r>
      <w:r w:rsidR="00980F16">
        <w:rPr>
          <w:rFonts w:eastAsia="Times New Roman" w:cstheme="minorHAnsi"/>
          <w:iCs/>
          <w:color w:val="000000"/>
          <w:sz w:val="20"/>
          <w:szCs w:val="20"/>
          <w:lang w:val="en"/>
        </w:rPr>
        <w:t>its establishment;</w:t>
      </w:r>
      <w:r w:rsidR="00A35827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Kate Briggs, Laurence Figgis, Daisy Lafarge and Susannah Thompson. </w:t>
      </w:r>
      <w:r w:rsidR="00900E56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This is by no means representative of the generosity </w:t>
      </w:r>
      <w:r w:rsidR="00DE592C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received </w:t>
      </w:r>
      <w:r w:rsidR="00E56FCC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both this year and in the design and planning of the </w:t>
      </w:r>
      <w:proofErr w:type="spellStart"/>
      <w:r w:rsidR="00E56FCC">
        <w:rPr>
          <w:rFonts w:eastAsia="Times New Roman" w:cstheme="minorHAnsi"/>
          <w:iCs/>
          <w:color w:val="000000"/>
          <w:sz w:val="20"/>
          <w:szCs w:val="20"/>
          <w:lang w:val="en"/>
        </w:rPr>
        <w:t>programme</w:t>
      </w:r>
      <w:proofErr w:type="spellEnd"/>
      <w:r w:rsidR="00CB4083">
        <w:rPr>
          <w:rFonts w:eastAsia="Times New Roman" w:cstheme="minorHAnsi"/>
          <w:iCs/>
          <w:color w:val="000000"/>
          <w:sz w:val="20"/>
          <w:szCs w:val="20"/>
          <w:lang w:val="en"/>
        </w:rPr>
        <w:t>, too many people to mention here, but I would like to note with gratitude the spirited contribution</w:t>
      </w:r>
      <w:r w:rsidR="00F026CF">
        <w:rPr>
          <w:rFonts w:eastAsia="Times New Roman" w:cstheme="minorHAnsi"/>
          <w:iCs/>
          <w:color w:val="000000"/>
          <w:sz w:val="20"/>
          <w:szCs w:val="20"/>
          <w:lang w:val="en"/>
        </w:rPr>
        <w:t>s</w:t>
      </w:r>
      <w:r w:rsidR="00CB4083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of Lauren Dyer </w:t>
      </w:r>
      <w:proofErr w:type="spellStart"/>
      <w:r w:rsidR="00CB4083">
        <w:rPr>
          <w:rFonts w:eastAsia="Times New Roman" w:cstheme="minorHAnsi"/>
          <w:iCs/>
          <w:color w:val="000000"/>
          <w:sz w:val="20"/>
          <w:szCs w:val="20"/>
          <w:lang w:val="en"/>
        </w:rPr>
        <w:t>Amazeen</w:t>
      </w:r>
      <w:proofErr w:type="spellEnd"/>
      <w:r w:rsidR="00CB4083">
        <w:rPr>
          <w:rFonts w:eastAsia="Times New Roman" w:cstheme="minorHAnsi"/>
          <w:iCs/>
          <w:color w:val="000000"/>
          <w:sz w:val="20"/>
          <w:szCs w:val="20"/>
          <w:lang w:val="en"/>
        </w:rPr>
        <w:t xml:space="preserve"> and Elizabeth Reeder.</w:t>
      </w:r>
    </w:p>
    <w:p w14:paraId="78D7EC89" w14:textId="0E9A43AD" w:rsidR="001468C4" w:rsidRDefault="001468C4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</w:p>
    <w:p w14:paraId="4F22F9B8" w14:textId="0BD2F8B0" w:rsidR="001468C4" w:rsidRDefault="001468C4" w:rsidP="00E16452">
      <w:pPr>
        <w:rPr>
          <w:rFonts w:eastAsia="Times New Roman" w:cstheme="minorHAnsi"/>
          <w:iCs/>
          <w:color w:val="000000"/>
          <w:sz w:val="20"/>
          <w:szCs w:val="20"/>
          <w:lang w:val="en"/>
        </w:rPr>
      </w:pPr>
    </w:p>
    <w:p w14:paraId="379B408B" w14:textId="69199E46" w:rsidR="001468C4" w:rsidRPr="004B3F0B" w:rsidRDefault="001468C4" w:rsidP="00E16452">
      <w:pPr>
        <w:rPr>
          <w:rFonts w:cstheme="minorHAnsi"/>
          <w:sz w:val="20"/>
          <w:szCs w:val="20"/>
          <w:lang w:val="en-GB"/>
        </w:rPr>
      </w:pPr>
    </w:p>
    <w:sectPr w:rsidR="001468C4" w:rsidRPr="004B3F0B" w:rsidSect="00933D3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B6CB4" w14:textId="77777777" w:rsidR="00FC6BD5" w:rsidRDefault="00FC6BD5" w:rsidP="00D819CC">
      <w:r>
        <w:separator/>
      </w:r>
    </w:p>
  </w:endnote>
  <w:endnote w:type="continuationSeparator" w:id="0">
    <w:p w14:paraId="1DBE2FC4" w14:textId="77777777" w:rsidR="00FC6BD5" w:rsidRDefault="00FC6BD5" w:rsidP="00D8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EC5ED" w14:textId="77777777" w:rsidR="00FC6BD5" w:rsidRDefault="00FC6BD5" w:rsidP="00D819CC">
      <w:r>
        <w:separator/>
      </w:r>
    </w:p>
  </w:footnote>
  <w:footnote w:type="continuationSeparator" w:id="0">
    <w:p w14:paraId="46D9E396" w14:textId="77777777" w:rsidR="00FC6BD5" w:rsidRDefault="00FC6BD5" w:rsidP="00D819CC">
      <w:r>
        <w:continuationSeparator/>
      </w:r>
    </w:p>
  </w:footnote>
  <w:footnote w:id="1">
    <w:p w14:paraId="0011CEAB" w14:textId="3CB6D4A2" w:rsidR="002854EE" w:rsidRPr="00FF0F57" w:rsidRDefault="002854EE" w:rsidP="002854EE">
      <w:pPr>
        <w:rPr>
          <w:rFonts w:cstheme="minorHAnsi"/>
          <w:sz w:val="16"/>
          <w:szCs w:val="16"/>
          <w:lang w:val="en-GB"/>
        </w:rPr>
      </w:pPr>
      <w:r>
        <w:rPr>
          <w:rFonts w:cstheme="minorHAnsi"/>
          <w:sz w:val="16"/>
          <w:szCs w:val="16"/>
          <w:lang w:val="en-GB"/>
        </w:rPr>
        <w:t xml:space="preserve">* </w:t>
      </w:r>
      <w:r w:rsidRPr="00FF0F57">
        <w:rPr>
          <w:rFonts w:cstheme="minorHAnsi"/>
          <w:sz w:val="16"/>
          <w:szCs w:val="16"/>
          <w:lang w:val="en-GB"/>
        </w:rPr>
        <w:t xml:space="preserve">In </w:t>
      </w:r>
      <w:proofErr w:type="gramStart"/>
      <w:r w:rsidRPr="00FF0F57">
        <w:rPr>
          <w:rFonts w:cstheme="minorHAnsi"/>
          <w:i/>
          <w:sz w:val="16"/>
          <w:szCs w:val="16"/>
          <w:lang w:val="en-GB"/>
        </w:rPr>
        <w:t>The</w:t>
      </w:r>
      <w:proofErr w:type="gramEnd"/>
      <w:r w:rsidRPr="00FF0F57">
        <w:rPr>
          <w:rFonts w:cstheme="minorHAnsi"/>
          <w:i/>
          <w:sz w:val="16"/>
          <w:szCs w:val="16"/>
          <w:lang w:val="en-GB"/>
        </w:rPr>
        <w:t xml:space="preserve"> Preparation of the Novel</w:t>
      </w:r>
      <w:r w:rsidRPr="00FF0F57">
        <w:rPr>
          <w:rFonts w:cstheme="minorHAnsi"/>
          <w:sz w:val="16"/>
          <w:szCs w:val="16"/>
          <w:lang w:val="en-GB"/>
        </w:rPr>
        <w:t xml:space="preserve">, a series of lectures translated by Kate Briggs, Roland Barthes speaks of </w:t>
      </w:r>
      <w:r w:rsidRPr="00FF0F57">
        <w:rPr>
          <w:rFonts w:cstheme="minorHAnsi"/>
          <w:i/>
          <w:sz w:val="16"/>
          <w:szCs w:val="16"/>
          <w:lang w:val="en-GB"/>
        </w:rPr>
        <w:t>as if</w:t>
      </w:r>
      <w:r w:rsidRPr="00FF0F57">
        <w:rPr>
          <w:rFonts w:cstheme="minorHAnsi"/>
          <w:sz w:val="16"/>
          <w:szCs w:val="16"/>
          <w:lang w:val="en-GB"/>
        </w:rPr>
        <w:t xml:space="preserve"> as the motto of </w:t>
      </w:r>
      <w:r w:rsidRPr="00FF0F57">
        <w:rPr>
          <w:rFonts w:cstheme="minorHAnsi"/>
          <w:i/>
          <w:sz w:val="16"/>
          <w:szCs w:val="16"/>
          <w:lang w:val="en-GB"/>
        </w:rPr>
        <w:t xml:space="preserve">method: </w:t>
      </w:r>
      <w:r w:rsidRPr="00FF0F57">
        <w:rPr>
          <w:rFonts w:cstheme="minorHAnsi"/>
          <w:sz w:val="16"/>
          <w:szCs w:val="16"/>
          <w:lang w:val="en-GB"/>
        </w:rPr>
        <w:t xml:space="preserve">‘Method = the methodical exploitation of a hypothesis; here, as you’ll have grasped: a hypothesis not of </w:t>
      </w:r>
      <w:r w:rsidRPr="00FF0F57">
        <w:rPr>
          <w:rFonts w:cstheme="minorHAnsi"/>
          <w:i/>
          <w:sz w:val="16"/>
          <w:szCs w:val="16"/>
          <w:lang w:val="en-GB"/>
        </w:rPr>
        <w:t>explanation</w:t>
      </w:r>
      <w:r w:rsidRPr="00FF0F57">
        <w:rPr>
          <w:rFonts w:cstheme="minorHAnsi"/>
          <w:sz w:val="16"/>
          <w:szCs w:val="16"/>
          <w:lang w:val="en-GB"/>
        </w:rPr>
        <w:t xml:space="preserve"> (of interpretation) (meta-Novel), but of </w:t>
      </w:r>
      <w:r w:rsidRPr="00FF0F57">
        <w:rPr>
          <w:rFonts w:cstheme="minorHAnsi"/>
          <w:i/>
          <w:sz w:val="16"/>
          <w:szCs w:val="16"/>
          <w:lang w:val="en-GB"/>
        </w:rPr>
        <w:t>production.’</w:t>
      </w:r>
      <w:r w:rsidR="000039E2">
        <w:rPr>
          <w:rFonts w:cstheme="minorHAnsi"/>
          <w:i/>
          <w:sz w:val="16"/>
          <w:szCs w:val="16"/>
          <w:lang w:val="en-GB"/>
        </w:rPr>
        <w:t xml:space="preserve"> </w:t>
      </w:r>
    </w:p>
    <w:p w14:paraId="46323702" w14:textId="77777777" w:rsidR="002854EE" w:rsidRPr="006B5B5C" w:rsidRDefault="002854EE" w:rsidP="002854EE">
      <w:pPr>
        <w:rPr>
          <w:sz w:val="16"/>
          <w:szCs w:val="16"/>
        </w:rPr>
      </w:pPr>
    </w:p>
    <w:p w14:paraId="0F752D1C" w14:textId="228305D4" w:rsidR="002854EE" w:rsidRPr="006B5B5C" w:rsidRDefault="002854EE" w:rsidP="002854EE">
      <w:pPr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</w:pPr>
      <w:r w:rsidRPr="006B5B5C">
        <w:rPr>
          <w:rStyle w:val="FootnoteReference"/>
          <w:sz w:val="16"/>
          <w:szCs w:val="16"/>
        </w:rPr>
        <w:footnoteRef/>
      </w:r>
      <w:r w:rsidRPr="006B5B5C">
        <w:rPr>
          <w:sz w:val="16"/>
          <w:szCs w:val="16"/>
        </w:rPr>
        <w:t xml:space="preserve"> </w:t>
      </w:r>
      <w:r w:rsidR="00976516">
        <w:rPr>
          <w:sz w:val="16"/>
          <w:szCs w:val="16"/>
        </w:rPr>
        <w:t xml:space="preserve">Eve </w:t>
      </w:r>
      <w:proofErr w:type="spellStart"/>
      <w:r w:rsidR="00976516">
        <w:rPr>
          <w:sz w:val="16"/>
          <w:szCs w:val="16"/>
        </w:rPr>
        <w:t>Kosofsky</w:t>
      </w:r>
      <w:proofErr w:type="spellEnd"/>
      <w:r w:rsidR="00976516">
        <w:rPr>
          <w:sz w:val="16"/>
          <w:szCs w:val="16"/>
        </w:rPr>
        <w:t xml:space="preserve"> </w:t>
      </w:r>
      <w:r w:rsidR="00976516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 xml:space="preserve">Sedgwick </w:t>
      </w:r>
      <w:r w:rsidR="00E6768A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&amp;</w:t>
      </w:r>
      <w:r w:rsidR="006D742B" w:rsidRPr="006B5B5C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 xml:space="preserve"> </w:t>
      </w:r>
      <w:r w:rsidR="000D6123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Adam Frank,</w:t>
      </w:r>
      <w:r w:rsidR="00976516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 xml:space="preserve"> </w:t>
      </w:r>
      <w:r w:rsidR="000D6123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‘</w:t>
      </w:r>
      <w:r w:rsidR="006D742B" w:rsidRPr="006B5B5C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Shame in the Cybernetic Fold: Reading Silvan Tomkins</w:t>
      </w:r>
      <w:r w:rsidR="000D6123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’,</w:t>
      </w:r>
      <w:r w:rsidR="006D742B" w:rsidRPr="006B5B5C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 </w:t>
      </w:r>
      <w:r w:rsidR="006D742B" w:rsidRPr="006B5B5C">
        <w:rPr>
          <w:rFonts w:eastAsia="Times New Roman" w:cs="Arial"/>
          <w:i/>
          <w:iCs/>
          <w:sz w:val="16"/>
          <w:szCs w:val="16"/>
          <w:lang w:val="en-GB" w:eastAsia="en-GB"/>
        </w:rPr>
        <w:t>Critical Inquiry,</w:t>
      </w:r>
      <w:r w:rsidR="006D742B" w:rsidRPr="006B5B5C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 </w:t>
      </w:r>
      <w:r w:rsidR="006D742B" w:rsidRPr="006B5B5C">
        <w:rPr>
          <w:rFonts w:eastAsia="Times New Roman" w:cs="Arial"/>
          <w:i/>
          <w:iCs/>
          <w:sz w:val="16"/>
          <w:szCs w:val="16"/>
          <w:lang w:val="en-GB" w:eastAsia="en-GB"/>
        </w:rPr>
        <w:t>21</w:t>
      </w:r>
      <w:r w:rsidR="006D742B" w:rsidRPr="006B5B5C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 xml:space="preserve">(2), </w:t>
      </w:r>
      <w:r w:rsidR="00DE2C77" w:rsidRPr="006B5B5C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p</w:t>
      </w:r>
      <w:r w:rsidR="001B67D9" w:rsidRPr="006B5B5C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521</w:t>
      </w:r>
    </w:p>
  </w:footnote>
  <w:footnote w:id="2">
    <w:p w14:paraId="4880E7C2" w14:textId="6297576D" w:rsidR="001B67D9" w:rsidRPr="006B5B5C" w:rsidRDefault="001B67D9" w:rsidP="001B67D9">
      <w:pPr>
        <w:rPr>
          <w:sz w:val="16"/>
          <w:szCs w:val="16"/>
        </w:rPr>
      </w:pPr>
      <w:r w:rsidRPr="006B5B5C">
        <w:rPr>
          <w:rStyle w:val="FootnoteReference"/>
          <w:sz w:val="16"/>
          <w:szCs w:val="16"/>
        </w:rPr>
        <w:footnoteRef/>
      </w:r>
      <w:r w:rsidRPr="006B5B5C">
        <w:rPr>
          <w:sz w:val="16"/>
          <w:szCs w:val="16"/>
        </w:rPr>
        <w:t xml:space="preserve"> </w:t>
      </w:r>
      <w:r w:rsidR="000D6123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 xml:space="preserve">Sedgwick </w:t>
      </w:r>
      <w:r w:rsidR="00E6768A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&amp;</w:t>
      </w:r>
      <w:r w:rsidR="000D6123" w:rsidRPr="006B5B5C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 xml:space="preserve"> </w:t>
      </w:r>
      <w:r w:rsidR="000D6123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>Frank,</w:t>
      </w:r>
      <w:r w:rsidR="00C624AB">
        <w:rPr>
          <w:rFonts w:eastAsia="Times New Roman" w:cs="Arial"/>
          <w:sz w:val="16"/>
          <w:szCs w:val="16"/>
          <w:shd w:val="clear" w:color="auto" w:fill="FFFFFF"/>
          <w:lang w:val="en-GB" w:eastAsia="en-GB"/>
        </w:rPr>
        <w:t xml:space="preserve"> </w:t>
      </w:r>
      <w:r w:rsidR="00C624AB" w:rsidRPr="00C624AB">
        <w:rPr>
          <w:rFonts w:eastAsia="Times New Roman" w:cs="Arial"/>
          <w:i/>
          <w:sz w:val="16"/>
          <w:szCs w:val="16"/>
          <w:shd w:val="clear" w:color="auto" w:fill="FFFFFF"/>
          <w:lang w:val="en-GB" w:eastAsia="en-GB"/>
        </w:rPr>
        <w:t>ibid</w:t>
      </w:r>
    </w:p>
  </w:footnote>
  <w:footnote w:id="3">
    <w:p w14:paraId="482B0840" w14:textId="028EA2A9" w:rsidR="00D819CC" w:rsidRPr="006B5B5C" w:rsidRDefault="00D819CC" w:rsidP="00D61A1C">
      <w:pPr>
        <w:rPr>
          <w:sz w:val="16"/>
          <w:szCs w:val="16"/>
        </w:rPr>
      </w:pPr>
      <w:r w:rsidRPr="006B5B5C">
        <w:rPr>
          <w:rStyle w:val="FootnoteReference"/>
          <w:sz w:val="16"/>
          <w:szCs w:val="16"/>
        </w:rPr>
        <w:footnoteRef/>
      </w:r>
      <w:r w:rsidRPr="006B5B5C">
        <w:rPr>
          <w:sz w:val="16"/>
          <w:szCs w:val="16"/>
        </w:rPr>
        <w:t xml:space="preserve"> </w:t>
      </w:r>
      <w:r w:rsidR="003C24F5" w:rsidRPr="006B5B5C">
        <w:rPr>
          <w:rFonts w:cstheme="minorHAnsi"/>
          <w:sz w:val="16"/>
          <w:szCs w:val="16"/>
          <w:lang w:val="en-GB"/>
        </w:rPr>
        <w:t>I</w:t>
      </w:r>
      <w:r w:rsidRPr="006B5B5C">
        <w:rPr>
          <w:rFonts w:cstheme="minorHAnsi"/>
          <w:sz w:val="16"/>
          <w:szCs w:val="16"/>
          <w:lang w:val="en-GB"/>
        </w:rPr>
        <w:t>n</w:t>
      </w:r>
      <w:r w:rsidR="003C24F5" w:rsidRPr="006B5B5C">
        <w:rPr>
          <w:rFonts w:cstheme="minorHAnsi"/>
          <w:sz w:val="16"/>
          <w:szCs w:val="16"/>
          <w:lang w:val="en-GB"/>
        </w:rPr>
        <w:t xml:space="preserve"> </w:t>
      </w:r>
      <w:r w:rsidRPr="006B5B5C">
        <w:rPr>
          <w:rFonts w:eastAsia="Times New Roman" w:cs="Lucida Sans Unicode"/>
          <w:i/>
          <w:iCs/>
          <w:sz w:val="16"/>
          <w:szCs w:val="16"/>
          <w:lang w:val="en"/>
        </w:rPr>
        <w:t>Touching Feeling</w:t>
      </w:r>
      <w:r w:rsidRPr="006B5B5C">
        <w:rPr>
          <w:rFonts w:eastAsia="Times New Roman" w:cs="Lucida Sans Unicode"/>
          <w:sz w:val="16"/>
          <w:szCs w:val="16"/>
          <w:lang w:val="en"/>
        </w:rPr>
        <w:t>:</w:t>
      </w:r>
      <w:r w:rsidRPr="006B5B5C">
        <w:rPr>
          <w:rFonts w:eastAsia="Times New Roman" w:cs="Lucida Sans Unicode"/>
          <w:i/>
          <w:iCs/>
          <w:sz w:val="16"/>
          <w:szCs w:val="16"/>
          <w:lang w:val="en"/>
        </w:rPr>
        <w:t> Affect</w:t>
      </w:r>
      <w:r w:rsidRPr="006B5B5C">
        <w:rPr>
          <w:rFonts w:eastAsia="Times New Roman" w:cs="Lucida Sans Unicode"/>
          <w:sz w:val="16"/>
          <w:szCs w:val="16"/>
          <w:lang w:val="en"/>
        </w:rPr>
        <w:t>,</w:t>
      </w:r>
      <w:r w:rsidRPr="006B5B5C">
        <w:rPr>
          <w:rFonts w:eastAsia="Times New Roman" w:cs="Lucida Sans Unicode"/>
          <w:i/>
          <w:iCs/>
          <w:sz w:val="16"/>
          <w:szCs w:val="16"/>
          <w:lang w:val="en"/>
        </w:rPr>
        <w:t> Pedagogy</w:t>
      </w:r>
      <w:r w:rsidRPr="006B5B5C">
        <w:rPr>
          <w:rFonts w:eastAsia="Times New Roman" w:cs="Lucida Sans Unicode"/>
          <w:sz w:val="16"/>
          <w:szCs w:val="16"/>
          <w:lang w:val="en"/>
        </w:rPr>
        <w:t>,</w:t>
      </w:r>
      <w:r w:rsidRPr="006B5B5C">
        <w:rPr>
          <w:rFonts w:eastAsia="Times New Roman" w:cs="Lucida Sans Unicode"/>
          <w:i/>
          <w:iCs/>
          <w:sz w:val="16"/>
          <w:szCs w:val="16"/>
          <w:lang w:val="en"/>
        </w:rPr>
        <w:t> Performativity</w:t>
      </w:r>
      <w:r w:rsidR="003C24F5" w:rsidRPr="006B5B5C">
        <w:rPr>
          <w:rFonts w:eastAsia="Times New Roman" w:cs="Lucida Sans Unicode"/>
          <w:iCs/>
          <w:sz w:val="16"/>
          <w:szCs w:val="16"/>
          <w:lang w:val="en"/>
        </w:rPr>
        <w:t xml:space="preserve"> (2003), Sedgwick calls for</w:t>
      </w:r>
      <w:r w:rsidR="00D61A1C" w:rsidRPr="006B5B5C">
        <w:rPr>
          <w:rFonts w:eastAsia="Times New Roman" w:cs="Lucida Sans Unicode"/>
          <w:i/>
          <w:iCs/>
          <w:sz w:val="16"/>
          <w:szCs w:val="16"/>
          <w:lang w:val="en"/>
        </w:rPr>
        <w:t xml:space="preserve"> </w:t>
      </w:r>
      <w:r w:rsidR="00D61A1C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 xml:space="preserve">a critical practice that seeks </w:t>
      </w:r>
      <w:r w:rsidR="003C24F5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 xml:space="preserve">to </w:t>
      </w:r>
      <w:r w:rsidR="00D61A1C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>nurture its objects of study</w:t>
      </w:r>
      <w:r w:rsidR="003C24F5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 xml:space="preserve"> </w:t>
      </w:r>
      <w:r w:rsidR="0086744A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>as resistance of</w:t>
      </w:r>
      <w:r w:rsidR="003C24F5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 xml:space="preserve"> </w:t>
      </w:r>
      <w:r w:rsidR="0086744A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>a</w:t>
      </w:r>
      <w:r w:rsidR="003C24F5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 xml:space="preserve"> hermeneutics of </w:t>
      </w:r>
      <w:r w:rsidR="00D164C5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 xml:space="preserve">suspicion-based reading and </w:t>
      </w:r>
      <w:r w:rsidR="006B73A4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>paranoid</w:t>
      </w:r>
      <w:r w:rsidR="006B73A4" w:rsidRPr="006B5B5C">
        <w:rPr>
          <w:rFonts w:eastAsia="Times New Roman" w:cstheme="minorHAnsi"/>
          <w:iCs/>
          <w:sz w:val="16"/>
          <w:szCs w:val="16"/>
          <w:lang w:val="en"/>
        </w:rPr>
        <w:t xml:space="preserve"> rhetoric</w:t>
      </w:r>
      <w:r w:rsidR="003C24F5" w:rsidRPr="006B5B5C">
        <w:rPr>
          <w:rFonts w:eastAsia="Times New Roman" w:cs="Arial"/>
          <w:sz w:val="16"/>
          <w:szCs w:val="16"/>
          <w:shd w:val="clear" w:color="auto" w:fill="FFFFFF"/>
          <w:lang w:val="en-GB"/>
        </w:rPr>
        <w:t>.</w:t>
      </w:r>
    </w:p>
  </w:footnote>
  <w:footnote w:id="4">
    <w:p w14:paraId="05DC2804" w14:textId="5D21218C" w:rsidR="001B23AE" w:rsidRPr="006B5B5C" w:rsidRDefault="001B23AE" w:rsidP="001B23AE">
      <w:pPr>
        <w:textAlignment w:val="baseline"/>
        <w:rPr>
          <w:rFonts w:cstheme="minorHAnsi"/>
          <w:sz w:val="16"/>
          <w:szCs w:val="16"/>
          <w:lang w:eastAsia="en-GB"/>
        </w:rPr>
      </w:pPr>
      <w:r w:rsidRPr="006B5B5C">
        <w:rPr>
          <w:rStyle w:val="FootnoteReference"/>
          <w:sz w:val="16"/>
          <w:szCs w:val="16"/>
        </w:rPr>
        <w:footnoteRef/>
      </w:r>
      <w:r w:rsidRPr="006B5B5C">
        <w:rPr>
          <w:sz w:val="16"/>
          <w:szCs w:val="16"/>
        </w:rPr>
        <w:t xml:space="preserve"> </w:t>
      </w:r>
      <w:r w:rsidR="0007220C">
        <w:rPr>
          <w:sz w:val="16"/>
          <w:szCs w:val="16"/>
        </w:rPr>
        <w:t xml:space="preserve">Lisa </w:t>
      </w:r>
      <w:r w:rsidR="0007220C">
        <w:rPr>
          <w:sz w:val="16"/>
          <w:szCs w:val="16"/>
          <w:lang w:val="en-GB"/>
        </w:rPr>
        <w:t>Robertson, ‘</w:t>
      </w:r>
      <w:r w:rsidR="00BE1B7F" w:rsidRPr="006B5B5C">
        <w:rPr>
          <w:sz w:val="16"/>
          <w:szCs w:val="16"/>
          <w:lang w:val="en-GB"/>
        </w:rPr>
        <w:t>Theory, A City</w:t>
      </w:r>
      <w:r w:rsidR="0007220C">
        <w:rPr>
          <w:sz w:val="16"/>
          <w:szCs w:val="16"/>
          <w:lang w:val="en-GB"/>
        </w:rPr>
        <w:t>’,</w:t>
      </w:r>
      <w:r w:rsidR="00BE1B7F" w:rsidRPr="006B5B5C">
        <w:rPr>
          <w:sz w:val="16"/>
          <w:szCs w:val="16"/>
          <w:lang w:val="en-GB"/>
        </w:rPr>
        <w:t xml:space="preserve"> </w:t>
      </w:r>
      <w:r w:rsidR="00BE1B7F" w:rsidRPr="006B5B5C">
        <w:rPr>
          <w:i/>
          <w:sz w:val="16"/>
          <w:szCs w:val="16"/>
          <w:lang w:val="en-GB"/>
        </w:rPr>
        <w:t>Theory, A Sunday</w:t>
      </w:r>
      <w:r w:rsidR="00BE1B7F" w:rsidRPr="006B5B5C">
        <w:rPr>
          <w:sz w:val="16"/>
          <w:szCs w:val="16"/>
          <w:lang w:val="en-GB"/>
        </w:rPr>
        <w:t xml:space="preserve">. </w:t>
      </w:r>
      <w:r w:rsidR="0007220C">
        <w:rPr>
          <w:sz w:val="16"/>
          <w:szCs w:val="16"/>
          <w:lang w:val="en-GB"/>
        </w:rPr>
        <w:t>(</w:t>
      </w:r>
      <w:r w:rsidR="004A3DD4" w:rsidRPr="006B5B5C">
        <w:rPr>
          <w:sz w:val="16"/>
          <w:szCs w:val="16"/>
          <w:lang w:val="en-GB"/>
        </w:rPr>
        <w:t xml:space="preserve">Belladonna* </w:t>
      </w:r>
      <w:r w:rsidR="00BE1B7F" w:rsidRPr="006B5B5C">
        <w:rPr>
          <w:sz w:val="16"/>
          <w:szCs w:val="16"/>
          <w:lang w:val="en-GB"/>
        </w:rPr>
        <w:t>US</w:t>
      </w:r>
      <w:r w:rsidR="004A3DD4" w:rsidRPr="006B5B5C">
        <w:rPr>
          <w:sz w:val="16"/>
          <w:szCs w:val="16"/>
          <w:lang w:val="en-GB"/>
        </w:rPr>
        <w:t>A</w:t>
      </w:r>
      <w:r w:rsidR="0007220C">
        <w:rPr>
          <w:sz w:val="16"/>
          <w:szCs w:val="16"/>
          <w:lang w:val="en-GB"/>
        </w:rPr>
        <w:t>, 2013),</w:t>
      </w:r>
      <w:r w:rsidR="00BE1B7F" w:rsidRPr="006B5B5C">
        <w:rPr>
          <w:sz w:val="16"/>
          <w:szCs w:val="16"/>
          <w:lang w:val="en-GB"/>
        </w:rPr>
        <w:t xml:space="preserve"> </w:t>
      </w:r>
      <w:r w:rsidR="0007220C">
        <w:rPr>
          <w:sz w:val="16"/>
          <w:szCs w:val="16"/>
          <w:lang w:val="en-GB"/>
        </w:rPr>
        <w:t>p</w:t>
      </w:r>
      <w:r w:rsidR="00BE1B7F" w:rsidRPr="006B5B5C">
        <w:rPr>
          <w:sz w:val="16"/>
          <w:szCs w:val="16"/>
          <w:lang w:val="en-GB"/>
        </w:rPr>
        <w:t>11</w:t>
      </w:r>
    </w:p>
  </w:footnote>
  <w:footnote w:id="5">
    <w:p w14:paraId="12C6B683" w14:textId="2909C456" w:rsidR="009B6562" w:rsidRPr="006B5B5C" w:rsidRDefault="009B6562" w:rsidP="009B6562">
      <w:pPr>
        <w:textAlignment w:val="baseline"/>
        <w:rPr>
          <w:rFonts w:cstheme="minorHAnsi"/>
          <w:sz w:val="16"/>
          <w:szCs w:val="16"/>
          <w:lang w:eastAsia="en-GB"/>
        </w:rPr>
      </w:pPr>
      <w:r w:rsidRPr="006B5B5C">
        <w:rPr>
          <w:rStyle w:val="FootnoteReference"/>
          <w:sz w:val="16"/>
          <w:szCs w:val="16"/>
        </w:rPr>
        <w:footnoteRef/>
      </w:r>
      <w:r w:rsidRPr="006B5B5C">
        <w:rPr>
          <w:sz w:val="16"/>
          <w:szCs w:val="16"/>
        </w:rPr>
        <w:t xml:space="preserve"> </w:t>
      </w:r>
      <w:r w:rsidR="0007220C">
        <w:rPr>
          <w:sz w:val="16"/>
          <w:szCs w:val="16"/>
        </w:rPr>
        <w:t xml:space="preserve">Roland </w:t>
      </w:r>
      <w:r w:rsidR="0007220C">
        <w:rPr>
          <w:sz w:val="16"/>
          <w:szCs w:val="16"/>
          <w:lang w:val="en-GB"/>
        </w:rPr>
        <w:t>Barthes</w:t>
      </w:r>
      <w:r w:rsidR="00831AD7" w:rsidRPr="006B5B5C">
        <w:rPr>
          <w:sz w:val="16"/>
          <w:szCs w:val="16"/>
          <w:lang w:val="en-GB"/>
        </w:rPr>
        <w:t>,</w:t>
      </w:r>
      <w:r w:rsidR="0007220C">
        <w:rPr>
          <w:sz w:val="16"/>
          <w:szCs w:val="16"/>
          <w:lang w:val="en-GB"/>
        </w:rPr>
        <w:t xml:space="preserve"> Kate Briggs, </w:t>
      </w:r>
      <w:r w:rsidRPr="006B5B5C">
        <w:rPr>
          <w:i/>
          <w:sz w:val="16"/>
          <w:szCs w:val="16"/>
          <w:lang w:val="en-GB"/>
        </w:rPr>
        <w:t>How to Live Together: Literary Simulations of Some Everyday Living Spaces</w:t>
      </w:r>
      <w:r w:rsidR="0007220C">
        <w:rPr>
          <w:sz w:val="16"/>
          <w:szCs w:val="16"/>
          <w:lang w:val="en-GB"/>
        </w:rPr>
        <w:t>, (</w:t>
      </w:r>
      <w:r w:rsidR="00831AD7" w:rsidRPr="006B5B5C">
        <w:rPr>
          <w:sz w:val="16"/>
          <w:szCs w:val="16"/>
          <w:lang w:val="en-GB"/>
        </w:rPr>
        <w:t>Columbia University Press</w:t>
      </w:r>
      <w:r w:rsidR="0007220C">
        <w:rPr>
          <w:sz w:val="16"/>
          <w:szCs w:val="16"/>
          <w:lang w:val="en-GB"/>
        </w:rPr>
        <w:t>, 2013)</w:t>
      </w:r>
      <w:r w:rsidR="00A82D65">
        <w:rPr>
          <w:sz w:val="16"/>
          <w:szCs w:val="16"/>
          <w:lang w:val="en-GB"/>
        </w:rPr>
        <w:t>,</w:t>
      </w:r>
      <w:r w:rsidR="00831AD7" w:rsidRPr="006B5B5C">
        <w:rPr>
          <w:sz w:val="16"/>
          <w:szCs w:val="16"/>
          <w:lang w:val="en-GB"/>
        </w:rPr>
        <w:t xml:space="preserve"> p11</w:t>
      </w:r>
    </w:p>
  </w:footnote>
  <w:footnote w:id="6">
    <w:p w14:paraId="32EC37E5" w14:textId="49F8BFF9" w:rsidR="00156E8F" w:rsidRPr="00BB55A3" w:rsidRDefault="00156E8F" w:rsidP="000A785F">
      <w:pPr>
        <w:textAlignment w:val="baseline"/>
        <w:rPr>
          <w:rFonts w:cstheme="minorHAnsi"/>
          <w:sz w:val="16"/>
          <w:szCs w:val="16"/>
          <w:lang w:eastAsia="en-GB"/>
        </w:rPr>
      </w:pPr>
      <w:r w:rsidRPr="006B5B5C">
        <w:rPr>
          <w:rStyle w:val="FootnoteReference"/>
          <w:sz w:val="16"/>
          <w:szCs w:val="16"/>
        </w:rPr>
        <w:footnoteRef/>
      </w:r>
      <w:r w:rsidRPr="006B5B5C">
        <w:rPr>
          <w:sz w:val="16"/>
          <w:szCs w:val="16"/>
        </w:rPr>
        <w:t xml:space="preserve"> </w:t>
      </w:r>
      <w:r w:rsidRPr="006B5B5C">
        <w:rPr>
          <w:sz w:val="16"/>
          <w:szCs w:val="16"/>
          <w:lang w:val="en-GB"/>
        </w:rPr>
        <w:t xml:space="preserve">Kate </w:t>
      </w:r>
      <w:r w:rsidRPr="003E31C0">
        <w:rPr>
          <w:sz w:val="16"/>
          <w:szCs w:val="16"/>
          <w:lang w:val="en-GB"/>
        </w:rPr>
        <w:t>Briggs</w:t>
      </w:r>
      <w:r w:rsidR="00F30FD2" w:rsidRPr="003E31C0">
        <w:rPr>
          <w:sz w:val="16"/>
          <w:szCs w:val="16"/>
          <w:lang w:val="en-GB"/>
        </w:rPr>
        <w:t xml:space="preserve">’ </w:t>
      </w:r>
      <w:r w:rsidR="003E31C0">
        <w:rPr>
          <w:sz w:val="16"/>
          <w:szCs w:val="16"/>
          <w:lang w:val="en-GB"/>
        </w:rPr>
        <w:t>‘</w:t>
      </w:r>
      <w:r w:rsidR="00F30FD2" w:rsidRPr="003E31C0">
        <w:rPr>
          <w:rFonts w:cstheme="minorHAnsi"/>
          <w:sz w:val="16"/>
          <w:szCs w:val="16"/>
          <w:lang w:eastAsia="en-GB"/>
        </w:rPr>
        <w:t>A bit, a piece, a thing, a twin</w:t>
      </w:r>
      <w:r w:rsidR="003E31C0">
        <w:rPr>
          <w:rFonts w:cstheme="minorHAnsi"/>
          <w:sz w:val="16"/>
          <w:szCs w:val="16"/>
          <w:lang w:eastAsia="en-GB"/>
        </w:rPr>
        <w:t>’</w:t>
      </w:r>
      <w:r w:rsidR="00F30FD2" w:rsidRPr="003E31C0">
        <w:rPr>
          <w:rFonts w:cstheme="minorHAnsi"/>
          <w:sz w:val="16"/>
          <w:szCs w:val="16"/>
          <w:lang w:eastAsia="en-GB"/>
        </w:rPr>
        <w:t> </w:t>
      </w:r>
      <w:r w:rsidR="00F30FD2" w:rsidRPr="00215A1E">
        <w:rPr>
          <w:rFonts w:cstheme="minorHAnsi"/>
          <w:sz w:val="16"/>
          <w:szCs w:val="16"/>
          <w:lang w:eastAsia="en-GB"/>
        </w:rPr>
        <w:t>(</w:t>
      </w:r>
      <w:r w:rsidR="00006FBD" w:rsidRPr="00215A1E">
        <w:rPr>
          <w:rFonts w:cstheme="minorHAnsi"/>
          <w:sz w:val="16"/>
          <w:szCs w:val="16"/>
          <w:lang w:eastAsia="en-GB"/>
        </w:rPr>
        <w:t>pp</w:t>
      </w:r>
      <w:r w:rsidR="00F30FD2" w:rsidRPr="00215A1E">
        <w:rPr>
          <w:rFonts w:cstheme="minorHAnsi"/>
          <w:sz w:val="16"/>
          <w:szCs w:val="16"/>
          <w:lang w:eastAsia="en-GB"/>
        </w:rPr>
        <w:t xml:space="preserve"> </w:t>
      </w:r>
      <w:r w:rsidR="00174A67" w:rsidRPr="00215A1E">
        <w:rPr>
          <w:rFonts w:cstheme="minorHAnsi"/>
          <w:sz w:val="16"/>
          <w:szCs w:val="16"/>
          <w:lang w:eastAsia="en-GB"/>
        </w:rPr>
        <w:t>17</w:t>
      </w:r>
      <w:r w:rsidR="00F30FD2" w:rsidRPr="00215A1E">
        <w:rPr>
          <w:rFonts w:cstheme="minorHAnsi"/>
          <w:sz w:val="16"/>
          <w:szCs w:val="16"/>
          <w:lang w:eastAsia="en-GB"/>
        </w:rPr>
        <w:t>-</w:t>
      </w:r>
      <w:r w:rsidR="00174A67" w:rsidRPr="00215A1E">
        <w:rPr>
          <w:rFonts w:cstheme="minorHAnsi"/>
          <w:sz w:val="16"/>
          <w:szCs w:val="16"/>
          <w:lang w:eastAsia="en-GB"/>
        </w:rPr>
        <w:t>2</w:t>
      </w:r>
      <w:r w:rsidR="00583BF7" w:rsidRPr="00215A1E">
        <w:rPr>
          <w:rFonts w:cstheme="minorHAnsi"/>
          <w:sz w:val="16"/>
          <w:szCs w:val="16"/>
          <w:lang w:eastAsia="en-GB"/>
        </w:rPr>
        <w:t>0</w:t>
      </w:r>
      <w:r w:rsidR="003E31C0" w:rsidRPr="00215A1E">
        <w:rPr>
          <w:rFonts w:cstheme="minorHAnsi"/>
          <w:sz w:val="16"/>
          <w:szCs w:val="16"/>
          <w:lang w:eastAsia="en-GB"/>
        </w:rPr>
        <w:t>)</w:t>
      </w:r>
      <w:r w:rsidR="00F30FD2" w:rsidRPr="00215A1E">
        <w:rPr>
          <w:rFonts w:cstheme="minorHAnsi"/>
          <w:sz w:val="16"/>
          <w:szCs w:val="16"/>
          <w:lang w:eastAsia="en-GB"/>
        </w:rPr>
        <w:t xml:space="preserve"> </w:t>
      </w:r>
      <w:r w:rsidR="0076555D" w:rsidRPr="00215A1E">
        <w:rPr>
          <w:rFonts w:cstheme="minorHAnsi"/>
          <w:sz w:val="16"/>
          <w:szCs w:val="16"/>
          <w:lang w:eastAsia="en-GB"/>
        </w:rPr>
        <w:t>considers</w:t>
      </w:r>
      <w:r w:rsidR="0076555D" w:rsidRPr="006B5B5C">
        <w:rPr>
          <w:rFonts w:cstheme="minorHAnsi"/>
          <w:sz w:val="16"/>
          <w:szCs w:val="16"/>
          <w:lang w:eastAsia="en-GB"/>
        </w:rPr>
        <w:t xml:space="preserve"> </w:t>
      </w:r>
      <w:r w:rsidR="000A785F" w:rsidRPr="006B5B5C">
        <w:rPr>
          <w:rFonts w:cstheme="minorHAnsi"/>
          <w:sz w:val="16"/>
          <w:szCs w:val="16"/>
          <w:lang w:eastAsia="en-GB"/>
        </w:rPr>
        <w:t>an</w:t>
      </w:r>
      <w:r w:rsidR="0076555D" w:rsidRPr="006B5B5C">
        <w:rPr>
          <w:rFonts w:cstheme="minorHAnsi"/>
          <w:sz w:val="16"/>
          <w:szCs w:val="16"/>
          <w:lang w:eastAsia="en-GB"/>
        </w:rPr>
        <w:t xml:space="preserve"> anxiety of interdisciplinar</w:t>
      </w:r>
      <w:r w:rsidR="0025089F" w:rsidRPr="006B5B5C">
        <w:rPr>
          <w:rFonts w:cstheme="minorHAnsi"/>
          <w:sz w:val="16"/>
          <w:szCs w:val="16"/>
          <w:lang w:eastAsia="en-GB"/>
        </w:rPr>
        <w:t>ity (</w:t>
      </w:r>
      <w:r w:rsidR="00642AA7">
        <w:rPr>
          <w:rFonts w:cstheme="minorHAnsi"/>
          <w:sz w:val="16"/>
          <w:szCs w:val="16"/>
          <w:lang w:eastAsia="en-GB"/>
        </w:rPr>
        <w:t>Julia Kristeva</w:t>
      </w:r>
      <w:r w:rsidR="0025089F" w:rsidRPr="006B5B5C">
        <w:rPr>
          <w:rFonts w:cstheme="minorHAnsi"/>
          <w:sz w:val="16"/>
          <w:szCs w:val="16"/>
          <w:lang w:eastAsia="en-GB"/>
        </w:rPr>
        <w:t xml:space="preserve"> </w:t>
      </w:r>
      <w:r w:rsidR="000A785F" w:rsidRPr="006B5B5C">
        <w:rPr>
          <w:rFonts w:cstheme="minorHAnsi"/>
          <w:sz w:val="16"/>
          <w:szCs w:val="16"/>
          <w:lang w:eastAsia="en-GB"/>
        </w:rPr>
        <w:t>1998) in how we speak of or name the work that we do</w:t>
      </w:r>
      <w:r w:rsidR="004D4ECD" w:rsidRPr="006B5B5C">
        <w:rPr>
          <w:rFonts w:cstheme="minorHAnsi"/>
          <w:sz w:val="16"/>
          <w:szCs w:val="16"/>
          <w:lang w:eastAsia="en-GB"/>
        </w:rPr>
        <w:t xml:space="preserve">, </w:t>
      </w:r>
      <w:proofErr w:type="spellStart"/>
      <w:r w:rsidR="004D4ECD" w:rsidRPr="006B5B5C">
        <w:rPr>
          <w:rFonts w:cstheme="minorHAnsi"/>
          <w:sz w:val="16"/>
          <w:szCs w:val="16"/>
          <w:lang w:eastAsia="en-GB"/>
        </w:rPr>
        <w:t>its</w:t>
      </w:r>
      <w:proofErr w:type="spellEnd"/>
      <w:r w:rsidR="004D4ECD" w:rsidRPr="006B5B5C">
        <w:rPr>
          <w:rFonts w:cstheme="minorHAnsi"/>
          <w:sz w:val="16"/>
          <w:szCs w:val="16"/>
          <w:lang w:eastAsia="en-GB"/>
        </w:rPr>
        <w:t xml:space="preserve"> critical intentions, its particular epistemology</w:t>
      </w:r>
      <w:r w:rsidR="00401606" w:rsidRPr="006B5B5C">
        <w:rPr>
          <w:rFonts w:cstheme="minorHAnsi"/>
          <w:sz w:val="16"/>
          <w:szCs w:val="16"/>
          <w:lang w:eastAsia="en-GB"/>
        </w:rPr>
        <w:t xml:space="preserve">. Her workshop, </w:t>
      </w:r>
      <w:r w:rsidR="000A785F" w:rsidRPr="006B5B5C">
        <w:rPr>
          <w:rFonts w:cstheme="minorHAnsi"/>
          <w:sz w:val="16"/>
          <w:szCs w:val="16"/>
          <w:lang w:eastAsia="en-GB"/>
        </w:rPr>
        <w:t>with reference to the interdisciplinary fiel</w:t>
      </w:r>
      <w:r w:rsidR="00401606" w:rsidRPr="006B5B5C">
        <w:rPr>
          <w:rFonts w:cstheme="minorHAnsi"/>
          <w:sz w:val="16"/>
          <w:szCs w:val="16"/>
          <w:lang w:eastAsia="en-GB"/>
        </w:rPr>
        <w:t>d of art w</w:t>
      </w:r>
      <w:r w:rsidR="000A785F" w:rsidRPr="006B5B5C">
        <w:rPr>
          <w:rFonts w:cstheme="minorHAnsi"/>
          <w:sz w:val="16"/>
          <w:szCs w:val="16"/>
          <w:lang w:eastAsia="en-GB"/>
        </w:rPr>
        <w:t xml:space="preserve">riting and </w:t>
      </w:r>
      <w:r w:rsidR="0026756D" w:rsidRPr="006B5B5C">
        <w:rPr>
          <w:rFonts w:cstheme="minorHAnsi"/>
          <w:sz w:val="16"/>
          <w:szCs w:val="16"/>
          <w:lang w:eastAsia="en-GB"/>
        </w:rPr>
        <w:t xml:space="preserve">semantic </w:t>
      </w:r>
      <w:r w:rsidR="000A785F" w:rsidRPr="006B5B5C">
        <w:rPr>
          <w:rFonts w:cstheme="minorHAnsi"/>
          <w:sz w:val="16"/>
          <w:szCs w:val="16"/>
          <w:lang w:eastAsia="en-GB"/>
        </w:rPr>
        <w:t>claims for its post-critical surge and shifting disposition</w:t>
      </w:r>
      <w:r w:rsidR="00401606" w:rsidRPr="006B5B5C">
        <w:rPr>
          <w:rFonts w:cstheme="minorHAnsi"/>
          <w:sz w:val="16"/>
          <w:szCs w:val="16"/>
          <w:lang w:eastAsia="en-GB"/>
        </w:rPr>
        <w:t xml:space="preserve">, signaled the potency of naming and genre </w:t>
      </w:r>
      <w:r w:rsidR="000F061A" w:rsidRPr="006B5B5C">
        <w:rPr>
          <w:rFonts w:cstheme="minorHAnsi"/>
          <w:sz w:val="16"/>
          <w:szCs w:val="16"/>
          <w:lang w:eastAsia="en-GB"/>
        </w:rPr>
        <w:t>distinctions</w:t>
      </w:r>
      <w:r w:rsidR="00401606" w:rsidRPr="006B5B5C">
        <w:rPr>
          <w:rFonts w:cstheme="minorHAnsi"/>
          <w:sz w:val="16"/>
          <w:szCs w:val="16"/>
          <w:lang w:eastAsia="en-GB"/>
        </w:rPr>
        <w:t>.</w:t>
      </w:r>
      <w:r w:rsidR="00BB55A3">
        <w:rPr>
          <w:rFonts w:cstheme="minorHAnsi"/>
          <w:sz w:val="16"/>
          <w:szCs w:val="16"/>
          <w:lang w:eastAsia="en-GB"/>
        </w:rPr>
        <w:t xml:space="preserve"> </w:t>
      </w:r>
      <w:r w:rsidR="00695092">
        <w:rPr>
          <w:rFonts w:cstheme="minorHAnsi"/>
          <w:sz w:val="16"/>
          <w:szCs w:val="16"/>
          <w:lang w:eastAsia="en-GB"/>
        </w:rPr>
        <w:t>Similarly</w:t>
      </w:r>
      <w:r w:rsidR="00006FBD">
        <w:rPr>
          <w:rFonts w:cstheme="minorHAnsi"/>
          <w:sz w:val="16"/>
          <w:szCs w:val="16"/>
          <w:lang w:eastAsia="en-GB"/>
        </w:rPr>
        <w:t>,</w:t>
      </w:r>
      <w:r w:rsidR="00695092">
        <w:rPr>
          <w:rFonts w:cstheme="minorHAnsi"/>
          <w:sz w:val="16"/>
          <w:szCs w:val="16"/>
          <w:lang w:eastAsia="en-GB"/>
        </w:rPr>
        <w:t xml:space="preserve"> </w:t>
      </w:r>
      <w:r w:rsidR="00BB55A3">
        <w:rPr>
          <w:rFonts w:cstheme="minorHAnsi"/>
          <w:sz w:val="16"/>
          <w:szCs w:val="16"/>
          <w:lang w:eastAsia="en-GB"/>
        </w:rPr>
        <w:t xml:space="preserve">Laurence Figgis’ </w:t>
      </w:r>
      <w:r w:rsidR="00695092">
        <w:rPr>
          <w:rFonts w:cstheme="minorHAnsi"/>
          <w:sz w:val="16"/>
          <w:szCs w:val="16"/>
          <w:lang w:eastAsia="en-GB"/>
        </w:rPr>
        <w:t>‘</w:t>
      </w:r>
      <w:r w:rsidR="00BB55A3" w:rsidRPr="00695092">
        <w:rPr>
          <w:rFonts w:cstheme="minorHAnsi"/>
          <w:sz w:val="16"/>
          <w:szCs w:val="16"/>
          <w:lang w:eastAsia="en-GB"/>
        </w:rPr>
        <w:t xml:space="preserve">Paintings with </w:t>
      </w:r>
      <w:bookmarkStart w:id="0" w:name="_GoBack"/>
      <w:bookmarkEnd w:id="0"/>
      <w:r w:rsidR="00BB55A3" w:rsidRPr="00215A1E">
        <w:rPr>
          <w:rFonts w:cstheme="minorHAnsi"/>
          <w:sz w:val="16"/>
          <w:szCs w:val="16"/>
          <w:lang w:eastAsia="en-GB"/>
        </w:rPr>
        <w:t>Legs</w:t>
      </w:r>
      <w:r w:rsidR="00695092" w:rsidRPr="00215A1E">
        <w:rPr>
          <w:rFonts w:cstheme="minorHAnsi"/>
          <w:sz w:val="16"/>
          <w:szCs w:val="16"/>
          <w:lang w:eastAsia="en-GB"/>
        </w:rPr>
        <w:t>’</w:t>
      </w:r>
      <w:r w:rsidR="00BB55A3" w:rsidRPr="00215A1E">
        <w:rPr>
          <w:rFonts w:cstheme="minorHAnsi"/>
          <w:i/>
          <w:sz w:val="16"/>
          <w:szCs w:val="16"/>
          <w:lang w:eastAsia="en-GB"/>
        </w:rPr>
        <w:t xml:space="preserve"> </w:t>
      </w:r>
      <w:r w:rsidR="00006FBD" w:rsidRPr="00215A1E">
        <w:rPr>
          <w:rFonts w:cstheme="minorHAnsi"/>
          <w:sz w:val="16"/>
          <w:szCs w:val="16"/>
          <w:lang w:eastAsia="en-GB"/>
        </w:rPr>
        <w:t>(pp</w:t>
      </w:r>
      <w:r w:rsidR="00BB55A3" w:rsidRPr="00215A1E">
        <w:rPr>
          <w:rFonts w:cstheme="minorHAnsi"/>
          <w:sz w:val="16"/>
          <w:szCs w:val="16"/>
          <w:lang w:eastAsia="en-GB"/>
        </w:rPr>
        <w:t xml:space="preserve"> </w:t>
      </w:r>
      <w:r w:rsidR="00174A67" w:rsidRPr="00215A1E">
        <w:rPr>
          <w:rFonts w:cstheme="minorHAnsi"/>
          <w:sz w:val="16"/>
          <w:szCs w:val="16"/>
          <w:lang w:eastAsia="en-GB"/>
        </w:rPr>
        <w:t>11</w:t>
      </w:r>
      <w:r w:rsidR="00BB55A3" w:rsidRPr="00215A1E">
        <w:rPr>
          <w:rFonts w:cstheme="minorHAnsi"/>
          <w:sz w:val="16"/>
          <w:szCs w:val="16"/>
          <w:lang w:eastAsia="en-GB"/>
        </w:rPr>
        <w:t>-</w:t>
      </w:r>
      <w:r w:rsidR="00174A67" w:rsidRPr="00215A1E">
        <w:rPr>
          <w:rFonts w:cstheme="minorHAnsi"/>
          <w:sz w:val="16"/>
          <w:szCs w:val="16"/>
          <w:lang w:eastAsia="en-GB"/>
        </w:rPr>
        <w:t>1</w:t>
      </w:r>
      <w:r w:rsidR="00C72C70" w:rsidRPr="00215A1E">
        <w:rPr>
          <w:rFonts w:cstheme="minorHAnsi"/>
          <w:sz w:val="16"/>
          <w:szCs w:val="16"/>
          <w:lang w:eastAsia="en-GB"/>
        </w:rPr>
        <w:t>4</w:t>
      </w:r>
      <w:r w:rsidR="00BB55A3" w:rsidRPr="00215A1E">
        <w:rPr>
          <w:rFonts w:cstheme="minorHAnsi"/>
          <w:sz w:val="16"/>
          <w:szCs w:val="16"/>
          <w:lang w:eastAsia="en-GB"/>
        </w:rPr>
        <w:t>) also</w:t>
      </w:r>
      <w:r w:rsidR="00BB55A3">
        <w:rPr>
          <w:rFonts w:cstheme="minorHAnsi"/>
          <w:sz w:val="16"/>
          <w:szCs w:val="16"/>
          <w:lang w:eastAsia="en-GB"/>
        </w:rPr>
        <w:t xml:space="preserve"> presents the idea of words as </w:t>
      </w:r>
      <w:r w:rsidR="00BB55A3" w:rsidRPr="00695092">
        <w:rPr>
          <w:rFonts w:cstheme="minorHAnsi"/>
          <w:sz w:val="16"/>
          <w:szCs w:val="16"/>
          <w:lang w:eastAsia="en-GB"/>
        </w:rPr>
        <w:t>only</w:t>
      </w:r>
      <w:r w:rsidR="00BB55A3">
        <w:rPr>
          <w:rFonts w:cstheme="minorHAnsi"/>
          <w:sz w:val="16"/>
          <w:szCs w:val="16"/>
          <w:lang w:eastAsia="en-GB"/>
        </w:rPr>
        <w:t xml:space="preserve"> names for things.</w:t>
      </w:r>
    </w:p>
  </w:footnote>
  <w:footnote w:id="7">
    <w:p w14:paraId="6FE679DB" w14:textId="677BB728" w:rsidR="00F21C89" w:rsidRPr="00A6180D" w:rsidRDefault="00F21C89">
      <w:pPr>
        <w:pStyle w:val="FootnoteText"/>
        <w:rPr>
          <w:sz w:val="16"/>
          <w:szCs w:val="16"/>
        </w:rPr>
      </w:pPr>
      <w:r w:rsidRPr="006B5B5C">
        <w:rPr>
          <w:rStyle w:val="FootnoteReference"/>
          <w:sz w:val="16"/>
          <w:szCs w:val="16"/>
        </w:rPr>
        <w:footnoteRef/>
      </w:r>
      <w:r w:rsidRPr="006B5B5C">
        <w:rPr>
          <w:sz w:val="16"/>
          <w:szCs w:val="16"/>
        </w:rPr>
        <w:t xml:space="preserve"> </w:t>
      </w:r>
      <w:r w:rsidR="002541C0" w:rsidRPr="006B5B5C">
        <w:rPr>
          <w:sz w:val="16"/>
          <w:szCs w:val="16"/>
        </w:rPr>
        <w:t>Norman Denny</w:t>
      </w:r>
      <w:r w:rsidR="006D0CA7" w:rsidRPr="006B5B5C">
        <w:rPr>
          <w:sz w:val="16"/>
          <w:szCs w:val="16"/>
        </w:rPr>
        <w:t xml:space="preserve">, in his introduction to the </w:t>
      </w:r>
      <w:r w:rsidR="006B5B5C">
        <w:rPr>
          <w:sz w:val="16"/>
          <w:szCs w:val="16"/>
        </w:rPr>
        <w:t>1950</w:t>
      </w:r>
      <w:r w:rsidR="006D0CA7" w:rsidRPr="006B5B5C">
        <w:rPr>
          <w:sz w:val="16"/>
          <w:szCs w:val="16"/>
        </w:rPr>
        <w:t xml:space="preserve"> collected edition of </w:t>
      </w:r>
      <w:r w:rsidR="006D0CA7" w:rsidRPr="006B5B5C">
        <w:rPr>
          <w:i/>
          <w:sz w:val="16"/>
          <w:szCs w:val="16"/>
        </w:rPr>
        <w:t xml:space="preserve">The </w:t>
      </w:r>
      <w:r w:rsidR="006D0CA7" w:rsidRPr="009967A0">
        <w:rPr>
          <w:i/>
          <w:sz w:val="16"/>
          <w:szCs w:val="16"/>
        </w:rPr>
        <w:t>Yellow Book</w:t>
      </w:r>
      <w:r w:rsidR="006D0CA7" w:rsidRPr="009967A0">
        <w:rPr>
          <w:sz w:val="16"/>
          <w:szCs w:val="16"/>
        </w:rPr>
        <w:t xml:space="preserve">, </w:t>
      </w:r>
      <w:r w:rsidR="00D526F9" w:rsidRPr="009967A0">
        <w:rPr>
          <w:sz w:val="16"/>
          <w:szCs w:val="16"/>
        </w:rPr>
        <w:t xml:space="preserve">refers to the significant outrage to </w:t>
      </w:r>
      <w:r w:rsidR="00BB3993">
        <w:rPr>
          <w:sz w:val="16"/>
          <w:szCs w:val="16"/>
        </w:rPr>
        <w:t xml:space="preserve">the </w:t>
      </w:r>
      <w:r w:rsidR="00D526F9" w:rsidRPr="009967A0">
        <w:rPr>
          <w:sz w:val="16"/>
          <w:szCs w:val="16"/>
        </w:rPr>
        <w:t xml:space="preserve">quarterly volume published between 1894-1897. </w:t>
      </w:r>
      <w:r w:rsidR="00BE102C">
        <w:rPr>
          <w:sz w:val="16"/>
          <w:szCs w:val="16"/>
        </w:rPr>
        <w:t xml:space="preserve">Critics claimed that the </w:t>
      </w:r>
      <w:r w:rsidR="001C2156">
        <w:rPr>
          <w:sz w:val="16"/>
          <w:szCs w:val="16"/>
        </w:rPr>
        <w:t>works published</w:t>
      </w:r>
      <w:r w:rsidR="000C21AE" w:rsidRPr="009967A0">
        <w:rPr>
          <w:sz w:val="16"/>
          <w:szCs w:val="16"/>
        </w:rPr>
        <w:t xml:space="preserve"> signaled a </w:t>
      </w:r>
      <w:r w:rsidR="00BB3993" w:rsidRPr="009967A0">
        <w:rPr>
          <w:sz w:val="16"/>
          <w:szCs w:val="16"/>
        </w:rPr>
        <w:t>decadence</w:t>
      </w:r>
      <w:r w:rsidR="000C21AE" w:rsidRPr="009967A0">
        <w:rPr>
          <w:sz w:val="16"/>
          <w:szCs w:val="16"/>
        </w:rPr>
        <w:t xml:space="preserve"> and a ‘</w:t>
      </w:r>
      <w:r w:rsidR="00BB3993">
        <w:rPr>
          <w:sz w:val="16"/>
          <w:szCs w:val="16"/>
        </w:rPr>
        <w:t>fin de sièc</w:t>
      </w:r>
      <w:r w:rsidR="000C21AE" w:rsidRPr="009967A0">
        <w:rPr>
          <w:sz w:val="16"/>
          <w:szCs w:val="16"/>
        </w:rPr>
        <w:t>le’. Instead</w:t>
      </w:r>
      <w:r w:rsidR="00BB3993">
        <w:rPr>
          <w:sz w:val="16"/>
          <w:szCs w:val="16"/>
        </w:rPr>
        <w:t xml:space="preserve"> of an ending</w:t>
      </w:r>
      <w:r w:rsidR="000C21AE" w:rsidRPr="009967A0">
        <w:rPr>
          <w:sz w:val="16"/>
          <w:szCs w:val="16"/>
        </w:rPr>
        <w:t xml:space="preserve">, writes Denny, this work—much of which has come to be </w:t>
      </w:r>
      <w:r w:rsidR="00BB3993">
        <w:rPr>
          <w:sz w:val="16"/>
          <w:szCs w:val="16"/>
        </w:rPr>
        <w:t>acknowledged</w:t>
      </w:r>
      <w:r w:rsidR="001C2156">
        <w:rPr>
          <w:sz w:val="16"/>
          <w:szCs w:val="16"/>
        </w:rPr>
        <w:t xml:space="preserve"> as seminal</w:t>
      </w:r>
      <w:r w:rsidR="000C21AE" w:rsidRPr="009967A0">
        <w:rPr>
          <w:sz w:val="16"/>
          <w:szCs w:val="16"/>
        </w:rPr>
        <w:t>—demonstrated a ‘youthful and vigorous attempt to make a beginning, to break new ground, to clear the air.’ (</w:t>
      </w:r>
      <w:r w:rsidR="00006FBD">
        <w:rPr>
          <w:sz w:val="16"/>
          <w:szCs w:val="16"/>
        </w:rPr>
        <w:t>p</w:t>
      </w:r>
      <w:r w:rsidR="00E547C8" w:rsidRPr="009967A0">
        <w:rPr>
          <w:sz w:val="16"/>
          <w:szCs w:val="16"/>
        </w:rPr>
        <w:t>9)</w:t>
      </w:r>
      <w:r w:rsidR="000C21AE" w:rsidRPr="009967A0">
        <w:rPr>
          <w:sz w:val="16"/>
          <w:szCs w:val="16"/>
        </w:rPr>
        <w:t xml:space="preserve"> </w:t>
      </w:r>
      <w:r w:rsidR="00EB4ACE" w:rsidRPr="009967A0">
        <w:rPr>
          <w:sz w:val="16"/>
          <w:szCs w:val="16"/>
        </w:rPr>
        <w:t xml:space="preserve">Hubert </w:t>
      </w:r>
      <w:proofErr w:type="spellStart"/>
      <w:r w:rsidR="00EB4ACE" w:rsidRPr="009967A0">
        <w:rPr>
          <w:sz w:val="16"/>
          <w:szCs w:val="16"/>
        </w:rPr>
        <w:t>Crackanthorpe’s</w:t>
      </w:r>
      <w:proofErr w:type="spellEnd"/>
      <w:r w:rsidR="00EB4ACE" w:rsidRPr="009967A0">
        <w:rPr>
          <w:sz w:val="16"/>
          <w:szCs w:val="16"/>
        </w:rPr>
        <w:t xml:space="preserve"> </w:t>
      </w:r>
      <w:r w:rsidR="00006FBD">
        <w:rPr>
          <w:sz w:val="16"/>
          <w:szCs w:val="16"/>
        </w:rPr>
        <w:t>‘</w:t>
      </w:r>
      <w:r w:rsidR="00EB4ACE" w:rsidRPr="00006FBD">
        <w:rPr>
          <w:sz w:val="16"/>
          <w:szCs w:val="16"/>
        </w:rPr>
        <w:t>Reticence in Literature: Some Roundabout Remarks</w:t>
      </w:r>
      <w:r w:rsidR="00006FBD">
        <w:rPr>
          <w:sz w:val="16"/>
          <w:szCs w:val="16"/>
        </w:rPr>
        <w:t>’</w:t>
      </w:r>
      <w:r w:rsidR="00D526F9" w:rsidRPr="009967A0">
        <w:rPr>
          <w:sz w:val="16"/>
          <w:szCs w:val="16"/>
        </w:rPr>
        <w:t xml:space="preserve"> </w:t>
      </w:r>
      <w:r w:rsidR="00006FBD">
        <w:rPr>
          <w:sz w:val="16"/>
          <w:szCs w:val="16"/>
        </w:rPr>
        <w:t>(pp</w:t>
      </w:r>
      <w:r w:rsidR="000C21AE" w:rsidRPr="009967A0">
        <w:rPr>
          <w:sz w:val="16"/>
          <w:szCs w:val="16"/>
        </w:rPr>
        <w:t xml:space="preserve">94-104) </w:t>
      </w:r>
      <w:r w:rsidR="00EB4ACE" w:rsidRPr="009967A0">
        <w:rPr>
          <w:sz w:val="16"/>
          <w:szCs w:val="16"/>
        </w:rPr>
        <w:t>comments</w:t>
      </w:r>
      <w:r w:rsidR="00D526F9" w:rsidRPr="009967A0">
        <w:rPr>
          <w:sz w:val="16"/>
          <w:szCs w:val="16"/>
        </w:rPr>
        <w:t xml:space="preserve"> upon</w:t>
      </w:r>
      <w:r w:rsidR="00EB4ACE" w:rsidRPr="009967A0">
        <w:rPr>
          <w:sz w:val="16"/>
          <w:szCs w:val="16"/>
        </w:rPr>
        <w:t xml:space="preserve"> this </w:t>
      </w:r>
      <w:r w:rsidR="001C2156">
        <w:rPr>
          <w:sz w:val="16"/>
          <w:szCs w:val="16"/>
        </w:rPr>
        <w:t>fury</w:t>
      </w:r>
      <w:r w:rsidR="00643255">
        <w:rPr>
          <w:sz w:val="16"/>
          <w:szCs w:val="16"/>
        </w:rPr>
        <w:t xml:space="preserve"> as caused by</w:t>
      </w:r>
      <w:r w:rsidR="00EB4ACE" w:rsidRPr="009967A0">
        <w:rPr>
          <w:sz w:val="16"/>
          <w:szCs w:val="16"/>
        </w:rPr>
        <w:t xml:space="preserve"> a sense of unease, a struggle </w:t>
      </w:r>
      <w:r w:rsidR="00EB4ACE" w:rsidRPr="001C2156">
        <w:rPr>
          <w:sz w:val="16"/>
          <w:szCs w:val="16"/>
        </w:rPr>
        <w:t xml:space="preserve">with not knowing </w:t>
      </w:r>
      <w:r w:rsidR="001C2156" w:rsidRPr="001C2156">
        <w:rPr>
          <w:sz w:val="16"/>
          <w:szCs w:val="16"/>
        </w:rPr>
        <w:t>and a difficulty in naming</w:t>
      </w:r>
      <w:r w:rsidR="00EB4ACE" w:rsidRPr="001C2156">
        <w:rPr>
          <w:sz w:val="16"/>
          <w:szCs w:val="16"/>
        </w:rPr>
        <w:t xml:space="preserve">. </w:t>
      </w:r>
      <w:r w:rsidR="006B5B5C" w:rsidRPr="001C2156">
        <w:rPr>
          <w:i/>
          <w:sz w:val="16"/>
          <w:szCs w:val="16"/>
        </w:rPr>
        <w:t>The Yellow Book: A Selection</w:t>
      </w:r>
      <w:r w:rsidR="006B5B5C" w:rsidRPr="001C2156">
        <w:rPr>
          <w:sz w:val="16"/>
          <w:szCs w:val="16"/>
        </w:rPr>
        <w:t xml:space="preserve"> (</w:t>
      </w:r>
      <w:r w:rsidR="00A6180D">
        <w:rPr>
          <w:sz w:val="16"/>
          <w:szCs w:val="16"/>
        </w:rPr>
        <w:t>London,</w:t>
      </w:r>
      <w:r w:rsidR="006B5B5C" w:rsidRPr="001C2156">
        <w:rPr>
          <w:sz w:val="16"/>
          <w:szCs w:val="16"/>
        </w:rPr>
        <w:t xml:space="preserve"> Bodley Head</w:t>
      </w:r>
      <w:r w:rsidR="00A6180D">
        <w:rPr>
          <w:sz w:val="16"/>
          <w:szCs w:val="16"/>
        </w:rPr>
        <w:t>, 1950)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709"/>
    <w:rsid w:val="000039E2"/>
    <w:rsid w:val="00006FBD"/>
    <w:rsid w:val="0005710D"/>
    <w:rsid w:val="00063DE0"/>
    <w:rsid w:val="0007220C"/>
    <w:rsid w:val="00073049"/>
    <w:rsid w:val="000929F2"/>
    <w:rsid w:val="000A785F"/>
    <w:rsid w:val="000C21AE"/>
    <w:rsid w:val="000D5782"/>
    <w:rsid w:val="000D6123"/>
    <w:rsid w:val="000F061A"/>
    <w:rsid w:val="001179D7"/>
    <w:rsid w:val="00121CFC"/>
    <w:rsid w:val="001257CB"/>
    <w:rsid w:val="001328C3"/>
    <w:rsid w:val="00132D09"/>
    <w:rsid w:val="001468C4"/>
    <w:rsid w:val="00156E8F"/>
    <w:rsid w:val="00174A67"/>
    <w:rsid w:val="001B23AE"/>
    <w:rsid w:val="001B3D4E"/>
    <w:rsid w:val="001B67D9"/>
    <w:rsid w:val="001C2156"/>
    <w:rsid w:val="001E4BA0"/>
    <w:rsid w:val="00211133"/>
    <w:rsid w:val="00215A1E"/>
    <w:rsid w:val="00250138"/>
    <w:rsid w:val="0025089F"/>
    <w:rsid w:val="00251844"/>
    <w:rsid w:val="00252578"/>
    <w:rsid w:val="002541C0"/>
    <w:rsid w:val="0026756D"/>
    <w:rsid w:val="002854EE"/>
    <w:rsid w:val="0028701B"/>
    <w:rsid w:val="002A31D2"/>
    <w:rsid w:val="002A6F80"/>
    <w:rsid w:val="002C2218"/>
    <w:rsid w:val="002C6BBA"/>
    <w:rsid w:val="002D2844"/>
    <w:rsid w:val="002F0072"/>
    <w:rsid w:val="00310E6D"/>
    <w:rsid w:val="003548B0"/>
    <w:rsid w:val="00355E07"/>
    <w:rsid w:val="003A30DC"/>
    <w:rsid w:val="003A43DD"/>
    <w:rsid w:val="003C24F5"/>
    <w:rsid w:val="003C63AA"/>
    <w:rsid w:val="003E31C0"/>
    <w:rsid w:val="003F3215"/>
    <w:rsid w:val="003F6AE5"/>
    <w:rsid w:val="00400C55"/>
    <w:rsid w:val="00401606"/>
    <w:rsid w:val="00401709"/>
    <w:rsid w:val="004153C9"/>
    <w:rsid w:val="004958D6"/>
    <w:rsid w:val="004A3DD4"/>
    <w:rsid w:val="004B3F0B"/>
    <w:rsid w:val="004C2B80"/>
    <w:rsid w:val="004D45F5"/>
    <w:rsid w:val="004D4ECD"/>
    <w:rsid w:val="004D6942"/>
    <w:rsid w:val="00517014"/>
    <w:rsid w:val="0053149D"/>
    <w:rsid w:val="00583BF7"/>
    <w:rsid w:val="005A1478"/>
    <w:rsid w:val="005B11A0"/>
    <w:rsid w:val="005C09C0"/>
    <w:rsid w:val="005D7853"/>
    <w:rsid w:val="005F244F"/>
    <w:rsid w:val="006030D6"/>
    <w:rsid w:val="00642AA7"/>
    <w:rsid w:val="00643255"/>
    <w:rsid w:val="006853EA"/>
    <w:rsid w:val="00695092"/>
    <w:rsid w:val="006B5B5C"/>
    <w:rsid w:val="006B73A4"/>
    <w:rsid w:val="006D0CA7"/>
    <w:rsid w:val="006D742B"/>
    <w:rsid w:val="006E0F7A"/>
    <w:rsid w:val="006E2FAD"/>
    <w:rsid w:val="00711E70"/>
    <w:rsid w:val="0076555D"/>
    <w:rsid w:val="00766F7D"/>
    <w:rsid w:val="007A7514"/>
    <w:rsid w:val="007A7797"/>
    <w:rsid w:val="007B0A13"/>
    <w:rsid w:val="007D5DBD"/>
    <w:rsid w:val="007D71F0"/>
    <w:rsid w:val="007F679B"/>
    <w:rsid w:val="00810074"/>
    <w:rsid w:val="00830CAD"/>
    <w:rsid w:val="00831AD7"/>
    <w:rsid w:val="0086744A"/>
    <w:rsid w:val="00893BB4"/>
    <w:rsid w:val="0089569F"/>
    <w:rsid w:val="008A1ACA"/>
    <w:rsid w:val="008B6A81"/>
    <w:rsid w:val="008F666C"/>
    <w:rsid w:val="00900E56"/>
    <w:rsid w:val="00933D3F"/>
    <w:rsid w:val="0093486F"/>
    <w:rsid w:val="00970A21"/>
    <w:rsid w:val="009710A0"/>
    <w:rsid w:val="00976516"/>
    <w:rsid w:val="00980F16"/>
    <w:rsid w:val="009967A0"/>
    <w:rsid w:val="009B1676"/>
    <w:rsid w:val="009B6562"/>
    <w:rsid w:val="00A35827"/>
    <w:rsid w:val="00A364DD"/>
    <w:rsid w:val="00A510B9"/>
    <w:rsid w:val="00A60FCB"/>
    <w:rsid w:val="00A6180D"/>
    <w:rsid w:val="00A82D65"/>
    <w:rsid w:val="00AC00E0"/>
    <w:rsid w:val="00AF2206"/>
    <w:rsid w:val="00AF48AC"/>
    <w:rsid w:val="00B062C4"/>
    <w:rsid w:val="00B62798"/>
    <w:rsid w:val="00B66709"/>
    <w:rsid w:val="00B74C48"/>
    <w:rsid w:val="00B76CE2"/>
    <w:rsid w:val="00B9320C"/>
    <w:rsid w:val="00BB3993"/>
    <w:rsid w:val="00BB55A3"/>
    <w:rsid w:val="00BC29E9"/>
    <w:rsid w:val="00BC3FA8"/>
    <w:rsid w:val="00BD05D4"/>
    <w:rsid w:val="00BE102C"/>
    <w:rsid w:val="00BE1B7F"/>
    <w:rsid w:val="00BF69D8"/>
    <w:rsid w:val="00BF7791"/>
    <w:rsid w:val="00C175C0"/>
    <w:rsid w:val="00C30BEE"/>
    <w:rsid w:val="00C624AB"/>
    <w:rsid w:val="00C72C70"/>
    <w:rsid w:val="00C737B1"/>
    <w:rsid w:val="00CA7F71"/>
    <w:rsid w:val="00CB4083"/>
    <w:rsid w:val="00D1644E"/>
    <w:rsid w:val="00D164C5"/>
    <w:rsid w:val="00D526F9"/>
    <w:rsid w:val="00D61A1C"/>
    <w:rsid w:val="00D66745"/>
    <w:rsid w:val="00D819CC"/>
    <w:rsid w:val="00D81E80"/>
    <w:rsid w:val="00D8348F"/>
    <w:rsid w:val="00DA34A4"/>
    <w:rsid w:val="00DC2C88"/>
    <w:rsid w:val="00DC2FA4"/>
    <w:rsid w:val="00DC743A"/>
    <w:rsid w:val="00DE1CD6"/>
    <w:rsid w:val="00DE2C77"/>
    <w:rsid w:val="00DE592C"/>
    <w:rsid w:val="00E16452"/>
    <w:rsid w:val="00E547C8"/>
    <w:rsid w:val="00E54E4F"/>
    <w:rsid w:val="00E56FCC"/>
    <w:rsid w:val="00E6768A"/>
    <w:rsid w:val="00E676B2"/>
    <w:rsid w:val="00EA613C"/>
    <w:rsid w:val="00EB4ACE"/>
    <w:rsid w:val="00EC4198"/>
    <w:rsid w:val="00EE389F"/>
    <w:rsid w:val="00EF7549"/>
    <w:rsid w:val="00F026CF"/>
    <w:rsid w:val="00F21C89"/>
    <w:rsid w:val="00F30FD2"/>
    <w:rsid w:val="00F45C17"/>
    <w:rsid w:val="00F5459C"/>
    <w:rsid w:val="00F82C25"/>
    <w:rsid w:val="00F94FA5"/>
    <w:rsid w:val="00FC6BD5"/>
    <w:rsid w:val="00FD6E9D"/>
    <w:rsid w:val="00FE6B3D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F7A99"/>
  <w14:defaultImageDpi w14:val="32767"/>
  <w15:chartTrackingRefBased/>
  <w15:docId w15:val="{F2FBC05B-F69C-DD41-B6A1-93D45DAE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64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E16452"/>
  </w:style>
  <w:style w:type="character" w:styleId="Emphasis">
    <w:name w:val="Emphasis"/>
    <w:basedOn w:val="DefaultParagraphFont"/>
    <w:uiPriority w:val="20"/>
    <w:qFormat/>
    <w:rsid w:val="00E16452"/>
    <w:rPr>
      <w:i/>
      <w:iCs/>
    </w:rPr>
  </w:style>
  <w:style w:type="character" w:customStyle="1" w:styleId="a">
    <w:name w:val="a"/>
    <w:basedOn w:val="DefaultParagraphFont"/>
    <w:rsid w:val="00252578"/>
  </w:style>
  <w:style w:type="paragraph" w:styleId="FootnoteText">
    <w:name w:val="footnote text"/>
    <w:basedOn w:val="Normal"/>
    <w:link w:val="FootnoteTextChar"/>
    <w:uiPriority w:val="99"/>
    <w:unhideWhenUsed/>
    <w:rsid w:val="00D819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19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819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2019-08-12T11:41:00Z</cp:lastPrinted>
  <dcterms:created xsi:type="dcterms:W3CDTF">2019-08-12T15:36:00Z</dcterms:created>
  <dcterms:modified xsi:type="dcterms:W3CDTF">2019-08-14T14:17:00Z</dcterms:modified>
</cp:coreProperties>
</file>