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E5CDB" w14:textId="77777777" w:rsidR="006B6791" w:rsidRDefault="006B6791" w:rsidP="006B6791">
      <w:pPr>
        <w:pStyle w:val="Articletitle"/>
      </w:pPr>
      <w:bookmarkStart w:id="0" w:name="_GoBack"/>
      <w:r>
        <w:t>The C</w:t>
      </w:r>
      <w:r w:rsidRPr="00D658CA">
        <w:t>hallenges for Graphic Design in Establishin</w:t>
      </w:r>
      <w:r>
        <w:t>g an Academic Research Culture</w:t>
      </w:r>
      <w:bookmarkEnd w:id="0"/>
      <w:r>
        <w:t xml:space="preserve">: </w:t>
      </w:r>
      <w:r w:rsidRPr="00D658CA">
        <w:t>lessons from the</w:t>
      </w:r>
      <w:r>
        <w:t xml:space="preserve"> </w:t>
      </w:r>
      <w:r w:rsidRPr="00D658CA">
        <w:t>Research Excellence Framework</w:t>
      </w:r>
      <w:r>
        <w:t xml:space="preserve"> 2014</w:t>
      </w:r>
    </w:p>
    <w:p w14:paraId="53FD1D3E" w14:textId="77777777" w:rsidR="006B6791" w:rsidRDefault="006B6791" w:rsidP="006B6791">
      <w:pPr>
        <w:pStyle w:val="Articletitle"/>
      </w:pPr>
    </w:p>
    <w:p w14:paraId="3057ABA4" w14:textId="77777777" w:rsidR="006B6791" w:rsidRDefault="006B6791" w:rsidP="006B6791">
      <w:pPr>
        <w:pStyle w:val="Articletitle"/>
      </w:pPr>
      <w:r>
        <w:t>James Corazzo</w:t>
      </w:r>
    </w:p>
    <w:p w14:paraId="2E607D6F" w14:textId="77777777" w:rsidR="006B6791" w:rsidRDefault="006B6791" w:rsidP="006B6791">
      <w:pPr>
        <w:pStyle w:val="Affiliation"/>
      </w:pPr>
      <w:r>
        <w:t>Sheffield Hallam University</w:t>
      </w:r>
    </w:p>
    <w:p w14:paraId="46B8D068" w14:textId="77777777" w:rsidR="006B6791" w:rsidRDefault="006B6791" w:rsidP="006B6791">
      <w:pPr>
        <w:pStyle w:val="Articletitle"/>
      </w:pPr>
    </w:p>
    <w:p w14:paraId="3B2011C1" w14:textId="77777777" w:rsidR="006B6791" w:rsidRDefault="006B6791" w:rsidP="006B6791">
      <w:pPr>
        <w:pStyle w:val="Articletitle"/>
      </w:pPr>
      <w:r>
        <w:t>Dr Robert George Harland</w:t>
      </w:r>
    </w:p>
    <w:p w14:paraId="5855E923" w14:textId="77777777" w:rsidR="006B6791" w:rsidRDefault="006B6791" w:rsidP="006B6791">
      <w:pPr>
        <w:pStyle w:val="Affiliation"/>
      </w:pPr>
      <w:r>
        <w:t>Loughborough University</w:t>
      </w:r>
    </w:p>
    <w:p w14:paraId="72DDBD40" w14:textId="77777777" w:rsidR="006B6791" w:rsidRDefault="006B6791" w:rsidP="006B6791">
      <w:pPr>
        <w:pStyle w:val="Articletitle"/>
      </w:pPr>
    </w:p>
    <w:p w14:paraId="3FB242C7" w14:textId="77777777" w:rsidR="006B6791" w:rsidRDefault="006B6791" w:rsidP="006B6791">
      <w:pPr>
        <w:pStyle w:val="Articletitle"/>
      </w:pPr>
      <w:r>
        <w:t>Alison Honnor</w:t>
      </w:r>
    </w:p>
    <w:p w14:paraId="34B88FF4" w14:textId="77777777" w:rsidR="006B6791" w:rsidRDefault="006B6791" w:rsidP="006B6791">
      <w:pPr>
        <w:pStyle w:val="Affiliation"/>
      </w:pPr>
      <w:r>
        <w:t>Sheffield Hallam University</w:t>
      </w:r>
    </w:p>
    <w:p w14:paraId="27775E4E" w14:textId="77777777" w:rsidR="006B6791" w:rsidRDefault="006B6791" w:rsidP="006B6791">
      <w:pPr>
        <w:pStyle w:val="Articletitle"/>
      </w:pPr>
    </w:p>
    <w:p w14:paraId="2969A7EF" w14:textId="77777777" w:rsidR="006B6791" w:rsidRDefault="006B6791" w:rsidP="006B6791">
      <w:pPr>
        <w:pStyle w:val="Articletitle"/>
      </w:pPr>
      <w:r>
        <w:t>Steve Rigley</w:t>
      </w:r>
    </w:p>
    <w:p w14:paraId="555C4E3F" w14:textId="77777777" w:rsidR="006B6791" w:rsidRDefault="006B6791" w:rsidP="006B6791">
      <w:pPr>
        <w:pStyle w:val="Affiliation"/>
      </w:pPr>
      <w:r>
        <w:t>Glasgow School of Art</w:t>
      </w:r>
    </w:p>
    <w:p w14:paraId="5132993B" w14:textId="77777777" w:rsidR="006B6791" w:rsidRDefault="006B6791" w:rsidP="006B6791">
      <w:pPr>
        <w:pStyle w:val="Correspondencedetails"/>
      </w:pPr>
    </w:p>
    <w:p w14:paraId="1D2D5E2D" w14:textId="77777777" w:rsidR="006B6791" w:rsidRDefault="006B6791" w:rsidP="006B6791">
      <w:r>
        <w:t xml:space="preserve">Correspondence details </w:t>
      </w:r>
    </w:p>
    <w:p w14:paraId="7082B3D8" w14:textId="77777777" w:rsidR="006B6791" w:rsidRPr="00705811" w:rsidRDefault="006B6791" w:rsidP="006B6791">
      <w:r w:rsidRPr="006D300D">
        <w:t>Sheffield Hallam University</w:t>
      </w:r>
      <w:r>
        <w:t xml:space="preserve">, </w:t>
      </w:r>
      <w:r w:rsidRPr="006D300D">
        <w:t>Head Post Office Building</w:t>
      </w:r>
      <w:r>
        <w:t xml:space="preserve">, </w:t>
      </w:r>
      <w:r w:rsidRPr="006D300D">
        <w:t>Fitzalan Square</w:t>
      </w:r>
      <w:r>
        <w:rPr>
          <w:rFonts w:eastAsia="MS Mincho"/>
        </w:rPr>
        <w:t xml:space="preserve">, </w:t>
      </w:r>
      <w:r w:rsidRPr="006D300D">
        <w:t>Sheffiel</w:t>
      </w:r>
      <w:r>
        <w:t xml:space="preserve">d, </w:t>
      </w:r>
      <w:r w:rsidRPr="006D300D">
        <w:t>S1 2GH</w:t>
      </w:r>
      <w:r>
        <w:br/>
      </w:r>
      <w:hyperlink r:id="rId8" w:history="1">
        <w:r w:rsidRPr="00144D83">
          <w:rPr>
            <w:rStyle w:val="Hyperlink"/>
          </w:rPr>
          <w:t>j.corazzo@shu.ac.uk</w:t>
        </w:r>
      </w:hyperlink>
    </w:p>
    <w:p w14:paraId="613A5AF4" w14:textId="77777777" w:rsidR="006B6791" w:rsidRDefault="006B6791" w:rsidP="006B6791">
      <w:pPr>
        <w:pStyle w:val="Notesoncontributors"/>
      </w:pPr>
      <w:r w:rsidRPr="0047444A">
        <w:rPr>
          <w:b/>
        </w:rPr>
        <w:t>James Corazzo</w:t>
      </w:r>
      <w:r w:rsidRPr="0047444A">
        <w:t xml:space="preserve"> is a </w:t>
      </w:r>
      <w:r>
        <w:t xml:space="preserve">Principal Lecturer in </w:t>
      </w:r>
      <w:r w:rsidRPr="00705811">
        <w:t>Graphic D</w:t>
      </w:r>
      <w:r w:rsidRPr="0047444A">
        <w:t xml:space="preserve">esign at Sheffield Hallam University. His research/practice draws from social science and design and focuses on the cultures, values and contexts of </w:t>
      </w:r>
      <w:r>
        <w:t xml:space="preserve">graphic </w:t>
      </w:r>
      <w:r w:rsidRPr="0047444A">
        <w:t>design education. </w:t>
      </w:r>
    </w:p>
    <w:p w14:paraId="16C03BA7" w14:textId="77777777" w:rsidR="006B6791" w:rsidRDefault="006B6791" w:rsidP="006B6791">
      <w:pPr>
        <w:pStyle w:val="Notesoncontributors"/>
      </w:pPr>
      <w:r w:rsidRPr="00FF4CD0">
        <w:rPr>
          <w:b/>
          <w:bCs/>
        </w:rPr>
        <w:t>Dr Robert Harland </w:t>
      </w:r>
      <w:r w:rsidRPr="00FF4CD0">
        <w:t xml:space="preserve">is a Senior Lecturer at Loughborough University. His research explores questions about the relationship between graphic form and urban context. This challenges ideas </w:t>
      </w:r>
      <w:r w:rsidRPr="00FF4CD0">
        <w:lastRenderedPageBreak/>
        <w:t>about what graphic design is, why it is relevant, what it can be, and how it is understood as a visual form of knowledge production.</w:t>
      </w:r>
    </w:p>
    <w:p w14:paraId="67BD368E" w14:textId="77777777" w:rsidR="006B6791" w:rsidRDefault="006B6791" w:rsidP="006B6791">
      <w:pPr>
        <w:pStyle w:val="Notesoncontributors"/>
      </w:pPr>
      <w:r w:rsidRPr="0047444A">
        <w:rPr>
          <w:b/>
        </w:rPr>
        <w:t>Alison Honnor</w:t>
      </w:r>
      <w:r>
        <w:t xml:space="preserve"> is a researcher at Sheffield Hallam University.  Her background is in contemporary art history and colonial history.  Alison worked as Panel Secretary for Main Panel D in REF2014 and across all main panels for the criteria setting phase of REF2021.</w:t>
      </w:r>
    </w:p>
    <w:p w14:paraId="60E2CAF6" w14:textId="77777777" w:rsidR="006B6791" w:rsidRDefault="006B6791" w:rsidP="006B6791">
      <w:pPr>
        <w:pStyle w:val="Notesoncontributors"/>
      </w:pPr>
      <w:r w:rsidRPr="00FF4CD0">
        <w:rPr>
          <w:b/>
          <w:bCs/>
        </w:rPr>
        <w:t>Steve Rigley</w:t>
      </w:r>
      <w:r w:rsidRPr="00FF4CD0">
        <w:t> is a designer, lecturer and writer based in the department of Communication Design at Glasgow School of Art. Steve's current research interests focus upon the relationship between typography and concrete poetry and how the mapping of practice and creative writing may be used as tools for understanding graphic design history.</w:t>
      </w:r>
    </w:p>
    <w:p w14:paraId="6C9C904B" w14:textId="7791365A" w:rsidR="006B6791" w:rsidRDefault="006B6791">
      <w:pPr>
        <w:spacing w:line="240" w:lineRule="auto"/>
        <w:rPr>
          <w:b/>
          <w:sz w:val="28"/>
        </w:rPr>
      </w:pPr>
      <w:r>
        <w:br w:type="page"/>
      </w:r>
    </w:p>
    <w:p w14:paraId="2570A90A" w14:textId="4D587240" w:rsidR="00C246C5" w:rsidRDefault="00001612" w:rsidP="00001612">
      <w:pPr>
        <w:pStyle w:val="Articletitle"/>
      </w:pPr>
      <w:r>
        <w:lastRenderedPageBreak/>
        <w:t>The C</w:t>
      </w:r>
      <w:r w:rsidRPr="00D658CA">
        <w:t>hallenges for Graphic Design in Establishin</w:t>
      </w:r>
      <w:r>
        <w:t xml:space="preserve">g an Academic Research Culture: </w:t>
      </w:r>
      <w:r w:rsidRPr="00D658CA">
        <w:t>lessons from the</w:t>
      </w:r>
      <w:r w:rsidR="00A57AA9">
        <w:t xml:space="preserve"> </w:t>
      </w:r>
      <w:r w:rsidRPr="00D658CA">
        <w:t>Research Excellence Framework</w:t>
      </w:r>
      <w:r w:rsidR="00A57AA9">
        <w:t xml:space="preserve"> 2014</w:t>
      </w:r>
    </w:p>
    <w:p w14:paraId="1B3BCDE5" w14:textId="77777777" w:rsidR="009F029A" w:rsidRDefault="009F029A" w:rsidP="009F029A">
      <w:pPr>
        <w:pStyle w:val="Abstract"/>
        <w:rPr>
          <w:rFonts w:eastAsia="Calibri"/>
        </w:rPr>
      </w:pPr>
      <w:r w:rsidRPr="00492FB4">
        <w:rPr>
          <w:rFonts w:eastAsia="Calibri"/>
        </w:rPr>
        <w:t>This paper examines why graphic design has struggled to establish an academic research culture, despite significant gains in design research over the last 20 years. It considers the criticisms levelled against graphic design research submitted to the 2014 Research Excellence Framework (REF2014). Through analysis of publicly available data, we identif</w:t>
      </w:r>
      <w:r>
        <w:rPr>
          <w:rFonts w:eastAsia="Calibri"/>
        </w:rPr>
        <w:t>y</w:t>
      </w:r>
      <w:r w:rsidRPr="00492FB4">
        <w:rPr>
          <w:rFonts w:eastAsia="Calibri"/>
        </w:rPr>
        <w:t xml:space="preserve"> a low volume of graphic design research </w:t>
      </w:r>
      <w:r>
        <w:rPr>
          <w:rFonts w:eastAsia="Calibri"/>
        </w:rPr>
        <w:t>adhering</w:t>
      </w:r>
      <w:r w:rsidRPr="00492FB4">
        <w:rPr>
          <w:rFonts w:eastAsia="Calibri"/>
        </w:rPr>
        <w:t xml:space="preserve"> to traditional academic</w:t>
      </w:r>
      <w:r>
        <w:rPr>
          <w:rFonts w:eastAsia="Calibri"/>
        </w:rPr>
        <w:t>,</w:t>
      </w:r>
      <w:r w:rsidRPr="00492FB4">
        <w:rPr>
          <w:rFonts w:eastAsia="Calibri"/>
        </w:rPr>
        <w:t xml:space="preserve"> non-practice-based forms</w:t>
      </w:r>
      <w:r>
        <w:rPr>
          <w:rFonts w:eastAsia="Calibri"/>
        </w:rPr>
        <w:t>,</w:t>
      </w:r>
      <w:r w:rsidRPr="00492FB4">
        <w:rPr>
          <w:rFonts w:eastAsia="Calibri"/>
        </w:rPr>
        <w:t xml:space="preserve"> </w:t>
      </w:r>
      <w:r>
        <w:rPr>
          <w:rFonts w:eastAsia="Calibri"/>
        </w:rPr>
        <w:t xml:space="preserve">and </w:t>
      </w:r>
      <w:r w:rsidRPr="00492FB4">
        <w:rPr>
          <w:rFonts w:eastAsia="Calibri"/>
        </w:rPr>
        <w:t>concentrated amongst few institutions. Results confirm graphic design is yet to establish a</w:t>
      </w:r>
      <w:r>
        <w:rPr>
          <w:rFonts w:eastAsia="Calibri"/>
        </w:rPr>
        <w:t>n</w:t>
      </w:r>
      <w:r w:rsidRPr="00492FB4">
        <w:rPr>
          <w:rFonts w:eastAsia="Calibri"/>
        </w:rPr>
        <w:t xml:space="preserve"> academic research culture that accords with its widespread standing in higher education. </w:t>
      </w:r>
      <w:r>
        <w:rPr>
          <w:rFonts w:eastAsia="Calibri"/>
        </w:rPr>
        <w:t>We identify</w:t>
      </w:r>
      <w:r w:rsidRPr="00492FB4">
        <w:rPr>
          <w:rFonts w:eastAsia="Calibri"/>
        </w:rPr>
        <w:t xml:space="preserve"> the absence of consensual nomenclature, lack of confidence </w:t>
      </w:r>
      <w:r>
        <w:rPr>
          <w:rFonts w:eastAsia="Calibri"/>
        </w:rPr>
        <w:t xml:space="preserve">and exemplars </w:t>
      </w:r>
      <w:r w:rsidRPr="00492FB4">
        <w:rPr>
          <w:rFonts w:eastAsia="Calibri"/>
        </w:rPr>
        <w:t xml:space="preserve">with practice-based graphic design research, the uncertain expectations of </w:t>
      </w:r>
      <w:r>
        <w:rPr>
          <w:rFonts w:eastAsia="Calibri"/>
        </w:rPr>
        <w:t>research audits</w:t>
      </w:r>
      <w:r w:rsidRPr="00492FB4">
        <w:rPr>
          <w:rFonts w:eastAsia="Calibri"/>
        </w:rPr>
        <w:t xml:space="preserve">, lack of venues for dissemination, heavy teaching loads and </w:t>
      </w:r>
      <w:r>
        <w:rPr>
          <w:rFonts w:eastAsia="Calibri"/>
        </w:rPr>
        <w:t>few</w:t>
      </w:r>
      <w:r w:rsidRPr="00492FB4">
        <w:rPr>
          <w:rFonts w:eastAsia="Calibri"/>
        </w:rPr>
        <w:t xml:space="preserve"> established career pathways for research. </w:t>
      </w:r>
      <w:r>
        <w:rPr>
          <w:rFonts w:eastAsia="Calibri"/>
        </w:rPr>
        <w:t>In response w</w:t>
      </w:r>
      <w:r w:rsidRPr="00492FB4">
        <w:rPr>
          <w:rFonts w:eastAsia="Calibri"/>
        </w:rPr>
        <w:t xml:space="preserve">e make </w:t>
      </w:r>
      <w:r>
        <w:rPr>
          <w:rFonts w:eastAsia="Calibri"/>
        </w:rPr>
        <w:t xml:space="preserve">a series of </w:t>
      </w:r>
      <w:r w:rsidRPr="00492FB4">
        <w:rPr>
          <w:rFonts w:eastAsia="Calibri"/>
        </w:rPr>
        <w:t>recommendations</w:t>
      </w:r>
      <w:r>
        <w:rPr>
          <w:rFonts w:eastAsia="Calibri"/>
        </w:rPr>
        <w:t xml:space="preserve"> </w:t>
      </w:r>
      <w:r w:rsidRPr="00505FD5">
        <w:t>towards a sustainable graphic design research change agenda.</w:t>
      </w:r>
    </w:p>
    <w:p w14:paraId="77751C4B" w14:textId="3B890159" w:rsidR="0020415E" w:rsidRPr="00505FD5" w:rsidRDefault="00997B0F" w:rsidP="00505FD5">
      <w:pPr>
        <w:pStyle w:val="Keywords"/>
      </w:pPr>
      <w:r w:rsidRPr="00505FD5">
        <w:t xml:space="preserve">Keywords: </w:t>
      </w:r>
      <w:r w:rsidR="00CC41F0" w:rsidRPr="00505FD5">
        <w:t xml:space="preserve">REF, </w:t>
      </w:r>
      <w:r w:rsidR="00037C1E" w:rsidRPr="00505FD5">
        <w:t xml:space="preserve">Graphic Design, </w:t>
      </w:r>
      <w:r w:rsidR="00CC41F0" w:rsidRPr="00505FD5">
        <w:t xml:space="preserve">Graphic Design Research, Design Research, Graphic Design Education, </w:t>
      </w:r>
      <w:r w:rsidR="006A1E5A" w:rsidRPr="00505FD5">
        <w:t>Research Excellence Framework, Nomenclature</w:t>
      </w:r>
    </w:p>
    <w:p w14:paraId="7B5E9322" w14:textId="77777777" w:rsidR="00505FD5" w:rsidRDefault="00505FD5" w:rsidP="00B03618">
      <w:pPr>
        <w:pStyle w:val="Heading1"/>
      </w:pPr>
    </w:p>
    <w:p w14:paraId="62CB549E" w14:textId="1205962A" w:rsidR="00001612" w:rsidRPr="00B03618" w:rsidRDefault="00001612" w:rsidP="00B03618">
      <w:pPr>
        <w:pStyle w:val="Heading1"/>
      </w:pPr>
      <w:r w:rsidRPr="00B03618">
        <w:t xml:space="preserve">INTRODUCTION </w:t>
      </w:r>
    </w:p>
    <w:p w14:paraId="4A4ED365" w14:textId="19CBF58D" w:rsidR="00450B72" w:rsidRDefault="00001612" w:rsidP="00001612">
      <w:pPr>
        <w:pStyle w:val="Paragraph"/>
        <w:rPr>
          <w:rFonts w:eastAsia="Calibri"/>
          <w:lang w:eastAsia="en-US"/>
        </w:rPr>
      </w:pPr>
      <w:r w:rsidRPr="00B03618">
        <w:rPr>
          <w:rStyle w:val="Heading2Char"/>
          <w:rFonts w:eastAsia="Calibri"/>
        </w:rPr>
        <w:t>Graphic design and academic research culture</w:t>
      </w:r>
      <w:r w:rsidRPr="000B329F">
        <w:rPr>
          <w:rFonts w:eastAsia="Calibri"/>
          <w:lang w:eastAsia="en-US"/>
        </w:rPr>
        <w:br/>
      </w:r>
      <w:r w:rsidR="006F5471">
        <w:rPr>
          <w:rFonts w:eastAsia="Calibri"/>
          <w:lang w:eastAsia="en-US"/>
        </w:rPr>
        <w:t>This</w:t>
      </w:r>
      <w:r w:rsidRPr="000B329F">
        <w:rPr>
          <w:rFonts w:eastAsia="Calibri"/>
          <w:lang w:eastAsia="en-US"/>
        </w:rPr>
        <w:t xml:space="preserve"> paper</w:t>
      </w:r>
      <w:r w:rsidR="006F5471">
        <w:rPr>
          <w:rFonts w:eastAsia="Calibri"/>
          <w:lang w:eastAsia="en-US"/>
        </w:rPr>
        <w:t xml:space="preserve"> </w:t>
      </w:r>
      <w:r w:rsidRPr="000B329F">
        <w:rPr>
          <w:rFonts w:eastAsia="Calibri"/>
          <w:lang w:eastAsia="en-US"/>
        </w:rPr>
        <w:t>examine</w:t>
      </w:r>
      <w:r w:rsidR="006F5471">
        <w:rPr>
          <w:rFonts w:eastAsia="Calibri"/>
          <w:lang w:eastAsia="en-US"/>
        </w:rPr>
        <w:t>s</w:t>
      </w:r>
      <w:r w:rsidRPr="000B329F">
        <w:rPr>
          <w:rFonts w:eastAsia="Calibri"/>
          <w:lang w:eastAsia="en-US"/>
        </w:rPr>
        <w:t xml:space="preserve"> why graphic design has struggled to establish an academic research culture, despite significant gains in design research ove</w:t>
      </w:r>
      <w:r>
        <w:rPr>
          <w:rFonts w:eastAsia="Calibri"/>
          <w:lang w:eastAsia="en-US"/>
        </w:rPr>
        <w:t>r the last 20 years (Walker 2017</w:t>
      </w:r>
      <w:r w:rsidRPr="000B329F">
        <w:rPr>
          <w:rFonts w:eastAsia="Calibri"/>
          <w:lang w:eastAsia="en-US"/>
        </w:rPr>
        <w:t xml:space="preserve">). </w:t>
      </w:r>
      <w:r w:rsidR="006F5471">
        <w:rPr>
          <w:rFonts w:eastAsia="Calibri"/>
          <w:lang w:eastAsia="en-US"/>
        </w:rPr>
        <w:t>The</w:t>
      </w:r>
      <w:r w:rsidRPr="000B329F">
        <w:rPr>
          <w:rFonts w:eastAsia="Calibri"/>
          <w:lang w:eastAsia="en-US"/>
        </w:rPr>
        <w:t xml:space="preserve"> aim</w:t>
      </w:r>
      <w:r w:rsidR="006F5471">
        <w:rPr>
          <w:rFonts w:eastAsia="Calibri"/>
          <w:lang w:eastAsia="en-US"/>
        </w:rPr>
        <w:t xml:space="preserve"> is</w:t>
      </w:r>
      <w:r w:rsidRPr="000B329F">
        <w:rPr>
          <w:rFonts w:eastAsia="Calibri"/>
          <w:lang w:eastAsia="en-US"/>
        </w:rPr>
        <w:t xml:space="preserve"> to contribute to debates on graphic design and research emerging in both the UK (Walker 2</w:t>
      </w:r>
      <w:r>
        <w:rPr>
          <w:rFonts w:eastAsia="Calibri"/>
          <w:lang w:eastAsia="en-US"/>
        </w:rPr>
        <w:t>017</w:t>
      </w:r>
      <w:r w:rsidRPr="000B329F">
        <w:rPr>
          <w:rFonts w:eastAsia="Calibri"/>
          <w:lang w:eastAsia="en-US"/>
        </w:rPr>
        <w:t>; Ross 2018) and North America (Davis 2016; Cabianca 2016;</w:t>
      </w:r>
      <w:r w:rsidR="00981584">
        <w:rPr>
          <w:rFonts w:eastAsia="Calibri"/>
          <w:lang w:eastAsia="en-US"/>
        </w:rPr>
        <w:t xml:space="preserve"> </w:t>
      </w:r>
      <w:r w:rsidRPr="000B329F">
        <w:rPr>
          <w:rFonts w:eastAsia="Calibri"/>
          <w:lang w:eastAsia="en-US"/>
        </w:rPr>
        <w:t>Townsend &amp; Armstrong 2017).</w:t>
      </w:r>
      <w:r>
        <w:rPr>
          <w:rFonts w:eastAsia="Calibri"/>
          <w:lang w:eastAsia="en-US"/>
        </w:rPr>
        <w:t xml:space="preserve"> </w:t>
      </w:r>
    </w:p>
    <w:p w14:paraId="11CEB08C" w14:textId="77777777" w:rsidR="00450B72" w:rsidRDefault="00450B72" w:rsidP="00001612">
      <w:pPr>
        <w:pStyle w:val="Paragraph"/>
        <w:rPr>
          <w:rFonts w:eastAsia="Calibri"/>
          <w:lang w:eastAsia="en-US"/>
        </w:rPr>
      </w:pPr>
    </w:p>
    <w:p w14:paraId="3FBD216F" w14:textId="7DAAB49A" w:rsidR="00001612" w:rsidRPr="009E2CAF" w:rsidRDefault="00001612" w:rsidP="00450B72">
      <w:pPr>
        <w:pStyle w:val="Paragraph"/>
        <w:rPr>
          <w:rFonts w:eastAsia="Calibri"/>
          <w:lang w:eastAsia="en-US"/>
        </w:rPr>
      </w:pPr>
      <w:r>
        <w:rPr>
          <w:rFonts w:eastAsia="Calibri"/>
          <w:lang w:eastAsia="en-US"/>
        </w:rPr>
        <w:lastRenderedPageBreak/>
        <w:t>Our concern is the UK context</w:t>
      </w:r>
      <w:r w:rsidR="00495943">
        <w:rPr>
          <w:rFonts w:eastAsia="Calibri"/>
          <w:lang w:eastAsia="en-US"/>
        </w:rPr>
        <w:t>,</w:t>
      </w:r>
      <w:r>
        <w:rPr>
          <w:rFonts w:eastAsia="Calibri"/>
          <w:lang w:eastAsia="en-US"/>
        </w:rPr>
        <w:t xml:space="preserve"> </w:t>
      </w:r>
      <w:r w:rsidR="00450B72">
        <w:rPr>
          <w:rFonts w:eastAsia="Calibri"/>
          <w:lang w:eastAsia="en-US"/>
        </w:rPr>
        <w:t xml:space="preserve">where </w:t>
      </w:r>
      <w:r w:rsidR="00450B72" w:rsidRPr="000B329F">
        <w:rPr>
          <w:rFonts w:eastAsia="Calibri"/>
          <w:lang w:eastAsia="en-US"/>
        </w:rPr>
        <w:t>d</w:t>
      </w:r>
      <w:r w:rsidR="00450B72">
        <w:rPr>
          <w:rFonts w:eastAsia="Calibri"/>
          <w:lang w:eastAsia="en-US"/>
        </w:rPr>
        <w:t>iscussion</w:t>
      </w:r>
      <w:r w:rsidR="00374D67">
        <w:rPr>
          <w:rFonts w:eastAsia="Calibri"/>
          <w:lang w:eastAsia="en-US"/>
        </w:rPr>
        <w:t>s</w:t>
      </w:r>
      <w:r w:rsidR="00450B72" w:rsidRPr="000B329F">
        <w:rPr>
          <w:rFonts w:eastAsia="Calibri"/>
          <w:lang w:eastAsia="en-US"/>
        </w:rPr>
        <w:t xml:space="preserve"> </w:t>
      </w:r>
      <w:r w:rsidRPr="000B329F">
        <w:rPr>
          <w:rFonts w:eastAsia="Calibri"/>
          <w:lang w:eastAsia="en-US"/>
        </w:rPr>
        <w:t>have been motivated by criticisms of the quality of graphic design research submitted to the last national (UK) research audit – the 2014 Research Excellence Framework (REF</w:t>
      </w:r>
      <w:r w:rsidR="00733ABA">
        <w:rPr>
          <w:rFonts w:eastAsia="Calibri"/>
          <w:lang w:eastAsia="en-US"/>
        </w:rPr>
        <w:t>2014</w:t>
      </w:r>
      <w:r w:rsidRPr="000B329F">
        <w:rPr>
          <w:rFonts w:eastAsia="Calibri"/>
          <w:lang w:eastAsia="en-US"/>
        </w:rPr>
        <w:t xml:space="preserve">). </w:t>
      </w:r>
      <w:r w:rsidR="00CD49C3">
        <w:rPr>
          <w:rFonts w:eastAsia="Calibri"/>
          <w:lang w:eastAsia="en-US"/>
        </w:rPr>
        <w:t xml:space="preserve">The </w:t>
      </w:r>
      <w:r w:rsidRPr="000B329F">
        <w:rPr>
          <w:rFonts w:eastAsia="Calibri"/>
          <w:lang w:eastAsia="en-US"/>
        </w:rPr>
        <w:t xml:space="preserve">REF assesses the quality of research across all Higher Education Institutions (HEIs) in the UK. The central aims of </w:t>
      </w:r>
      <w:r w:rsidR="00CD49C3">
        <w:rPr>
          <w:rFonts w:eastAsia="Calibri"/>
          <w:lang w:eastAsia="en-US"/>
        </w:rPr>
        <w:t xml:space="preserve">the </w:t>
      </w:r>
      <w:r w:rsidRPr="000B329F">
        <w:rPr>
          <w:rFonts w:eastAsia="Calibri"/>
          <w:lang w:eastAsia="en-US"/>
        </w:rPr>
        <w:t>REF are: to provide accountability for the spending of public funds, direct the future allocation of funding</w:t>
      </w:r>
      <w:r w:rsidR="00374D67">
        <w:rPr>
          <w:rFonts w:eastAsia="Calibri"/>
          <w:lang w:eastAsia="en-US"/>
        </w:rPr>
        <w:t xml:space="preserve"> </w:t>
      </w:r>
      <w:r w:rsidR="006A5D39">
        <w:rPr>
          <w:rFonts w:eastAsia="Calibri"/>
          <w:lang w:eastAsia="en-US"/>
        </w:rPr>
        <w:t>a</w:t>
      </w:r>
      <w:r w:rsidRPr="000B329F">
        <w:rPr>
          <w:rFonts w:eastAsia="Calibri"/>
          <w:lang w:eastAsia="en-US"/>
        </w:rPr>
        <w:t>nd provide reputational yardsticks for institutions</w:t>
      </w:r>
      <w:r w:rsidR="006F5471">
        <w:rPr>
          <w:rFonts w:eastAsia="Calibri"/>
          <w:lang w:eastAsia="en-US"/>
        </w:rPr>
        <w:t xml:space="preserve">. </w:t>
      </w:r>
      <w:r w:rsidRPr="000B329F">
        <w:rPr>
          <w:rFonts w:eastAsia="Calibri"/>
          <w:lang w:eastAsia="en-US"/>
        </w:rPr>
        <w:t>Th</w:t>
      </w:r>
      <w:r w:rsidR="006F5471">
        <w:rPr>
          <w:rFonts w:eastAsia="Calibri"/>
          <w:lang w:eastAsia="en-US"/>
        </w:rPr>
        <w:t>is last</w:t>
      </w:r>
      <w:r w:rsidR="00014B16">
        <w:rPr>
          <w:rFonts w:eastAsia="Calibri"/>
          <w:lang w:eastAsia="en-US"/>
        </w:rPr>
        <w:t xml:space="preserve"> </w:t>
      </w:r>
      <w:r w:rsidR="0061153D">
        <w:rPr>
          <w:rFonts w:eastAsia="Calibri"/>
          <w:lang w:eastAsia="en-US"/>
        </w:rPr>
        <w:t>one,</w:t>
      </w:r>
      <w:r w:rsidR="0061153D" w:rsidRPr="000B329F">
        <w:rPr>
          <w:rFonts w:eastAsia="Calibri"/>
          <w:lang w:eastAsia="en-US"/>
        </w:rPr>
        <w:t xml:space="preserve"> </w:t>
      </w:r>
      <w:r w:rsidRPr="000B329F">
        <w:rPr>
          <w:rFonts w:eastAsia="Calibri"/>
          <w:lang w:eastAsia="en-US"/>
        </w:rPr>
        <w:t>in 2014</w:t>
      </w:r>
      <w:r w:rsidR="008C24F8">
        <w:rPr>
          <w:rFonts w:eastAsia="Calibri"/>
          <w:lang w:eastAsia="en-US"/>
        </w:rPr>
        <w:t>,</w:t>
      </w:r>
      <w:r w:rsidRPr="000B329F">
        <w:rPr>
          <w:rFonts w:eastAsia="Calibri"/>
          <w:lang w:eastAsia="en-US"/>
        </w:rPr>
        <w:t xml:space="preserve"> was followed by an </w:t>
      </w:r>
      <w:r w:rsidRPr="009E2CAF">
        <w:rPr>
          <w:rFonts w:eastAsia="Calibri"/>
          <w:lang w:eastAsia="en-US"/>
        </w:rPr>
        <w:t xml:space="preserve">official report that </w:t>
      </w:r>
      <w:r w:rsidR="009662E5">
        <w:rPr>
          <w:rFonts w:eastAsia="Calibri"/>
          <w:lang w:eastAsia="en-US"/>
        </w:rPr>
        <w:t xml:space="preserve">praised the </w:t>
      </w:r>
      <w:r w:rsidR="009231F2" w:rsidRPr="00273718">
        <w:t>high</w:t>
      </w:r>
      <w:r w:rsidR="009231F2">
        <w:t xml:space="preserve"> </w:t>
      </w:r>
      <w:r w:rsidR="009662E5" w:rsidRPr="00273718">
        <w:t>quality outputs</w:t>
      </w:r>
      <w:r w:rsidR="009662E5">
        <w:t xml:space="preserve"> of</w:t>
      </w:r>
      <w:r w:rsidR="009662E5">
        <w:rPr>
          <w:rFonts w:eastAsia="Calibri"/>
          <w:lang w:eastAsia="en-US"/>
        </w:rPr>
        <w:t xml:space="preserve"> </w:t>
      </w:r>
      <w:r w:rsidR="009662E5">
        <w:t>p</w:t>
      </w:r>
      <w:r w:rsidR="009662E5" w:rsidRPr="00273718">
        <w:t>hotography, film</w:t>
      </w:r>
      <w:r w:rsidR="009662E5">
        <w:t xml:space="preserve">, </w:t>
      </w:r>
      <w:r w:rsidR="009662E5" w:rsidRPr="00273718">
        <w:t>digital arts</w:t>
      </w:r>
      <w:r w:rsidR="00374D67">
        <w:t>, h</w:t>
      </w:r>
      <w:r w:rsidR="009662E5" w:rsidRPr="00273718">
        <w:t>istory of art, architecture and design</w:t>
      </w:r>
      <w:r w:rsidR="00450B72">
        <w:t xml:space="preserve">, but </w:t>
      </w:r>
      <w:r w:rsidRPr="009E2CAF">
        <w:rPr>
          <w:rFonts w:eastAsia="Calibri"/>
          <w:lang w:eastAsia="en-US"/>
        </w:rPr>
        <w:t>criticised the quality of graphic design outputs:</w:t>
      </w:r>
    </w:p>
    <w:p w14:paraId="55B8745E" w14:textId="77777777" w:rsidR="00001612" w:rsidRPr="009E2CAF" w:rsidRDefault="00001612" w:rsidP="00001612">
      <w:pPr>
        <w:pStyle w:val="Displayedquotation"/>
      </w:pPr>
      <w:r w:rsidRPr="009E2CAF">
        <w:t>‘The sub-panel noted a number of weaker discipline areas that, on the evidence of submitted outputs, appeared not to have developed since RAE2008. While there were high quality exceptions, the intellectual and theoretical underpinning of graphic and communication design was thought to be generically weak’ (REF2014 Panel overview reports UoA34: Art and Design: History, Practice and Theory p.85).</w:t>
      </w:r>
    </w:p>
    <w:p w14:paraId="1D1A3EE1" w14:textId="2F74FC71" w:rsidR="00001612" w:rsidRPr="0087119C" w:rsidRDefault="009F029A" w:rsidP="00E442D0">
      <w:pPr>
        <w:pStyle w:val="Paragraph"/>
        <w:rPr>
          <w:color w:val="000000"/>
        </w:rPr>
      </w:pPr>
      <w:r>
        <w:t>Such criticisms prompted this research, along with four key convictions as to why graphic design should establish a research culture.</w:t>
      </w:r>
      <w:r w:rsidR="00C36C91">
        <w:t xml:space="preserve"> </w:t>
      </w:r>
      <w:r w:rsidR="00001612">
        <w:t xml:space="preserve">First, </w:t>
      </w:r>
      <w:r w:rsidR="00001612">
        <w:rPr>
          <w:color w:val="000000"/>
        </w:rPr>
        <w:t>d</w:t>
      </w:r>
      <w:r w:rsidR="00001612" w:rsidRPr="00F702B8">
        <w:rPr>
          <w:color w:val="000000"/>
        </w:rPr>
        <w:t>iscovery-orientated approaches, on which others build new knowledge</w:t>
      </w:r>
      <w:r w:rsidR="0025196B">
        <w:rPr>
          <w:color w:val="000000"/>
        </w:rPr>
        <w:t>,</w:t>
      </w:r>
      <w:r w:rsidR="00001612" w:rsidRPr="00F702B8">
        <w:rPr>
          <w:color w:val="000000"/>
        </w:rPr>
        <w:t xml:space="preserve"> ha</w:t>
      </w:r>
      <w:r w:rsidR="00040EE4">
        <w:rPr>
          <w:color w:val="000000"/>
        </w:rPr>
        <w:t>ve</w:t>
      </w:r>
      <w:r w:rsidR="00001612" w:rsidRPr="00F702B8">
        <w:rPr>
          <w:color w:val="000000"/>
        </w:rPr>
        <w:t xml:space="preserve"> the potential to demonstrate</w:t>
      </w:r>
      <w:r w:rsidR="00040EE4">
        <w:rPr>
          <w:color w:val="000000"/>
        </w:rPr>
        <w:t xml:space="preserve"> the</w:t>
      </w:r>
      <w:r w:rsidR="00001612" w:rsidRPr="00F702B8">
        <w:rPr>
          <w:color w:val="000000"/>
        </w:rPr>
        <w:t xml:space="preserve"> value and impact of graphic design to others (Davis 2016</w:t>
      </w:r>
      <w:r w:rsidR="0025196B">
        <w:rPr>
          <w:color w:val="000000"/>
        </w:rPr>
        <w:t>)</w:t>
      </w:r>
      <w:r w:rsidR="00001612" w:rsidRPr="00F702B8">
        <w:rPr>
          <w:color w:val="000000"/>
        </w:rPr>
        <w:t xml:space="preserve"> and </w:t>
      </w:r>
      <w:r w:rsidR="00001612">
        <w:rPr>
          <w:color w:val="000000"/>
        </w:rPr>
        <w:t>drive</w:t>
      </w:r>
      <w:r w:rsidR="00001612" w:rsidRPr="00F702B8">
        <w:rPr>
          <w:color w:val="000000"/>
        </w:rPr>
        <w:t xml:space="preserve"> the continual transformation of graphic design into more meaningful practice</w:t>
      </w:r>
      <w:r w:rsidR="00001612">
        <w:rPr>
          <w:color w:val="000000"/>
        </w:rPr>
        <w:t xml:space="preserve"> (Poynor 2009; Ross 2018). Second,</w:t>
      </w:r>
      <w:r w:rsidR="007D5E3A">
        <w:rPr>
          <w:color w:val="000000"/>
        </w:rPr>
        <w:t xml:space="preserve"> </w:t>
      </w:r>
      <w:r w:rsidR="00001612" w:rsidRPr="004A6D49">
        <w:rPr>
          <w:color w:val="000000"/>
        </w:rPr>
        <w:t>there is still work to be done to shift persistent perceptions of graphic design as an aesthetic-led and intuition</w:t>
      </w:r>
      <w:r w:rsidR="00040EE4">
        <w:rPr>
          <w:color w:val="000000"/>
        </w:rPr>
        <w:t>-</w:t>
      </w:r>
      <w:r w:rsidR="00001612" w:rsidRPr="004A6D49">
        <w:rPr>
          <w:color w:val="000000"/>
        </w:rPr>
        <w:t>based activity</w:t>
      </w:r>
      <w:r w:rsidR="007D5E3A" w:rsidRPr="007D5E3A">
        <w:rPr>
          <w:color w:val="000000"/>
        </w:rPr>
        <w:t xml:space="preserve"> </w:t>
      </w:r>
      <w:r w:rsidR="007D5E3A">
        <w:rPr>
          <w:color w:val="000000"/>
        </w:rPr>
        <w:t>(</w:t>
      </w:r>
      <w:r w:rsidR="007D5E3A" w:rsidRPr="00FA5077">
        <w:rPr>
          <w:color w:val="000000"/>
        </w:rPr>
        <w:t>Walker 2017</w:t>
      </w:r>
      <w:r w:rsidR="007D5E3A">
        <w:rPr>
          <w:color w:val="000000"/>
        </w:rPr>
        <w:t xml:space="preserve">; </w:t>
      </w:r>
      <w:r w:rsidR="007D5E3A" w:rsidRPr="00FA5077">
        <w:rPr>
          <w:color w:val="000000"/>
        </w:rPr>
        <w:t xml:space="preserve">Cabianca </w:t>
      </w:r>
      <w:r w:rsidR="007D5E3A" w:rsidRPr="004A6D49">
        <w:rPr>
          <w:color w:val="000000"/>
        </w:rPr>
        <w:t>2016</w:t>
      </w:r>
      <w:r w:rsidR="007D5E3A">
        <w:rPr>
          <w:color w:val="000000"/>
        </w:rPr>
        <w:t>)</w:t>
      </w:r>
      <w:r w:rsidR="00C55BC1">
        <w:rPr>
          <w:color w:val="000000"/>
        </w:rPr>
        <w:t>.</w:t>
      </w:r>
      <w:r w:rsidR="0087119C" w:rsidRPr="0087119C">
        <w:rPr>
          <w:color w:val="000000"/>
        </w:rPr>
        <w:t xml:space="preserve"> </w:t>
      </w:r>
      <w:r w:rsidR="00001612" w:rsidRPr="004A6D49">
        <w:rPr>
          <w:color w:val="000000"/>
        </w:rPr>
        <w:t xml:space="preserve">Third, </w:t>
      </w:r>
      <w:r w:rsidR="00001612" w:rsidRPr="004A6D49">
        <w:t>an established research culture would present clearer pathways for career progression.</w:t>
      </w:r>
      <w:r w:rsidR="00CD49C3" w:rsidRPr="0047444A">
        <w:rPr>
          <w:color w:val="000000" w:themeColor="text1"/>
        </w:rPr>
        <w:t xml:space="preserve"> </w:t>
      </w:r>
      <w:r w:rsidR="00001612" w:rsidRPr="004A6D49">
        <w:rPr>
          <w:color w:val="000000" w:themeColor="text1"/>
        </w:rPr>
        <w:t>F</w:t>
      </w:r>
      <w:r w:rsidR="007D5E3A">
        <w:rPr>
          <w:color w:val="000000" w:themeColor="text1"/>
        </w:rPr>
        <w:t>ourth</w:t>
      </w:r>
      <w:r w:rsidR="00001612" w:rsidRPr="00FA5077">
        <w:rPr>
          <w:color w:val="000000" w:themeColor="text1"/>
        </w:rPr>
        <w:t>, i</w:t>
      </w:r>
      <w:r w:rsidR="00001612" w:rsidRPr="001E23AC">
        <w:t>n a UK context, the growth in numbers of students studying graphic design over the last twenty years provides added impetus and responsibility to establish an academic research culture</w:t>
      </w:r>
      <w:r w:rsidR="00181C67">
        <w:t xml:space="preserve"> that </w:t>
      </w:r>
      <w:r w:rsidR="006A27C9">
        <w:t>amounts to</w:t>
      </w:r>
      <w:r w:rsidR="00181C67">
        <w:t xml:space="preserve"> more tha</w:t>
      </w:r>
      <w:r w:rsidR="006A27C9">
        <w:t>n</w:t>
      </w:r>
      <w:r w:rsidR="00181C67">
        <w:t xml:space="preserve"> the</w:t>
      </w:r>
      <w:r w:rsidR="006A27C9">
        <w:t xml:space="preserve"> reproduction of </w:t>
      </w:r>
      <w:r w:rsidR="006A27C9">
        <w:lastRenderedPageBreak/>
        <w:t>industrial practice as the dominant paradig</w:t>
      </w:r>
      <w:r w:rsidR="00DF4F74">
        <w:t>m</w:t>
      </w:r>
      <w:r w:rsidR="00001612" w:rsidRPr="001E23AC">
        <w:t xml:space="preserve">. In the decade </w:t>
      </w:r>
      <w:r w:rsidR="006F5471">
        <w:t xml:space="preserve">before </w:t>
      </w:r>
      <w:r w:rsidR="00001612" w:rsidRPr="001E23AC">
        <w:t xml:space="preserve">REF2014, the number of students studying creative art and design subjects grew by 14.7% (Universities UK 2015). Within this figure, graphic design </w:t>
      </w:r>
      <w:r w:rsidR="006F5471">
        <w:t>continues</w:t>
      </w:r>
      <w:r w:rsidR="00001612" w:rsidRPr="001E23AC">
        <w:t xml:space="preserve"> to be the largest subject. A UCAS search for</w:t>
      </w:r>
      <w:r w:rsidR="008C24F8">
        <w:t xml:space="preserve"> undergraduate</w:t>
      </w:r>
      <w:r w:rsidR="00001612" w:rsidRPr="001E23AC">
        <w:t xml:space="preserve"> UK higher education courses in ‘graphic design’, ‘graphic communication’,</w:t>
      </w:r>
      <w:r w:rsidR="006A27C9">
        <w:t xml:space="preserve"> and</w:t>
      </w:r>
      <w:r w:rsidR="00001612" w:rsidRPr="001E23AC">
        <w:t xml:space="preserve"> ‘illustration’ for the academic year 2019–2020 returned 378 courses from 131 provider</w:t>
      </w:r>
      <w:r w:rsidR="00001612" w:rsidRPr="00967E9F">
        <w:t>s.</w:t>
      </w:r>
      <w:r w:rsidR="00001612" w:rsidRPr="001E23AC">
        <w:t xml:space="preserve"> </w:t>
      </w:r>
    </w:p>
    <w:p w14:paraId="5A8AD8C5" w14:textId="182EC72C" w:rsidR="00001612" w:rsidRDefault="00001612" w:rsidP="00001612">
      <w:pPr>
        <w:pStyle w:val="Paragraph"/>
      </w:pPr>
      <w:r w:rsidRPr="00E94C26">
        <w:rPr>
          <w:rStyle w:val="Heading2Char"/>
        </w:rPr>
        <w:t>Research Excellence Framework</w:t>
      </w:r>
      <w:r>
        <w:rPr>
          <w:b/>
        </w:rPr>
        <w:br/>
      </w:r>
      <w:r w:rsidRPr="00273718">
        <w:t>The census period for REF2014 ran from 1 January 2008 to 31 December 2013</w:t>
      </w:r>
      <w:r>
        <w:t>,</w:t>
      </w:r>
      <w:r w:rsidRPr="00273718">
        <w:t xml:space="preserve"> with a submission date of 29 November 2013. Submission data, therefore, provides a snapshot of HE research activity in the UK for the census period. Results were published in December 2014</w:t>
      </w:r>
      <w:r>
        <w:t>,</w:t>
      </w:r>
      <w:r w:rsidRPr="00273718">
        <w:t xml:space="preserve"> along with overview reports at Unit of Assessment level.</w:t>
      </w:r>
      <w:r w:rsidR="006F5471">
        <w:t xml:space="preserve"> These are available to view on the REF2014 website</w:t>
      </w:r>
      <w:r w:rsidR="00C55BC1">
        <w:t>,</w:t>
      </w:r>
      <w:r w:rsidR="006F5471">
        <w:t xml:space="preserve"> </w:t>
      </w:r>
      <w:r w:rsidRPr="00273718">
        <w:t xml:space="preserve">however individual scores for outputs are not available. </w:t>
      </w:r>
    </w:p>
    <w:p w14:paraId="1BAAF4C8" w14:textId="7278A538" w:rsidR="00001612" w:rsidRDefault="00450B72" w:rsidP="00981584">
      <w:pPr>
        <w:pStyle w:val="Paragraph"/>
      </w:pPr>
      <w:r w:rsidRPr="00981584">
        <w:t>O</w:t>
      </w:r>
      <w:r w:rsidR="00001612" w:rsidRPr="00981584">
        <w:t>utputs</w:t>
      </w:r>
      <w:r w:rsidR="00001612" w:rsidRPr="00273718">
        <w:t xml:space="preserve"> were assessed </w:t>
      </w:r>
      <w:r w:rsidR="006B5499">
        <w:t>against criteria of significance, originality and rigour</w:t>
      </w:r>
      <w:r w:rsidR="006B5499" w:rsidRPr="00273718">
        <w:t xml:space="preserve"> </w:t>
      </w:r>
      <w:r w:rsidR="00001612" w:rsidRPr="00273718">
        <w:t>using a star rating system reflecting quality as follows: 4* world-leading, 3* internationally excellent, 2* recognised internationally, 1* recognised nationally, and unclassified</w:t>
      </w:r>
      <w:r w:rsidR="00C55BC1">
        <w:t>,</w:t>
      </w:r>
      <w:r w:rsidR="00001612" w:rsidRPr="00273718">
        <w:t xml:space="preserve"> falling below the standard of nationally recognised work </w:t>
      </w:r>
      <w:r w:rsidR="0025196B">
        <w:t>or not satisfying the REF definition of research.</w:t>
      </w:r>
      <w:r w:rsidR="0025196B" w:rsidRPr="00273718">
        <w:t xml:space="preserve"> </w:t>
      </w:r>
      <w:r w:rsidR="00001612" w:rsidRPr="00273718">
        <w:t>Submissions were made by 154 HEIs to 36 Units of Assessment (</w:t>
      </w:r>
      <w:r w:rsidR="007D5E3A">
        <w:t xml:space="preserve">hereafter </w:t>
      </w:r>
      <w:r w:rsidR="00001612" w:rsidRPr="00273718">
        <w:t>UoA). UoA34 Art &amp; Design: History, Practice and Theory</w:t>
      </w:r>
      <w:r w:rsidR="00001612">
        <w:t xml:space="preserve"> (referred to as UoA34 from here on)</w:t>
      </w:r>
      <w:r w:rsidR="00001612" w:rsidRPr="00273718">
        <w:t xml:space="preserve">, </w:t>
      </w:r>
      <w:r w:rsidR="00275533">
        <w:t>attracted</w:t>
      </w:r>
      <w:r w:rsidR="00001612">
        <w:t xml:space="preserve"> </w:t>
      </w:r>
      <w:r w:rsidR="008C24F8">
        <w:t xml:space="preserve">84 </w:t>
      </w:r>
      <w:r w:rsidR="00001612">
        <w:t>submissions from 81 institutions</w:t>
      </w:r>
      <w:r w:rsidR="008C24F8">
        <w:t xml:space="preserve"> and consisted of </w:t>
      </w:r>
      <w:r w:rsidR="00001612" w:rsidRPr="00273718">
        <w:t xml:space="preserve">6,356 outputs across </w:t>
      </w:r>
      <w:r w:rsidR="00001612" w:rsidRPr="004A6D49">
        <w:t>21</w:t>
      </w:r>
      <w:r w:rsidR="00001612" w:rsidRPr="00273718">
        <w:t xml:space="preserve"> output types (</w:t>
      </w:r>
      <w:r w:rsidR="00275533">
        <w:t>see figure 1</w:t>
      </w:r>
      <w:r w:rsidR="00001612" w:rsidRPr="00273718">
        <w:t>). Table 1 provides a breakdown of the UoA34 average quality profiles (see Main Panel D report</w:t>
      </w:r>
      <w:r w:rsidR="00001612">
        <w:t>).</w:t>
      </w:r>
    </w:p>
    <w:p w14:paraId="087D4FC3" w14:textId="77777777" w:rsidR="00001612" w:rsidRDefault="00001612" w:rsidP="00001612">
      <w:pPr>
        <w:pStyle w:val="Newparagraph"/>
      </w:pPr>
    </w:p>
    <w:p w14:paraId="4A699AAB" w14:textId="77777777" w:rsidR="00001612" w:rsidRPr="00BE67D8" w:rsidRDefault="00001612" w:rsidP="00001612">
      <w:pPr>
        <w:pStyle w:val="Tabletitle"/>
      </w:pPr>
      <w:r w:rsidRPr="00BE67D8">
        <w:t>Table 1</w:t>
      </w:r>
      <w:r>
        <w:t xml:space="preserve">: </w:t>
      </w:r>
      <w:r w:rsidRPr="00BE67D8">
        <w:t xml:space="preserve">Quality profiles for UoA34. </w:t>
      </w:r>
    </w:p>
    <w:tbl>
      <w:tblPr>
        <w:tblStyle w:val="TableGrid"/>
        <w:tblW w:w="0" w:type="auto"/>
        <w:tblLook w:val="04A0" w:firstRow="1" w:lastRow="0" w:firstColumn="1" w:lastColumn="0" w:noHBand="0" w:noVBand="1"/>
      </w:tblPr>
      <w:tblGrid>
        <w:gridCol w:w="2926"/>
        <w:gridCol w:w="1050"/>
        <w:gridCol w:w="1109"/>
        <w:gridCol w:w="1109"/>
        <w:gridCol w:w="1105"/>
        <w:gridCol w:w="1190"/>
      </w:tblGrid>
      <w:tr w:rsidR="00001612" w:rsidRPr="00273718" w14:paraId="0716BCF8" w14:textId="77777777" w:rsidTr="009F029A">
        <w:tc>
          <w:tcPr>
            <w:tcW w:w="2926" w:type="dxa"/>
          </w:tcPr>
          <w:p w14:paraId="505F801D" w14:textId="77777777" w:rsidR="00001612" w:rsidRPr="00273718" w:rsidRDefault="00001612" w:rsidP="00F24B9C">
            <w:pPr>
              <w:pStyle w:val="xTableText"/>
            </w:pPr>
          </w:p>
        </w:tc>
        <w:tc>
          <w:tcPr>
            <w:tcW w:w="1050" w:type="dxa"/>
          </w:tcPr>
          <w:p w14:paraId="7AC2CB3F" w14:textId="77777777" w:rsidR="00001612" w:rsidRPr="00273718" w:rsidRDefault="00001612" w:rsidP="00F24B9C">
            <w:pPr>
              <w:pStyle w:val="xTableText"/>
            </w:pPr>
            <w:r w:rsidRPr="00273718">
              <w:t>4*</w:t>
            </w:r>
            <w:r>
              <w:t xml:space="preserve"> (%)</w:t>
            </w:r>
          </w:p>
        </w:tc>
        <w:tc>
          <w:tcPr>
            <w:tcW w:w="1109" w:type="dxa"/>
          </w:tcPr>
          <w:p w14:paraId="1DFC339D" w14:textId="77777777" w:rsidR="00001612" w:rsidRPr="00273718" w:rsidRDefault="00001612" w:rsidP="00F24B9C">
            <w:pPr>
              <w:pStyle w:val="xTableText"/>
            </w:pPr>
            <w:r w:rsidRPr="00273718">
              <w:t>3*</w:t>
            </w:r>
            <w:r>
              <w:t xml:space="preserve"> (%)</w:t>
            </w:r>
          </w:p>
        </w:tc>
        <w:tc>
          <w:tcPr>
            <w:tcW w:w="1109" w:type="dxa"/>
          </w:tcPr>
          <w:p w14:paraId="6F54CE19" w14:textId="77777777" w:rsidR="00001612" w:rsidRPr="00273718" w:rsidRDefault="00001612" w:rsidP="00F24B9C">
            <w:pPr>
              <w:pStyle w:val="xTableText"/>
            </w:pPr>
            <w:r w:rsidRPr="00273718">
              <w:t>2*</w:t>
            </w:r>
            <w:r>
              <w:t xml:space="preserve"> (%)</w:t>
            </w:r>
          </w:p>
        </w:tc>
        <w:tc>
          <w:tcPr>
            <w:tcW w:w="1105" w:type="dxa"/>
          </w:tcPr>
          <w:p w14:paraId="23737A89" w14:textId="77777777" w:rsidR="00001612" w:rsidRPr="00273718" w:rsidRDefault="00001612" w:rsidP="00F24B9C">
            <w:pPr>
              <w:pStyle w:val="xTableText"/>
            </w:pPr>
            <w:r w:rsidRPr="00273718">
              <w:t>1*</w:t>
            </w:r>
            <w:r>
              <w:t xml:space="preserve"> (%)</w:t>
            </w:r>
          </w:p>
        </w:tc>
        <w:tc>
          <w:tcPr>
            <w:tcW w:w="1190" w:type="dxa"/>
          </w:tcPr>
          <w:p w14:paraId="2030B183" w14:textId="77777777" w:rsidR="00001612" w:rsidRPr="00273718" w:rsidRDefault="00001612" w:rsidP="00F24B9C">
            <w:pPr>
              <w:pStyle w:val="xTableText"/>
            </w:pPr>
            <w:r w:rsidRPr="00273718">
              <w:t>Unclassified</w:t>
            </w:r>
          </w:p>
        </w:tc>
      </w:tr>
      <w:tr w:rsidR="00001612" w:rsidRPr="00273718" w14:paraId="0E82B56A" w14:textId="77777777" w:rsidTr="009F029A">
        <w:trPr>
          <w:trHeight w:val="282"/>
        </w:trPr>
        <w:tc>
          <w:tcPr>
            <w:tcW w:w="2926" w:type="dxa"/>
          </w:tcPr>
          <w:p w14:paraId="0E5C296C" w14:textId="77777777" w:rsidR="00001612" w:rsidRPr="00273718" w:rsidRDefault="00001612" w:rsidP="00F24B9C">
            <w:pPr>
              <w:pStyle w:val="xTableText"/>
              <w:rPr>
                <w:b/>
              </w:rPr>
            </w:pPr>
            <w:r w:rsidRPr="00273718">
              <w:rPr>
                <w:b/>
              </w:rPr>
              <w:t>Overall quality</w:t>
            </w:r>
          </w:p>
        </w:tc>
        <w:tc>
          <w:tcPr>
            <w:tcW w:w="1050" w:type="dxa"/>
          </w:tcPr>
          <w:p w14:paraId="00ADD7F9" w14:textId="77777777" w:rsidR="00001612" w:rsidRPr="00273718" w:rsidRDefault="00001612" w:rsidP="00F24B9C">
            <w:pPr>
              <w:pStyle w:val="xTableText"/>
              <w:rPr>
                <w:b/>
              </w:rPr>
            </w:pPr>
            <w:r w:rsidRPr="00273718">
              <w:rPr>
                <w:b/>
              </w:rPr>
              <w:t>26.0</w:t>
            </w:r>
          </w:p>
        </w:tc>
        <w:tc>
          <w:tcPr>
            <w:tcW w:w="1109" w:type="dxa"/>
          </w:tcPr>
          <w:p w14:paraId="284326BA" w14:textId="77777777" w:rsidR="00001612" w:rsidRPr="00273718" w:rsidRDefault="00001612" w:rsidP="00F24B9C">
            <w:pPr>
              <w:pStyle w:val="xTableText"/>
              <w:rPr>
                <w:b/>
              </w:rPr>
            </w:pPr>
            <w:r w:rsidRPr="00273718">
              <w:rPr>
                <w:b/>
              </w:rPr>
              <w:t>42.0</w:t>
            </w:r>
          </w:p>
        </w:tc>
        <w:tc>
          <w:tcPr>
            <w:tcW w:w="1109" w:type="dxa"/>
          </w:tcPr>
          <w:p w14:paraId="33317B0C" w14:textId="77777777" w:rsidR="00001612" w:rsidRPr="00273718" w:rsidRDefault="00001612" w:rsidP="00F24B9C">
            <w:pPr>
              <w:pStyle w:val="xTableText"/>
              <w:rPr>
                <w:b/>
              </w:rPr>
            </w:pPr>
            <w:r w:rsidRPr="00273718">
              <w:rPr>
                <w:b/>
              </w:rPr>
              <w:t>25</w:t>
            </w:r>
          </w:p>
        </w:tc>
        <w:tc>
          <w:tcPr>
            <w:tcW w:w="1105" w:type="dxa"/>
          </w:tcPr>
          <w:p w14:paraId="0C4A59A9" w14:textId="77777777" w:rsidR="00001612" w:rsidRPr="00273718" w:rsidRDefault="00001612" w:rsidP="00F24B9C">
            <w:pPr>
              <w:pStyle w:val="xTableText"/>
              <w:rPr>
                <w:b/>
              </w:rPr>
            </w:pPr>
            <w:r w:rsidRPr="00273718">
              <w:rPr>
                <w:b/>
              </w:rPr>
              <w:t>6.0</w:t>
            </w:r>
          </w:p>
        </w:tc>
        <w:tc>
          <w:tcPr>
            <w:tcW w:w="1190" w:type="dxa"/>
          </w:tcPr>
          <w:p w14:paraId="1B5E5F82" w14:textId="77777777" w:rsidR="00001612" w:rsidRPr="00273718" w:rsidRDefault="00001612" w:rsidP="00F24B9C">
            <w:pPr>
              <w:pStyle w:val="xTableText"/>
              <w:rPr>
                <w:b/>
              </w:rPr>
            </w:pPr>
            <w:r w:rsidRPr="00273718">
              <w:rPr>
                <w:b/>
              </w:rPr>
              <w:t>1</w:t>
            </w:r>
          </w:p>
        </w:tc>
      </w:tr>
      <w:tr w:rsidR="00001612" w:rsidRPr="00273718" w14:paraId="5457A8A0" w14:textId="77777777" w:rsidTr="009F029A">
        <w:tc>
          <w:tcPr>
            <w:tcW w:w="2926" w:type="dxa"/>
          </w:tcPr>
          <w:p w14:paraId="477661A9" w14:textId="77777777" w:rsidR="00001612" w:rsidRPr="00273718" w:rsidRDefault="00001612" w:rsidP="00F24B9C">
            <w:pPr>
              <w:pStyle w:val="xTableText"/>
            </w:pPr>
            <w:r w:rsidRPr="00273718">
              <w:t>Outputs</w:t>
            </w:r>
          </w:p>
        </w:tc>
        <w:tc>
          <w:tcPr>
            <w:tcW w:w="1050" w:type="dxa"/>
          </w:tcPr>
          <w:p w14:paraId="238D70CB" w14:textId="77777777" w:rsidR="00001612" w:rsidRPr="00273718" w:rsidRDefault="00001612" w:rsidP="00F24B9C">
            <w:pPr>
              <w:pStyle w:val="xTableText"/>
            </w:pPr>
            <w:r w:rsidRPr="00273718">
              <w:t>18.5</w:t>
            </w:r>
          </w:p>
        </w:tc>
        <w:tc>
          <w:tcPr>
            <w:tcW w:w="1109" w:type="dxa"/>
          </w:tcPr>
          <w:p w14:paraId="042CD632" w14:textId="77777777" w:rsidR="00001612" w:rsidRPr="00273718" w:rsidRDefault="00001612" w:rsidP="00F24B9C">
            <w:pPr>
              <w:pStyle w:val="xTableText"/>
            </w:pPr>
            <w:r w:rsidRPr="00273718">
              <w:t>42.6</w:t>
            </w:r>
          </w:p>
        </w:tc>
        <w:tc>
          <w:tcPr>
            <w:tcW w:w="1109" w:type="dxa"/>
          </w:tcPr>
          <w:p w14:paraId="4721E35A" w14:textId="77777777" w:rsidR="00001612" w:rsidRPr="00273718" w:rsidRDefault="00001612" w:rsidP="00F24B9C">
            <w:pPr>
              <w:pStyle w:val="xTableText"/>
            </w:pPr>
            <w:r w:rsidRPr="00273718">
              <w:t>30</w:t>
            </w:r>
          </w:p>
        </w:tc>
        <w:tc>
          <w:tcPr>
            <w:tcW w:w="1105" w:type="dxa"/>
          </w:tcPr>
          <w:p w14:paraId="7A1BCD75" w14:textId="77777777" w:rsidR="00001612" w:rsidRPr="00273718" w:rsidRDefault="00001612" w:rsidP="00F24B9C">
            <w:pPr>
              <w:pStyle w:val="xTableText"/>
            </w:pPr>
            <w:r w:rsidRPr="00273718">
              <w:t>7.7</w:t>
            </w:r>
          </w:p>
        </w:tc>
        <w:tc>
          <w:tcPr>
            <w:tcW w:w="1190" w:type="dxa"/>
          </w:tcPr>
          <w:p w14:paraId="17A5F293" w14:textId="77777777" w:rsidR="00001612" w:rsidRPr="00273718" w:rsidRDefault="00001612" w:rsidP="00F24B9C">
            <w:pPr>
              <w:pStyle w:val="xTableText"/>
            </w:pPr>
            <w:r w:rsidRPr="00273718">
              <w:t>1.2</w:t>
            </w:r>
          </w:p>
        </w:tc>
      </w:tr>
    </w:tbl>
    <w:p w14:paraId="37C2DDB7" w14:textId="77777777" w:rsidR="00B13304" w:rsidRDefault="00B13304" w:rsidP="00001612">
      <w:pPr>
        <w:pStyle w:val="Paragraph"/>
      </w:pPr>
    </w:p>
    <w:p w14:paraId="39C92A91" w14:textId="496198F2" w:rsidR="00001612" w:rsidRDefault="00001612" w:rsidP="00001612">
      <w:pPr>
        <w:pStyle w:val="Paragraph"/>
      </w:pPr>
      <w:r w:rsidRPr="00273718">
        <w:t>All REF2014 submission data, with the exception of staff contractual details, was made publ</w:t>
      </w:r>
      <w:r w:rsidR="000F4A1F">
        <w:t>i</w:t>
      </w:r>
      <w:r w:rsidRPr="00273718">
        <w:t>cly available in January 2015. Output data and staff data were published separately and so</w:t>
      </w:r>
      <w:r w:rsidR="00374D67">
        <w:t xml:space="preserve"> </w:t>
      </w:r>
      <w:r w:rsidRPr="00273718">
        <w:t>it is not possible to link outputs to individual staff names.</w:t>
      </w:r>
    </w:p>
    <w:p w14:paraId="52966C5F" w14:textId="07BB2C52" w:rsidR="00001612" w:rsidRPr="00001612" w:rsidRDefault="00001612" w:rsidP="00001612">
      <w:pPr>
        <w:pStyle w:val="Heading1"/>
        <w:rPr>
          <w:lang w:val="en-US"/>
        </w:rPr>
      </w:pPr>
      <w:r w:rsidRPr="006A2850">
        <w:rPr>
          <w:lang w:val="en-US"/>
        </w:rPr>
        <w:t>RESEARCH QUESTIONS</w:t>
      </w:r>
    </w:p>
    <w:p w14:paraId="6FC86B13" w14:textId="7A4BA809" w:rsidR="00001612" w:rsidRPr="00E96091" w:rsidRDefault="006951C5" w:rsidP="00001612">
      <w:pPr>
        <w:pStyle w:val="Normalparagraphstyle"/>
        <w:rPr>
          <w:color w:val="000000" w:themeColor="text1"/>
        </w:rPr>
      </w:pPr>
      <w:r>
        <w:t>W</w:t>
      </w:r>
      <w:r w:rsidR="00001612">
        <w:t xml:space="preserve">e undertook </w:t>
      </w:r>
      <w:r w:rsidR="00001612" w:rsidRPr="007B0DDD">
        <w:t>a retrospective analysis of</w:t>
      </w:r>
      <w:r w:rsidR="0087119C">
        <w:t xml:space="preserve"> the publicly available data in UoA34 </w:t>
      </w:r>
      <w:r w:rsidR="00001612" w:rsidRPr="007B0DDD">
        <w:t xml:space="preserve">to assess the </w:t>
      </w:r>
      <w:r>
        <w:t>contribution</w:t>
      </w:r>
      <w:r w:rsidR="00374D67">
        <w:t xml:space="preserve"> </w:t>
      </w:r>
      <w:r w:rsidR="00C55BC1">
        <w:rPr>
          <w:lang w:val="en-US"/>
        </w:rPr>
        <w:t>and</w:t>
      </w:r>
      <w:r w:rsidR="0025196B">
        <w:rPr>
          <w:lang w:val="en-US"/>
        </w:rPr>
        <w:t xml:space="preserve"> validity of</w:t>
      </w:r>
      <w:r w:rsidR="0025196B" w:rsidRPr="007B0DDD">
        <w:t xml:space="preserve"> </w:t>
      </w:r>
      <w:r w:rsidR="0025196B">
        <w:t>criticisms levelled against the</w:t>
      </w:r>
      <w:r w:rsidR="00792C05">
        <w:t xml:space="preserve"> intellectual and</w:t>
      </w:r>
      <w:r w:rsidR="0025196B">
        <w:t xml:space="preserve"> theoretical underpinning of graphic design made in the overview report. </w:t>
      </w:r>
      <w:r>
        <w:t>T</w:t>
      </w:r>
      <w:r w:rsidR="00001612">
        <w:t xml:space="preserve">hree </w:t>
      </w:r>
      <w:r w:rsidR="00001612" w:rsidRPr="007B0DDD">
        <w:t>research questions</w:t>
      </w:r>
      <w:r w:rsidR="00001612">
        <w:t xml:space="preserve"> steered the </w:t>
      </w:r>
      <w:r w:rsidR="007D5E3A">
        <w:t>research</w:t>
      </w:r>
      <w:r w:rsidR="00001612" w:rsidRPr="007B0DDD">
        <w:t>:</w:t>
      </w:r>
    </w:p>
    <w:p w14:paraId="76C0ADB0" w14:textId="16573B4C" w:rsidR="00001612" w:rsidRPr="00E94C26" w:rsidRDefault="00001612" w:rsidP="00E94C26">
      <w:pPr>
        <w:pStyle w:val="ListNumber2"/>
      </w:pPr>
      <w:r w:rsidRPr="00E94C26">
        <w:t>What were the volume, output types</w:t>
      </w:r>
      <w:r w:rsidR="00374D67">
        <w:t xml:space="preserve"> a</w:t>
      </w:r>
      <w:r w:rsidR="00DB638F">
        <w:t xml:space="preserve">nd institutional distribution </w:t>
      </w:r>
      <w:r w:rsidRPr="00E94C26">
        <w:t xml:space="preserve">of graphic design outputs </w:t>
      </w:r>
      <w:r w:rsidR="003823D8">
        <w:t xml:space="preserve">submitted </w:t>
      </w:r>
      <w:r w:rsidRPr="00E94C26">
        <w:t>to REF2014?</w:t>
      </w:r>
    </w:p>
    <w:p w14:paraId="5FEC7DF1" w14:textId="77777777" w:rsidR="00981584" w:rsidRDefault="00981584" w:rsidP="00981584">
      <w:pPr>
        <w:pStyle w:val="ListNumber2"/>
        <w:rPr>
          <w:rFonts w:eastAsiaTheme="minorHAnsi"/>
        </w:rPr>
      </w:pPr>
      <w:r>
        <w:rPr>
          <w:rFonts w:eastAsiaTheme="minorHAnsi"/>
        </w:rPr>
        <w:t>What does an analysis of the additional information fields reveal about the criticisms directed towards graphic design research in REF 2014?</w:t>
      </w:r>
    </w:p>
    <w:p w14:paraId="5DFA8A58" w14:textId="6480C5FF" w:rsidR="00001612" w:rsidRPr="00E94C26" w:rsidRDefault="00001612" w:rsidP="00E94C26">
      <w:pPr>
        <w:pStyle w:val="ListNumber2"/>
      </w:pPr>
      <w:r w:rsidRPr="00E94C26">
        <w:t>What contextual factors contributed to a poor showing in REF2014 and what can be done to improve</w:t>
      </w:r>
      <w:r w:rsidR="003823D8">
        <w:t xml:space="preserve"> th</w:t>
      </w:r>
      <w:r w:rsidR="00D55966">
        <w:t>is</w:t>
      </w:r>
      <w:r w:rsidR="003823D8">
        <w:t xml:space="preserve"> </w:t>
      </w:r>
      <w:r w:rsidR="00D55966">
        <w:t>situation</w:t>
      </w:r>
      <w:r w:rsidRPr="00E94C26">
        <w:t>?</w:t>
      </w:r>
    </w:p>
    <w:p w14:paraId="1725A96A" w14:textId="77777777" w:rsidR="00922806" w:rsidRDefault="00922806" w:rsidP="00001612">
      <w:pPr>
        <w:pStyle w:val="Newparagraph"/>
        <w:rPr>
          <w:rFonts w:eastAsiaTheme="minorHAnsi"/>
        </w:rPr>
      </w:pPr>
    </w:p>
    <w:p w14:paraId="61A01292" w14:textId="77777777" w:rsidR="00020D6F" w:rsidRPr="00886454" w:rsidRDefault="00020D6F" w:rsidP="00020D6F">
      <w:pPr>
        <w:pStyle w:val="Heading1"/>
      </w:pPr>
      <w:r w:rsidRPr="008C6DB1">
        <w:t>METHODOLOGY</w:t>
      </w:r>
      <w:r>
        <w:t xml:space="preserve"> AND RESULTS</w:t>
      </w:r>
    </w:p>
    <w:p w14:paraId="07437991" w14:textId="06BA7CC4" w:rsidR="00087408" w:rsidRPr="00BF4CC8" w:rsidRDefault="007D5E3A" w:rsidP="00087408">
      <w:pPr>
        <w:pStyle w:val="Paragraph"/>
        <w:rPr>
          <w:lang w:eastAsia="en-US"/>
        </w:rPr>
      </w:pPr>
      <w:r>
        <w:rPr>
          <w:lang w:eastAsia="en-US"/>
        </w:rPr>
        <w:t>We</w:t>
      </w:r>
      <w:r w:rsidR="00C62319" w:rsidRPr="00C62319">
        <w:rPr>
          <w:lang w:eastAsia="en-US"/>
        </w:rPr>
        <w:t xml:space="preserve"> adopted a mixed-methods approach, utilising quantitative and qualitative REF data. The number and type of </w:t>
      </w:r>
      <w:r w:rsidR="007A5403">
        <w:rPr>
          <w:lang w:eastAsia="en-US"/>
        </w:rPr>
        <w:t xml:space="preserve">outputs </w:t>
      </w:r>
      <w:r w:rsidR="00C62319" w:rsidRPr="00C62319">
        <w:rPr>
          <w:lang w:eastAsia="en-US"/>
        </w:rPr>
        <w:t>w</w:t>
      </w:r>
      <w:r w:rsidR="00374D67">
        <w:rPr>
          <w:lang w:eastAsia="en-US"/>
        </w:rPr>
        <w:t>ere e</w:t>
      </w:r>
      <w:r w:rsidR="00C62319" w:rsidRPr="00C62319">
        <w:rPr>
          <w:lang w:eastAsia="en-US"/>
        </w:rPr>
        <w:t xml:space="preserve">stablished through a combination of keyword search and a content analysis of the additional information fields. In </w:t>
      </w:r>
      <w:r w:rsidR="00DB4863">
        <w:rPr>
          <w:lang w:eastAsia="en-US"/>
        </w:rPr>
        <w:t>parallel</w:t>
      </w:r>
      <w:r w:rsidR="00C62319" w:rsidRPr="00C62319">
        <w:rPr>
          <w:lang w:eastAsia="en-US"/>
        </w:rPr>
        <w:t xml:space="preserve">, a series of focus group activities were undertaken with graphic design academics. These methods </w:t>
      </w:r>
      <w:r w:rsidR="007A5403">
        <w:rPr>
          <w:lang w:eastAsia="en-US"/>
        </w:rPr>
        <w:t xml:space="preserve">and the results </w:t>
      </w:r>
      <w:r w:rsidR="00C62319" w:rsidRPr="00C62319">
        <w:rPr>
          <w:lang w:eastAsia="en-US"/>
        </w:rPr>
        <w:t>are reported below</w:t>
      </w:r>
      <w:r w:rsidR="006F5471">
        <w:rPr>
          <w:lang w:eastAsia="en-US"/>
        </w:rPr>
        <w:t>.</w:t>
      </w:r>
    </w:p>
    <w:p w14:paraId="6639651B" w14:textId="161C0561" w:rsidR="00001612" w:rsidRPr="00001612" w:rsidRDefault="00DB638F" w:rsidP="00001612">
      <w:pPr>
        <w:pStyle w:val="Paragraph"/>
      </w:pPr>
      <w:r>
        <w:rPr>
          <w:rStyle w:val="Heading2Char"/>
        </w:rPr>
        <w:lastRenderedPageBreak/>
        <w:t xml:space="preserve">Method (part one): keyword search of </w:t>
      </w:r>
      <w:r w:rsidR="00746BCC">
        <w:rPr>
          <w:rStyle w:val="Heading2Char"/>
        </w:rPr>
        <w:t xml:space="preserve">REF 2014 UoA 34 </w:t>
      </w:r>
      <w:r>
        <w:rPr>
          <w:rStyle w:val="Heading2Char"/>
        </w:rPr>
        <w:t xml:space="preserve">outputs </w:t>
      </w:r>
      <w:r w:rsidR="00001612">
        <w:rPr>
          <w:b/>
        </w:rPr>
        <w:br/>
      </w:r>
      <w:r w:rsidR="00052440">
        <w:t xml:space="preserve">This approach </w:t>
      </w:r>
      <w:r w:rsidR="007A5403">
        <w:t>sought the</w:t>
      </w:r>
      <w:r w:rsidR="00052440">
        <w:t xml:space="preserve"> </w:t>
      </w:r>
      <w:r w:rsidR="007A5403" w:rsidRPr="00E94C26">
        <w:t>volume, types</w:t>
      </w:r>
      <w:r w:rsidR="007A5403">
        <w:t xml:space="preserve"> and institutional distribution </w:t>
      </w:r>
      <w:r w:rsidR="007A5403" w:rsidRPr="00E94C26">
        <w:t xml:space="preserve">of graphic design outputs </w:t>
      </w:r>
      <w:r w:rsidR="007A5403">
        <w:t xml:space="preserve">submitted </w:t>
      </w:r>
      <w:r w:rsidR="007A5403" w:rsidRPr="00E94C26">
        <w:t>to REF2014</w:t>
      </w:r>
      <w:r w:rsidR="006F5471">
        <w:t xml:space="preserve">. </w:t>
      </w:r>
      <w:r w:rsidR="00052440">
        <w:t>The process of identifying graphic design research outputs focussed on the submissions data, downloaded as MS Excel spreadsheet, from the REF2014 website.</w:t>
      </w:r>
      <w:r w:rsidR="00052440" w:rsidRPr="00777368">
        <w:t xml:space="preserve"> Of the 6,356 outputs assessed by the sub-panel, 6,321 </w:t>
      </w:r>
      <w:r w:rsidR="00052440">
        <w:t>were made</w:t>
      </w:r>
      <w:r w:rsidR="00052440" w:rsidRPr="00777368">
        <w:t xml:space="preserve"> publicly available </w:t>
      </w:r>
      <w:r w:rsidR="00052440">
        <w:t>following</w:t>
      </w:r>
      <w:r w:rsidR="00052440" w:rsidRPr="00777368">
        <w:t xml:space="preserve"> the removal of outputs flagged as confidential (for commercial or other reasons). It is important to note that </w:t>
      </w:r>
      <w:r w:rsidR="00052440">
        <w:t>HEIs</w:t>
      </w:r>
      <w:r w:rsidR="00052440" w:rsidRPr="00CD49C3">
        <w:t xml:space="preserve"> were </w:t>
      </w:r>
      <w:r w:rsidR="00052440" w:rsidRPr="00777368">
        <w:t>free to select which staff and outputs to include in each UoA, so REF2014 outputs do not provide the full picture of all research activity within any given discipline</w:t>
      </w:r>
      <w:r w:rsidR="00052440">
        <w:rPr>
          <w:color w:val="000000" w:themeColor="text1"/>
        </w:rPr>
        <w:t>. T</w:t>
      </w:r>
      <w:r w:rsidR="00052440" w:rsidRPr="00777368">
        <w:rPr>
          <w:color w:val="000000" w:themeColor="text1"/>
        </w:rPr>
        <w:t>hey do</w:t>
      </w:r>
      <w:r w:rsidR="00052440">
        <w:rPr>
          <w:color w:val="000000" w:themeColor="text1"/>
        </w:rPr>
        <w:t>,</w:t>
      </w:r>
      <w:r w:rsidR="00052440" w:rsidRPr="00777368">
        <w:rPr>
          <w:color w:val="000000" w:themeColor="text1"/>
        </w:rPr>
        <w:t xml:space="preserve"> however, provide evidence as to how institutions have interpreted research activity against the criteria set by the REF.</w:t>
      </w:r>
    </w:p>
    <w:p w14:paraId="42E89FDD" w14:textId="2A6317D5" w:rsidR="00001612" w:rsidRDefault="00001612" w:rsidP="00001612">
      <w:pPr>
        <w:pStyle w:val="Paragraph"/>
      </w:pPr>
      <w:r>
        <w:t>Identifying</w:t>
      </w:r>
      <w:r w:rsidRPr="0000625C">
        <w:t xml:space="preserve"> the graphic design outputs submitted to REF2014 presented significant methodological challenges</w:t>
      </w:r>
      <w:r w:rsidRPr="0084547D">
        <w:t xml:space="preserve">. </w:t>
      </w:r>
      <w:r>
        <w:t>UoA34 did not require submitting institutions to associate outputs with a taxonomy of discip</w:t>
      </w:r>
      <w:r w:rsidR="006951C5">
        <w:t>lines or sub-disciplines. While</w:t>
      </w:r>
      <w:r>
        <w:t xml:space="preserve"> there was an option to categorise outputs by associating them with a named </w:t>
      </w:r>
      <w:r w:rsidR="00BA71AE">
        <w:t>‘</w:t>
      </w:r>
      <w:r>
        <w:t>Research Group</w:t>
      </w:r>
      <w:r w:rsidR="00BA71AE">
        <w:t>’</w:t>
      </w:r>
      <w:r>
        <w:t xml:space="preserve"> this facility was neither widely nor consistently used by institutions. Only 19 of 84 submissions opted to specify 'Research Group' and these generally reflected internal organisational structures or research themes, none of which referred specifically to graphic design. Without an embedded taxonomy of discipline</w:t>
      </w:r>
      <w:r w:rsidR="006F5471">
        <w:t>s</w:t>
      </w:r>
      <w:r w:rsidR="00A42A85">
        <w:t xml:space="preserve"> it was agreed that a keyword search</w:t>
      </w:r>
      <w:r w:rsidR="00981584">
        <w:t xml:space="preserve"> </w:t>
      </w:r>
      <w:r w:rsidR="00A42A85">
        <w:t xml:space="preserve">would </w:t>
      </w:r>
      <w:r w:rsidR="006F5471">
        <w:t xml:space="preserve">provide the clearest account of graphic design submissions. </w:t>
      </w:r>
    </w:p>
    <w:p w14:paraId="3BDB909C" w14:textId="625ADB4D" w:rsidR="00001612" w:rsidRDefault="00001612" w:rsidP="000F6AD0">
      <w:pPr>
        <w:pStyle w:val="Heading3"/>
      </w:pPr>
      <w:r>
        <w:t>Keywords</w:t>
      </w:r>
    </w:p>
    <w:p w14:paraId="71477A2D" w14:textId="198379C4" w:rsidR="00001612" w:rsidRPr="00F24B9C" w:rsidRDefault="009B6D56" w:rsidP="00F24B9C">
      <w:pPr>
        <w:pStyle w:val="Paragraph"/>
      </w:pPr>
      <w:r w:rsidRPr="00A72D18">
        <w:t>We</w:t>
      </w:r>
      <w:r>
        <w:t xml:space="preserve"> </w:t>
      </w:r>
      <w:r w:rsidR="00001612" w:rsidRPr="00210F2A">
        <w:t>developed a list of graphic design related keywords</w:t>
      </w:r>
      <w:r w:rsidR="006951C5">
        <w:t xml:space="preserve"> (</w:t>
      </w:r>
      <w:r w:rsidR="00001612">
        <w:t>Table 2)</w:t>
      </w:r>
      <w:r w:rsidR="007A5403">
        <w:t xml:space="preserve"> that would be used to identify potential graphic design outputs from the 6321 publicly available ones.</w:t>
      </w:r>
      <w:r w:rsidR="006F5471">
        <w:t xml:space="preserve"> </w:t>
      </w:r>
      <w:r w:rsidR="00D55966">
        <w:t>P</w:t>
      </w:r>
      <w:r w:rsidR="00D55966" w:rsidRPr="00210F2A">
        <w:t xml:space="preserve">articular </w:t>
      </w:r>
      <w:r w:rsidR="00001612" w:rsidRPr="00210F2A">
        <w:t xml:space="preserve">attention </w:t>
      </w:r>
      <w:r w:rsidR="00D55966">
        <w:t xml:space="preserve">was paid </w:t>
      </w:r>
      <w:r w:rsidR="00001612" w:rsidRPr="00210F2A">
        <w:t xml:space="preserve">to outputs from prominent departments in the field </w:t>
      </w:r>
      <w:r w:rsidR="00001612" w:rsidRPr="00210F2A">
        <w:lastRenderedPageBreak/>
        <w:t>(specifically the Department of Typography and Graphic Communication at the University of Reading) to test the appropriateness of keywords</w:t>
      </w:r>
      <w:r w:rsidR="00976AD7">
        <w:t>.</w:t>
      </w:r>
    </w:p>
    <w:p w14:paraId="0BB5E703" w14:textId="7D00C493" w:rsidR="00730714" w:rsidRPr="00154C8D" w:rsidRDefault="00730714" w:rsidP="00730714">
      <w:pPr>
        <w:pStyle w:val="Paragraph"/>
      </w:pPr>
      <w:r w:rsidRPr="00636532">
        <w:t xml:space="preserve">Shortly after the process began, these keywords were presented to a </w:t>
      </w:r>
      <w:r>
        <w:t>f</w:t>
      </w:r>
      <w:r w:rsidRPr="00636532">
        <w:t xml:space="preserve">ocus </w:t>
      </w:r>
      <w:r>
        <w:t>g</w:t>
      </w:r>
      <w:r w:rsidRPr="00636532">
        <w:t>roup at the Graphic Design Educators Network</w:t>
      </w:r>
      <w:r>
        <w:t xml:space="preserve"> (GDEN)</w:t>
      </w:r>
      <w:r w:rsidRPr="00636532">
        <w:t xml:space="preserve"> </w:t>
      </w:r>
      <w:r>
        <w:t>c</w:t>
      </w:r>
      <w:r w:rsidRPr="00636532">
        <w:t>onference in September 2017</w:t>
      </w:r>
      <w:r>
        <w:t xml:space="preserve"> (detailed </w:t>
      </w:r>
      <w:r w:rsidR="006F5471">
        <w:t>below</w:t>
      </w:r>
      <w:r>
        <w:t xml:space="preserve">). </w:t>
      </w:r>
      <w:r w:rsidRPr="00636532">
        <w:t>Following input fro</w:t>
      </w:r>
      <w:r w:rsidRPr="001E32CE">
        <w:t xml:space="preserve">m the </w:t>
      </w:r>
      <w:r>
        <w:t xml:space="preserve">focus group, further </w:t>
      </w:r>
      <w:r w:rsidRPr="001E32CE">
        <w:t>keywords were added</w:t>
      </w:r>
      <w:r>
        <w:t>, as indicated in Table 2</w:t>
      </w:r>
      <w:r w:rsidRPr="00154C8D">
        <w:t>.</w:t>
      </w:r>
      <w:r>
        <w:t xml:space="preserve"> A</w:t>
      </w:r>
      <w:r w:rsidRPr="00636532">
        <w:t>fter a period of testing</w:t>
      </w:r>
      <w:r>
        <w:t>,</w:t>
      </w:r>
      <w:r w:rsidRPr="00636532">
        <w:t xml:space="preserve"> </w:t>
      </w:r>
      <w:r w:rsidR="00981584">
        <w:t>we</w:t>
      </w:r>
      <w:r w:rsidRPr="00636532">
        <w:t xml:space="preserve"> remove</w:t>
      </w:r>
      <w:r>
        <w:t>d</w:t>
      </w:r>
      <w:r w:rsidRPr="00636532">
        <w:t xml:space="preserve"> </w:t>
      </w:r>
      <w:r>
        <w:t>some</w:t>
      </w:r>
      <w:r w:rsidRPr="00636532">
        <w:t xml:space="preserve"> keywords as they </w:t>
      </w:r>
      <w:r>
        <w:t xml:space="preserve">did not identify graphic design research outputs and </w:t>
      </w:r>
      <w:r w:rsidRPr="00636532">
        <w:t>were deemed to belong to separate domains</w:t>
      </w:r>
      <w:r>
        <w:t xml:space="preserve"> (also see Table 2).</w:t>
      </w:r>
    </w:p>
    <w:p w14:paraId="612BAD0D" w14:textId="77777777" w:rsidR="00096566" w:rsidRPr="00001612" w:rsidRDefault="00096566" w:rsidP="00096566">
      <w:pPr>
        <w:pStyle w:val="Tabletitle"/>
      </w:pPr>
      <w:r>
        <w:t>Table 2: List of keywords developed by the project team for analysis</w:t>
      </w:r>
    </w:p>
    <w:tbl>
      <w:tblPr>
        <w:tblStyle w:val="TableGrid"/>
        <w:tblW w:w="9767" w:type="dxa"/>
        <w:tblLayout w:type="fixed"/>
        <w:tblLook w:val="04A0" w:firstRow="1" w:lastRow="0" w:firstColumn="1" w:lastColumn="0" w:noHBand="0" w:noVBand="1"/>
      </w:tblPr>
      <w:tblGrid>
        <w:gridCol w:w="1694"/>
        <w:gridCol w:w="1987"/>
        <w:gridCol w:w="2144"/>
        <w:gridCol w:w="1971"/>
        <w:gridCol w:w="1971"/>
      </w:tblGrid>
      <w:tr w:rsidR="00096566" w:rsidRPr="008C6DB1" w14:paraId="5CF1FAD5" w14:textId="77777777" w:rsidTr="00D731EE">
        <w:trPr>
          <w:trHeight w:val="362"/>
        </w:trPr>
        <w:tc>
          <w:tcPr>
            <w:tcW w:w="1694" w:type="dxa"/>
          </w:tcPr>
          <w:p w14:paraId="639AAB8E" w14:textId="77777777" w:rsidR="00096566" w:rsidRPr="008C6DB1" w:rsidRDefault="00096566" w:rsidP="00D731EE">
            <w:pPr>
              <w:pStyle w:val="xTableText"/>
            </w:pPr>
            <w:r w:rsidRPr="008C6DB1">
              <w:t>Advertising</w:t>
            </w:r>
          </w:p>
        </w:tc>
        <w:tc>
          <w:tcPr>
            <w:tcW w:w="1987" w:type="dxa"/>
          </w:tcPr>
          <w:p w14:paraId="3FB44CA3" w14:textId="77777777" w:rsidR="00096566" w:rsidRPr="008C6DB1" w:rsidRDefault="00096566" w:rsidP="00D731EE">
            <w:pPr>
              <w:pStyle w:val="xTableText"/>
            </w:pPr>
            <w:r w:rsidRPr="008C6DB1">
              <w:t>Graphic design</w:t>
            </w:r>
          </w:p>
        </w:tc>
        <w:tc>
          <w:tcPr>
            <w:tcW w:w="2144" w:type="dxa"/>
          </w:tcPr>
          <w:p w14:paraId="02ECF232" w14:textId="77777777" w:rsidR="00096566" w:rsidRPr="008C6DB1" w:rsidRDefault="00096566" w:rsidP="00D731EE">
            <w:pPr>
              <w:pStyle w:val="xTableText"/>
            </w:pPr>
            <w:r w:rsidRPr="008C6DB1">
              <w:t>Interaction design</w:t>
            </w:r>
          </w:p>
        </w:tc>
        <w:tc>
          <w:tcPr>
            <w:tcW w:w="1971" w:type="dxa"/>
          </w:tcPr>
          <w:p w14:paraId="571407A2" w14:textId="77777777" w:rsidR="00096566" w:rsidRPr="008C6DB1" w:rsidRDefault="00096566" w:rsidP="00D731EE">
            <w:pPr>
              <w:pStyle w:val="xTableText"/>
            </w:pPr>
            <w:r w:rsidRPr="000913B3">
              <w:rPr>
                <w:strike/>
              </w:rPr>
              <w:t>Page design</w:t>
            </w:r>
            <w:r>
              <w:rPr>
                <w:strike/>
              </w:rPr>
              <w:t>*</w:t>
            </w:r>
          </w:p>
        </w:tc>
        <w:tc>
          <w:tcPr>
            <w:tcW w:w="1971" w:type="dxa"/>
          </w:tcPr>
          <w:p w14:paraId="3675B6C9" w14:textId="77777777" w:rsidR="00096566" w:rsidRPr="000913B3" w:rsidRDefault="00096566" w:rsidP="00D731EE">
            <w:pPr>
              <w:pStyle w:val="xTableText"/>
              <w:rPr>
                <w:strike/>
              </w:rPr>
            </w:pPr>
            <w:r w:rsidRPr="008C6DB1">
              <w:t>Visual design</w:t>
            </w:r>
          </w:p>
        </w:tc>
      </w:tr>
      <w:tr w:rsidR="00096566" w:rsidRPr="008C6DB1" w14:paraId="520549F6" w14:textId="77777777" w:rsidTr="00D731EE">
        <w:trPr>
          <w:trHeight w:val="339"/>
        </w:trPr>
        <w:tc>
          <w:tcPr>
            <w:tcW w:w="1694" w:type="dxa"/>
          </w:tcPr>
          <w:p w14:paraId="4A30B7F6" w14:textId="77777777" w:rsidR="00096566" w:rsidRPr="008C6DB1" w:rsidRDefault="00096566" w:rsidP="00D731EE">
            <w:pPr>
              <w:pStyle w:val="xTableText"/>
            </w:pPr>
            <w:r>
              <w:t>Book Design*</w:t>
            </w:r>
          </w:p>
        </w:tc>
        <w:tc>
          <w:tcPr>
            <w:tcW w:w="1987" w:type="dxa"/>
          </w:tcPr>
          <w:p w14:paraId="4A0E3880" w14:textId="77777777" w:rsidR="00096566" w:rsidRPr="008C6DB1" w:rsidRDefault="00096566" w:rsidP="00D731EE">
            <w:pPr>
              <w:pStyle w:val="xTableText"/>
            </w:pPr>
            <w:r w:rsidRPr="008C6DB1">
              <w:t>Graphics</w:t>
            </w:r>
          </w:p>
        </w:tc>
        <w:tc>
          <w:tcPr>
            <w:tcW w:w="2144" w:type="dxa"/>
          </w:tcPr>
          <w:p w14:paraId="1E9A6211" w14:textId="77777777" w:rsidR="00096566" w:rsidRPr="008C6DB1" w:rsidRDefault="00096566" w:rsidP="00D731EE">
            <w:pPr>
              <w:pStyle w:val="xTableText"/>
            </w:pPr>
            <w:r w:rsidRPr="000913B3">
              <w:rPr>
                <w:strike/>
              </w:rPr>
              <w:t>Interaction + design</w:t>
            </w:r>
          </w:p>
        </w:tc>
        <w:tc>
          <w:tcPr>
            <w:tcW w:w="1971" w:type="dxa"/>
          </w:tcPr>
          <w:p w14:paraId="23B0D84E" w14:textId="77777777" w:rsidR="00096566" w:rsidRPr="008C6DB1" w:rsidRDefault="00096566" w:rsidP="00D731EE">
            <w:pPr>
              <w:pStyle w:val="xTableText"/>
            </w:pPr>
            <w:r w:rsidRPr="008C6DB1">
              <w:t>Printmaking</w:t>
            </w:r>
          </w:p>
        </w:tc>
        <w:tc>
          <w:tcPr>
            <w:tcW w:w="1971" w:type="dxa"/>
          </w:tcPr>
          <w:p w14:paraId="5266EFAB" w14:textId="77777777" w:rsidR="00096566" w:rsidRPr="008C6DB1" w:rsidRDefault="00096566" w:rsidP="00D731EE">
            <w:pPr>
              <w:pStyle w:val="xTableText"/>
            </w:pPr>
            <w:r w:rsidRPr="008C6DB1">
              <w:t xml:space="preserve">Visual </w:t>
            </w:r>
            <w:r>
              <w:t>information*</w:t>
            </w:r>
          </w:p>
        </w:tc>
      </w:tr>
      <w:tr w:rsidR="00096566" w:rsidRPr="008C6DB1" w14:paraId="456F6617" w14:textId="77777777" w:rsidTr="00D731EE">
        <w:trPr>
          <w:trHeight w:val="382"/>
        </w:trPr>
        <w:tc>
          <w:tcPr>
            <w:tcW w:w="1694" w:type="dxa"/>
          </w:tcPr>
          <w:p w14:paraId="2FF35037" w14:textId="77777777" w:rsidR="00096566" w:rsidRPr="008C6DB1" w:rsidRDefault="00096566" w:rsidP="00D731EE">
            <w:pPr>
              <w:pStyle w:val="xTableText"/>
            </w:pPr>
            <w:r w:rsidRPr="008C6DB1">
              <w:t>Branding</w:t>
            </w:r>
          </w:p>
        </w:tc>
        <w:tc>
          <w:tcPr>
            <w:tcW w:w="1987" w:type="dxa"/>
          </w:tcPr>
          <w:p w14:paraId="24590C66" w14:textId="77777777" w:rsidR="00096566" w:rsidRPr="008C6DB1" w:rsidRDefault="00096566" w:rsidP="00D731EE">
            <w:pPr>
              <w:pStyle w:val="xTableText"/>
            </w:pPr>
            <w:r w:rsidRPr="008C6DB1">
              <w:t>Graphic</w:t>
            </w:r>
          </w:p>
        </w:tc>
        <w:tc>
          <w:tcPr>
            <w:tcW w:w="2144" w:type="dxa"/>
          </w:tcPr>
          <w:p w14:paraId="073D644C" w14:textId="77777777" w:rsidR="00096566" w:rsidRPr="008C6DB1" w:rsidRDefault="00096566" w:rsidP="00D731EE">
            <w:pPr>
              <w:pStyle w:val="xTableText"/>
            </w:pPr>
            <w:r w:rsidRPr="008C6DB1">
              <w:t>Legibility</w:t>
            </w:r>
          </w:p>
        </w:tc>
        <w:tc>
          <w:tcPr>
            <w:tcW w:w="1971" w:type="dxa"/>
          </w:tcPr>
          <w:p w14:paraId="593D76C6" w14:textId="77777777" w:rsidR="00096566" w:rsidRPr="008C6DB1" w:rsidRDefault="00096566" w:rsidP="00D731EE">
            <w:pPr>
              <w:pStyle w:val="xTableText"/>
            </w:pPr>
            <w:r>
              <w:rPr>
                <w:strike/>
              </w:rPr>
              <w:t>Service design</w:t>
            </w:r>
          </w:p>
        </w:tc>
        <w:tc>
          <w:tcPr>
            <w:tcW w:w="1971" w:type="dxa"/>
          </w:tcPr>
          <w:p w14:paraId="2602687E" w14:textId="77777777" w:rsidR="00096566" w:rsidRDefault="00096566" w:rsidP="00D731EE">
            <w:pPr>
              <w:pStyle w:val="xTableText"/>
              <w:rPr>
                <w:strike/>
              </w:rPr>
            </w:pPr>
            <w:r w:rsidRPr="000913B3">
              <w:rPr>
                <w:strike/>
              </w:rPr>
              <w:t>Visual media</w:t>
            </w:r>
          </w:p>
        </w:tc>
      </w:tr>
      <w:tr w:rsidR="00096566" w:rsidRPr="008C6DB1" w14:paraId="1D47B5B9" w14:textId="77777777" w:rsidTr="00D731EE">
        <w:trPr>
          <w:trHeight w:val="362"/>
        </w:trPr>
        <w:tc>
          <w:tcPr>
            <w:tcW w:w="1694" w:type="dxa"/>
          </w:tcPr>
          <w:p w14:paraId="5DAC62A9" w14:textId="77777777" w:rsidR="00096566" w:rsidRPr="008C6DB1" w:rsidRDefault="00096566" w:rsidP="00D731EE">
            <w:pPr>
              <w:pStyle w:val="xTableText"/>
            </w:pPr>
            <w:r w:rsidRPr="008C6DB1">
              <w:t>Calligraphy</w:t>
            </w:r>
          </w:p>
        </w:tc>
        <w:tc>
          <w:tcPr>
            <w:tcW w:w="1987" w:type="dxa"/>
          </w:tcPr>
          <w:p w14:paraId="3951D339" w14:textId="77777777" w:rsidR="00096566" w:rsidRPr="008C6DB1" w:rsidRDefault="00096566" w:rsidP="00D731EE">
            <w:pPr>
              <w:pStyle w:val="xTableText"/>
            </w:pPr>
            <w:r w:rsidRPr="008C6DB1">
              <w:t>Graphic</w:t>
            </w:r>
            <w:r>
              <w:t xml:space="preserve"> novel*</w:t>
            </w:r>
          </w:p>
        </w:tc>
        <w:tc>
          <w:tcPr>
            <w:tcW w:w="2144" w:type="dxa"/>
          </w:tcPr>
          <w:p w14:paraId="132105C8" w14:textId="77777777" w:rsidR="00096566" w:rsidRPr="008C6DB1" w:rsidRDefault="00096566" w:rsidP="00D731EE">
            <w:pPr>
              <w:pStyle w:val="xTableText"/>
            </w:pPr>
            <w:r w:rsidRPr="008C6DB1">
              <w:t>Letterpress</w:t>
            </w:r>
            <w:r w:rsidRPr="008C6DB1" w:rsidDel="003E1A0A">
              <w:t xml:space="preserve"> </w:t>
            </w:r>
          </w:p>
        </w:tc>
        <w:tc>
          <w:tcPr>
            <w:tcW w:w="1971" w:type="dxa"/>
          </w:tcPr>
          <w:p w14:paraId="74E7757D" w14:textId="77777777" w:rsidR="00096566" w:rsidRPr="008C6DB1" w:rsidRDefault="00096566" w:rsidP="00D731EE">
            <w:pPr>
              <w:pStyle w:val="xTableText"/>
            </w:pPr>
            <w:r w:rsidRPr="008C6DB1">
              <w:t>Signage</w:t>
            </w:r>
            <w:r w:rsidRPr="008C6DB1" w:rsidDel="003E1A0A">
              <w:t xml:space="preserve"> </w:t>
            </w:r>
          </w:p>
        </w:tc>
        <w:tc>
          <w:tcPr>
            <w:tcW w:w="1971" w:type="dxa"/>
          </w:tcPr>
          <w:p w14:paraId="6E932036" w14:textId="77777777" w:rsidR="00096566" w:rsidRPr="008C6DB1" w:rsidRDefault="00096566" w:rsidP="00D731EE">
            <w:pPr>
              <w:pStyle w:val="xTableText"/>
            </w:pPr>
            <w:r w:rsidRPr="008C6DB1">
              <w:t>Visualisation</w:t>
            </w:r>
          </w:p>
        </w:tc>
      </w:tr>
      <w:tr w:rsidR="00096566" w:rsidRPr="008C6DB1" w14:paraId="65B04439" w14:textId="77777777" w:rsidTr="00D731EE">
        <w:trPr>
          <w:trHeight w:val="742"/>
        </w:trPr>
        <w:tc>
          <w:tcPr>
            <w:tcW w:w="1694" w:type="dxa"/>
          </w:tcPr>
          <w:p w14:paraId="631348A8" w14:textId="77777777" w:rsidR="00096566" w:rsidRPr="008C6DB1" w:rsidRDefault="00096566" w:rsidP="00D731EE">
            <w:pPr>
              <w:pStyle w:val="xTableText"/>
            </w:pPr>
            <w:r w:rsidRPr="008C6DB1">
              <w:t>Cartography</w:t>
            </w:r>
          </w:p>
        </w:tc>
        <w:tc>
          <w:tcPr>
            <w:tcW w:w="1987" w:type="dxa"/>
          </w:tcPr>
          <w:p w14:paraId="75D735B0" w14:textId="77777777" w:rsidR="00096566" w:rsidRPr="008C6DB1" w:rsidRDefault="00096566" w:rsidP="00D731EE">
            <w:pPr>
              <w:pStyle w:val="xTableText"/>
            </w:pPr>
            <w:r w:rsidRPr="008C6DB1">
              <w:t>History of graphic design</w:t>
            </w:r>
            <w:r w:rsidRPr="008C6DB1" w:rsidDel="003E1A0A">
              <w:t xml:space="preserve"> </w:t>
            </w:r>
          </w:p>
        </w:tc>
        <w:tc>
          <w:tcPr>
            <w:tcW w:w="2144" w:type="dxa"/>
          </w:tcPr>
          <w:p w14:paraId="5C3386EA" w14:textId="77777777" w:rsidR="00096566" w:rsidRPr="00E7119D" w:rsidRDefault="00096566" w:rsidP="00D731EE">
            <w:pPr>
              <w:pStyle w:val="xTableText"/>
              <w:rPr>
                <w:strike/>
              </w:rPr>
            </w:pPr>
            <w:r w:rsidRPr="008C6DB1">
              <w:t>Lithographic</w:t>
            </w:r>
          </w:p>
        </w:tc>
        <w:tc>
          <w:tcPr>
            <w:tcW w:w="1971" w:type="dxa"/>
          </w:tcPr>
          <w:p w14:paraId="3FCBA117" w14:textId="77777777" w:rsidR="00096566" w:rsidRPr="008C6DB1" w:rsidRDefault="00096566" w:rsidP="00D731EE">
            <w:pPr>
              <w:pStyle w:val="xTableText"/>
            </w:pPr>
            <w:r>
              <w:t>Sign-post/signposting*</w:t>
            </w:r>
          </w:p>
        </w:tc>
        <w:tc>
          <w:tcPr>
            <w:tcW w:w="1971" w:type="dxa"/>
          </w:tcPr>
          <w:p w14:paraId="01EFC048" w14:textId="77777777" w:rsidR="00096566" w:rsidRDefault="00096566" w:rsidP="00D731EE">
            <w:pPr>
              <w:pStyle w:val="xTableText"/>
            </w:pPr>
            <w:r w:rsidRPr="008C6DB1">
              <w:t>Wayfinding</w:t>
            </w:r>
            <w:r w:rsidRPr="008C6DB1" w:rsidDel="003E1A0A">
              <w:t xml:space="preserve"> </w:t>
            </w:r>
          </w:p>
        </w:tc>
      </w:tr>
      <w:tr w:rsidR="00096566" w:rsidRPr="008C6DB1" w14:paraId="2B4B00F1" w14:textId="77777777" w:rsidTr="00D731EE">
        <w:trPr>
          <w:trHeight w:val="382"/>
        </w:trPr>
        <w:tc>
          <w:tcPr>
            <w:tcW w:w="1694" w:type="dxa"/>
          </w:tcPr>
          <w:p w14:paraId="36363625" w14:textId="77777777" w:rsidR="00096566" w:rsidRPr="00E7119D" w:rsidRDefault="00096566" w:rsidP="00D731EE">
            <w:pPr>
              <w:pStyle w:val="xTableText"/>
              <w:rPr>
                <w:strike/>
              </w:rPr>
            </w:pPr>
            <w:r w:rsidRPr="00E7119D">
              <w:rPr>
                <w:strike/>
              </w:rPr>
              <w:t>Co-design</w:t>
            </w:r>
          </w:p>
        </w:tc>
        <w:tc>
          <w:tcPr>
            <w:tcW w:w="1987" w:type="dxa"/>
          </w:tcPr>
          <w:p w14:paraId="58C80873" w14:textId="77777777" w:rsidR="00096566" w:rsidRPr="008C6DB1" w:rsidRDefault="00096566" w:rsidP="00D731EE">
            <w:pPr>
              <w:pStyle w:val="xTableText"/>
            </w:pPr>
            <w:r w:rsidRPr="008C6DB1">
              <w:t>Illustration</w:t>
            </w:r>
          </w:p>
        </w:tc>
        <w:tc>
          <w:tcPr>
            <w:tcW w:w="2144" w:type="dxa"/>
          </w:tcPr>
          <w:p w14:paraId="0CF909E8" w14:textId="77777777" w:rsidR="00096566" w:rsidRPr="008C6DB1" w:rsidRDefault="00096566" w:rsidP="00D731EE">
            <w:pPr>
              <w:pStyle w:val="xTableText"/>
            </w:pPr>
            <w:r w:rsidRPr="008C6DB1">
              <w:t>Manuscript</w:t>
            </w:r>
          </w:p>
        </w:tc>
        <w:tc>
          <w:tcPr>
            <w:tcW w:w="1971" w:type="dxa"/>
          </w:tcPr>
          <w:p w14:paraId="48FDD2DC" w14:textId="77777777" w:rsidR="00096566" w:rsidRPr="008C6DB1" w:rsidRDefault="00096566" w:rsidP="00D731EE">
            <w:pPr>
              <w:pStyle w:val="xTableText"/>
            </w:pPr>
            <w:r w:rsidRPr="008C6DB1">
              <w:t>Typeface</w:t>
            </w:r>
          </w:p>
        </w:tc>
        <w:tc>
          <w:tcPr>
            <w:tcW w:w="1971" w:type="dxa"/>
          </w:tcPr>
          <w:p w14:paraId="4C8F29FF" w14:textId="77777777" w:rsidR="00096566" w:rsidRPr="008C6DB1" w:rsidRDefault="00096566" w:rsidP="00D731EE">
            <w:pPr>
              <w:pStyle w:val="xTableText"/>
            </w:pPr>
          </w:p>
        </w:tc>
      </w:tr>
      <w:tr w:rsidR="00096566" w:rsidRPr="008C6DB1" w14:paraId="23F99946" w14:textId="77777777" w:rsidTr="00D731EE">
        <w:trPr>
          <w:trHeight w:val="343"/>
        </w:trPr>
        <w:tc>
          <w:tcPr>
            <w:tcW w:w="1694" w:type="dxa"/>
          </w:tcPr>
          <w:p w14:paraId="776FE734" w14:textId="77777777" w:rsidR="00096566" w:rsidRPr="008C6DB1" w:rsidRDefault="00096566" w:rsidP="00D731EE">
            <w:pPr>
              <w:pStyle w:val="xTableText"/>
            </w:pPr>
            <w:r w:rsidRPr="008C6DB1">
              <w:t>Communication design</w:t>
            </w:r>
          </w:p>
        </w:tc>
        <w:tc>
          <w:tcPr>
            <w:tcW w:w="1987" w:type="dxa"/>
          </w:tcPr>
          <w:p w14:paraId="1B05A4F0" w14:textId="77777777" w:rsidR="00096566" w:rsidRPr="008C6DB1" w:rsidRDefault="00096566" w:rsidP="00D731EE">
            <w:pPr>
              <w:pStyle w:val="xTableText"/>
            </w:pPr>
            <w:r w:rsidRPr="008C6DB1">
              <w:t>Imaging</w:t>
            </w:r>
          </w:p>
        </w:tc>
        <w:tc>
          <w:tcPr>
            <w:tcW w:w="2144" w:type="dxa"/>
          </w:tcPr>
          <w:p w14:paraId="42954628" w14:textId="77777777" w:rsidR="00096566" w:rsidRPr="00E7119D" w:rsidRDefault="00096566" w:rsidP="00D731EE">
            <w:pPr>
              <w:pStyle w:val="xTableText"/>
              <w:rPr>
                <w:strike/>
              </w:rPr>
            </w:pPr>
            <w:r w:rsidRPr="00E7119D">
              <w:rPr>
                <w:strike/>
              </w:rPr>
              <w:t>Notational systems*</w:t>
            </w:r>
          </w:p>
        </w:tc>
        <w:tc>
          <w:tcPr>
            <w:tcW w:w="1971" w:type="dxa"/>
          </w:tcPr>
          <w:p w14:paraId="73B1447F" w14:textId="77777777" w:rsidR="00096566" w:rsidRPr="008C6DB1" w:rsidRDefault="00096566" w:rsidP="00D731EE">
            <w:pPr>
              <w:pStyle w:val="xTableText"/>
            </w:pPr>
            <w:r w:rsidRPr="008C6DB1">
              <w:t>Type design</w:t>
            </w:r>
          </w:p>
        </w:tc>
        <w:tc>
          <w:tcPr>
            <w:tcW w:w="1971" w:type="dxa"/>
          </w:tcPr>
          <w:p w14:paraId="729D9F6A" w14:textId="77777777" w:rsidR="00096566" w:rsidRPr="008C6DB1" w:rsidRDefault="00096566" w:rsidP="00D731EE">
            <w:pPr>
              <w:pStyle w:val="xTableText"/>
            </w:pPr>
          </w:p>
        </w:tc>
      </w:tr>
      <w:tr w:rsidR="00096566" w:rsidRPr="008C6DB1" w14:paraId="1E5D8008" w14:textId="77777777" w:rsidTr="00D731EE">
        <w:trPr>
          <w:trHeight w:val="742"/>
        </w:trPr>
        <w:tc>
          <w:tcPr>
            <w:tcW w:w="1694" w:type="dxa"/>
          </w:tcPr>
          <w:p w14:paraId="3979DE55" w14:textId="77777777" w:rsidR="00096566" w:rsidRPr="00E7119D" w:rsidRDefault="00096566" w:rsidP="00D731EE">
            <w:pPr>
              <w:pStyle w:val="xTableText"/>
              <w:rPr>
                <w:strike/>
              </w:rPr>
            </w:pPr>
            <w:r w:rsidRPr="00E7119D">
              <w:rPr>
                <w:strike/>
              </w:rPr>
              <w:t>Design Thinking</w:t>
            </w:r>
          </w:p>
        </w:tc>
        <w:tc>
          <w:tcPr>
            <w:tcW w:w="1987" w:type="dxa"/>
          </w:tcPr>
          <w:p w14:paraId="13533CCC" w14:textId="77777777" w:rsidR="00096566" w:rsidRPr="008C6DB1" w:rsidRDefault="00096566" w:rsidP="00D731EE">
            <w:pPr>
              <w:pStyle w:val="xTableText"/>
            </w:pPr>
            <w:r w:rsidRPr="008C6DB1">
              <w:t>Information design</w:t>
            </w:r>
          </w:p>
        </w:tc>
        <w:tc>
          <w:tcPr>
            <w:tcW w:w="2144" w:type="dxa"/>
          </w:tcPr>
          <w:p w14:paraId="7B501062" w14:textId="77777777" w:rsidR="00096566" w:rsidRPr="008C6DB1" w:rsidRDefault="00096566" w:rsidP="00D731EE">
            <w:pPr>
              <w:pStyle w:val="xTableText"/>
            </w:pPr>
            <w:r>
              <w:t>Print history</w:t>
            </w:r>
          </w:p>
        </w:tc>
        <w:tc>
          <w:tcPr>
            <w:tcW w:w="1971" w:type="dxa"/>
          </w:tcPr>
          <w:p w14:paraId="49917B3C" w14:textId="77777777" w:rsidR="00096566" w:rsidRPr="00E7119D" w:rsidRDefault="00096566" w:rsidP="00D731EE">
            <w:pPr>
              <w:pStyle w:val="xTableText"/>
              <w:rPr>
                <w:strike/>
              </w:rPr>
            </w:pPr>
            <w:r w:rsidRPr="008C6DB1">
              <w:t>Typography</w:t>
            </w:r>
          </w:p>
        </w:tc>
        <w:tc>
          <w:tcPr>
            <w:tcW w:w="1971" w:type="dxa"/>
          </w:tcPr>
          <w:p w14:paraId="6D317B8B" w14:textId="77777777" w:rsidR="00096566" w:rsidRPr="008C6DB1" w:rsidRDefault="00096566" w:rsidP="00D731EE">
            <w:pPr>
              <w:pStyle w:val="xTableText"/>
            </w:pPr>
          </w:p>
        </w:tc>
      </w:tr>
      <w:tr w:rsidR="00096566" w:rsidRPr="008C6DB1" w14:paraId="2FC912F9" w14:textId="77777777" w:rsidTr="00D731EE">
        <w:trPr>
          <w:trHeight w:val="565"/>
        </w:trPr>
        <w:tc>
          <w:tcPr>
            <w:tcW w:w="1694" w:type="dxa"/>
          </w:tcPr>
          <w:p w14:paraId="04056231" w14:textId="77777777" w:rsidR="00096566" w:rsidRDefault="00096566" w:rsidP="00D731EE">
            <w:pPr>
              <w:pStyle w:val="xTableText"/>
            </w:pPr>
            <w:r>
              <w:t>Exhibition design*</w:t>
            </w:r>
          </w:p>
        </w:tc>
        <w:tc>
          <w:tcPr>
            <w:tcW w:w="1987" w:type="dxa"/>
          </w:tcPr>
          <w:p w14:paraId="5D949684" w14:textId="77777777" w:rsidR="00096566" w:rsidRPr="008C6DB1" w:rsidRDefault="00096566" w:rsidP="00D731EE">
            <w:pPr>
              <w:pStyle w:val="xTableText"/>
            </w:pPr>
            <w:r w:rsidRPr="008C6DB1">
              <w:t>Inscription</w:t>
            </w:r>
          </w:p>
        </w:tc>
        <w:tc>
          <w:tcPr>
            <w:tcW w:w="2144" w:type="dxa"/>
          </w:tcPr>
          <w:p w14:paraId="285F1FF2" w14:textId="77777777" w:rsidR="00096566" w:rsidRPr="008C6DB1" w:rsidRDefault="00096566" w:rsidP="00D731EE">
            <w:pPr>
              <w:pStyle w:val="xTableText"/>
            </w:pPr>
            <w:r w:rsidRPr="008C6DB1">
              <w:t>Print process / printing process</w:t>
            </w:r>
          </w:p>
        </w:tc>
        <w:tc>
          <w:tcPr>
            <w:tcW w:w="1971" w:type="dxa"/>
          </w:tcPr>
          <w:p w14:paraId="64594028" w14:textId="77777777" w:rsidR="00096566" w:rsidRPr="008C6DB1" w:rsidRDefault="00096566" w:rsidP="00D731EE">
            <w:pPr>
              <w:pStyle w:val="xTableText"/>
            </w:pPr>
            <w:r w:rsidRPr="008C6DB1">
              <w:t>Visual communication</w:t>
            </w:r>
          </w:p>
        </w:tc>
        <w:tc>
          <w:tcPr>
            <w:tcW w:w="1971" w:type="dxa"/>
          </w:tcPr>
          <w:p w14:paraId="4EFF360B" w14:textId="77777777" w:rsidR="00096566" w:rsidRPr="008C6DB1" w:rsidRDefault="00096566" w:rsidP="00D731EE">
            <w:pPr>
              <w:pStyle w:val="xTableText"/>
            </w:pPr>
          </w:p>
        </w:tc>
      </w:tr>
    </w:tbl>
    <w:p w14:paraId="4FE99F2A" w14:textId="77777777" w:rsidR="00096566" w:rsidRDefault="00096566" w:rsidP="00096566">
      <w:pPr>
        <w:pStyle w:val="Newparagraph"/>
        <w:ind w:firstLine="0"/>
        <w:rPr>
          <w:rFonts w:eastAsiaTheme="minorHAnsi"/>
        </w:rPr>
      </w:pPr>
    </w:p>
    <w:p w14:paraId="508BFDC0" w14:textId="5A485233" w:rsidR="00096566" w:rsidRDefault="00096566" w:rsidP="00096566">
      <w:pPr>
        <w:pStyle w:val="Newparagraph"/>
        <w:ind w:firstLine="0"/>
        <w:rPr>
          <w:rFonts w:eastAsiaTheme="minorHAnsi"/>
        </w:rPr>
      </w:pPr>
      <w:r>
        <w:rPr>
          <w:rFonts w:eastAsiaTheme="minorHAnsi"/>
        </w:rPr>
        <w:t>*added post focus group</w:t>
      </w:r>
      <w:r>
        <w:rPr>
          <w:rFonts w:eastAsiaTheme="minorHAnsi"/>
        </w:rPr>
        <w:br/>
      </w:r>
      <w:r w:rsidRPr="00E7119D">
        <w:rPr>
          <w:rFonts w:eastAsiaTheme="minorHAnsi"/>
          <w:strike/>
        </w:rPr>
        <w:t>R</w:t>
      </w:r>
      <w:r>
        <w:rPr>
          <w:rFonts w:eastAsiaTheme="minorHAnsi"/>
        </w:rPr>
        <w:t xml:space="preserve"> removed post testing</w:t>
      </w:r>
    </w:p>
    <w:p w14:paraId="08D01E92" w14:textId="2AA6007D" w:rsidR="00724CE9" w:rsidRPr="00724CE9" w:rsidRDefault="00B916A7" w:rsidP="00724CE9">
      <w:pPr>
        <w:pStyle w:val="Paragraph"/>
      </w:pPr>
      <w:r>
        <w:t xml:space="preserve">Having established a list of keywords, searches were applied both to </w:t>
      </w:r>
      <w:r w:rsidRPr="001E23AC">
        <w:t xml:space="preserve">output titles and </w:t>
      </w:r>
      <w:r w:rsidR="006F5471">
        <w:t xml:space="preserve">the </w:t>
      </w:r>
      <w:r w:rsidRPr="001E23AC">
        <w:t xml:space="preserve">additional information </w:t>
      </w:r>
      <w:r>
        <w:t xml:space="preserve">fields </w:t>
      </w:r>
      <w:r w:rsidR="006F5471">
        <w:t xml:space="preserve">which offered </w:t>
      </w:r>
      <w:r w:rsidRPr="001E23AC">
        <w:t>space (</w:t>
      </w:r>
      <w:r>
        <w:t>up to</w:t>
      </w:r>
      <w:r w:rsidRPr="001E23AC">
        <w:t xml:space="preserve"> 300 words) to </w:t>
      </w:r>
      <w:r>
        <w:t>describe</w:t>
      </w:r>
      <w:r w:rsidRPr="001E23AC">
        <w:t xml:space="preserve"> the research </w:t>
      </w:r>
      <w:r>
        <w:t>content</w:t>
      </w:r>
      <w:r w:rsidRPr="001E23AC">
        <w:t xml:space="preserve">. </w:t>
      </w:r>
      <w:r>
        <w:t>Particular a</w:t>
      </w:r>
      <w:r w:rsidRPr="001E23AC">
        <w:t xml:space="preserve">ttention was paid to </w:t>
      </w:r>
      <w:r>
        <w:t xml:space="preserve">a small number of </w:t>
      </w:r>
      <w:r w:rsidRPr="001E23AC">
        <w:t xml:space="preserve">text-based outputs where no additional information was </w:t>
      </w:r>
      <w:r>
        <w:t>required to ensure these were not overlooked</w:t>
      </w:r>
      <w:r w:rsidRPr="001E23AC">
        <w:t xml:space="preserve">. In </w:t>
      </w:r>
      <w:r w:rsidRPr="001E23AC">
        <w:lastRenderedPageBreak/>
        <w:t>these cases, library searches were used to assess whether the output stemmed from graphic design research.</w:t>
      </w:r>
    </w:p>
    <w:p w14:paraId="0C136D2E" w14:textId="55994D45" w:rsidR="00724CE9" w:rsidRPr="00D24588" w:rsidRDefault="00724CE9" w:rsidP="00D24588">
      <w:pPr>
        <w:pStyle w:val="Paragraph"/>
      </w:pPr>
      <w:r>
        <w:t>Samples of</w:t>
      </w:r>
      <w:r w:rsidRPr="008C6DB1">
        <w:t xml:space="preserve"> outputs containing these key search terms w</w:t>
      </w:r>
      <w:r>
        <w:t xml:space="preserve">ere </w:t>
      </w:r>
      <w:r w:rsidRPr="008C6DB1">
        <w:t xml:space="preserve">reviewed by the </w:t>
      </w:r>
      <w:r w:rsidR="007D5E3A">
        <w:t xml:space="preserve">research </w:t>
      </w:r>
      <w:r w:rsidRPr="008C6DB1">
        <w:t xml:space="preserve">group to assess their relevance and suitability. </w:t>
      </w:r>
      <w:r>
        <w:t xml:space="preserve">Precise categorisation of outputs proved problematic because many </w:t>
      </w:r>
      <w:r w:rsidRPr="00547902">
        <w:t>outputs with a graphic design element emerge</w:t>
      </w:r>
      <w:r>
        <w:t>d</w:t>
      </w:r>
      <w:r w:rsidRPr="00547902">
        <w:t xml:space="preserve"> from interdisciplinary work and may </w:t>
      </w:r>
      <w:r>
        <w:t xml:space="preserve">have </w:t>
      </w:r>
      <w:r w:rsidRPr="00547902">
        <w:t>borrow</w:t>
      </w:r>
      <w:r>
        <w:t>ed</w:t>
      </w:r>
      <w:r w:rsidRPr="00547902">
        <w:t xml:space="preserve"> terminology from beyond the discipline. Overlaps between research categories </w:t>
      </w:r>
      <w:r>
        <w:t>were</w:t>
      </w:r>
      <w:r w:rsidRPr="00547902">
        <w:t xml:space="preserve"> accounted for by admitting multiple categorisations</w:t>
      </w:r>
      <w:r>
        <w:t>,</w:t>
      </w:r>
      <w:r w:rsidRPr="00547902">
        <w:t xml:space="preserve"> so</w:t>
      </w:r>
      <w:r>
        <w:t xml:space="preserve"> </w:t>
      </w:r>
      <w:r w:rsidRPr="00547902">
        <w:t>an output might feature in both ‘Advertising’ and ‘Visualisation’ or ‘Communication Design, ‘Print History’ and ‘Typography’.</w:t>
      </w:r>
    </w:p>
    <w:p w14:paraId="232CBED2" w14:textId="66834873" w:rsidR="00B916A7" w:rsidRDefault="00B916A7" w:rsidP="00B916A7">
      <w:pPr>
        <w:pStyle w:val="Paragraph"/>
      </w:pPr>
      <w:r>
        <w:t xml:space="preserve">Outputs captured by keyword searches frequently demonstrated 'shared terminology' with </w:t>
      </w:r>
      <w:r w:rsidR="00E115FC">
        <w:t xml:space="preserve">other </w:t>
      </w:r>
      <w:r>
        <w:t>disciplines</w:t>
      </w:r>
      <w:r w:rsidR="00E115FC">
        <w:t xml:space="preserve">. </w:t>
      </w:r>
      <w:r>
        <w:t xml:space="preserve">Further review was required to permit the inclusion of relevant interdisciplinary work while eliminating research without a graphic design basis. </w:t>
      </w:r>
      <w:r w:rsidRPr="007C3B35">
        <w:t>For instance, it emerged that term</w:t>
      </w:r>
      <w:r>
        <w:t>s such as</w:t>
      </w:r>
      <w:r w:rsidRPr="007C3B35">
        <w:t xml:space="preserve"> ‘visualisation’ </w:t>
      </w:r>
      <w:r>
        <w:t>and 'illustration' were</w:t>
      </w:r>
      <w:r w:rsidRPr="007C3B35">
        <w:t xml:space="preserve"> frequently used in </w:t>
      </w:r>
      <w:r>
        <w:t>a</w:t>
      </w:r>
      <w:r w:rsidRPr="007C3B35">
        <w:t xml:space="preserve">dditional </w:t>
      </w:r>
      <w:r>
        <w:t>i</w:t>
      </w:r>
      <w:r w:rsidRPr="007C3B35">
        <w:t>nformation</w:t>
      </w:r>
      <w:r>
        <w:t xml:space="preserve"> fields</w:t>
      </w:r>
      <w:r w:rsidRPr="007C3B35">
        <w:t xml:space="preserve"> provided for outputs from fine art</w:t>
      </w:r>
      <w:r>
        <w:t>, music</w:t>
      </w:r>
      <w:r w:rsidRPr="007C3B35">
        <w:t xml:space="preserve"> and dance.</w:t>
      </w:r>
      <w:r>
        <w:t xml:space="preserve"> To address this, searches were refined to eliminate those beyond the boundaries of graphic design. At regular intervals, </w:t>
      </w:r>
      <w:r w:rsidRPr="00A72D18">
        <w:t>we</w:t>
      </w:r>
      <w:r>
        <w:t xml:space="preserve"> reviewed the additional information fields of captured outputs to</w:t>
      </w:r>
      <w:r w:rsidR="00E115FC">
        <w:t xml:space="preserve"> confirm</w:t>
      </w:r>
      <w:r>
        <w:t xml:space="preserve"> relevance</w:t>
      </w:r>
      <w:r w:rsidR="00E115FC">
        <w:t xml:space="preserve"> and</w:t>
      </w:r>
      <w:r>
        <w:t xml:space="preserve"> suitability</w:t>
      </w:r>
      <w:r w:rsidR="00E115FC">
        <w:t>.</w:t>
      </w:r>
    </w:p>
    <w:p w14:paraId="416BCB1D" w14:textId="1F9E8BF6" w:rsidR="00F24B9C" w:rsidRPr="00EF4101" w:rsidRDefault="00763E9C" w:rsidP="00981584">
      <w:pPr>
        <w:pStyle w:val="Heading2"/>
      </w:pPr>
      <w:r w:rsidRPr="00EF4101">
        <w:t>R</w:t>
      </w:r>
      <w:r>
        <w:t>esults</w:t>
      </w:r>
    </w:p>
    <w:p w14:paraId="5F5BE010" w14:textId="5E094628" w:rsidR="00F24B9C" w:rsidRPr="00F24B9C" w:rsidRDefault="00F24B9C" w:rsidP="00F24B9C">
      <w:pPr>
        <w:pStyle w:val="Paragraph"/>
      </w:pPr>
      <w:r w:rsidRPr="003520F7">
        <w:rPr>
          <w:lang w:val="en-US"/>
        </w:rPr>
        <w:t xml:space="preserve">The results </w:t>
      </w:r>
      <w:r w:rsidR="00DB4863">
        <w:rPr>
          <w:lang w:val="en-US"/>
        </w:rPr>
        <w:t>of the keyword search</w:t>
      </w:r>
      <w:r w:rsidR="00D24588">
        <w:rPr>
          <w:lang w:val="en-US"/>
        </w:rPr>
        <w:t xml:space="preserve"> we</w:t>
      </w:r>
      <w:r w:rsidRPr="003520F7">
        <w:rPr>
          <w:lang w:val="en-US"/>
        </w:rPr>
        <w:t xml:space="preserve">re broken into </w:t>
      </w:r>
      <w:r w:rsidRPr="007C2A86">
        <w:rPr>
          <w:lang w:val="en-US"/>
        </w:rPr>
        <w:t>f</w:t>
      </w:r>
      <w:r w:rsidR="00364E43">
        <w:rPr>
          <w:lang w:val="en-US"/>
        </w:rPr>
        <w:t>our</w:t>
      </w:r>
      <w:r w:rsidRPr="003520F7">
        <w:rPr>
          <w:lang w:val="en-US"/>
        </w:rPr>
        <w:t xml:space="preserve"> sections: </w:t>
      </w:r>
      <w:r>
        <w:rPr>
          <w:lang w:val="en-US"/>
        </w:rPr>
        <w:t xml:space="preserve">i) </w:t>
      </w:r>
      <w:r w:rsidRPr="00EF4101">
        <w:rPr>
          <w:lang w:val="en-US"/>
        </w:rPr>
        <w:t xml:space="preserve">volume </w:t>
      </w:r>
      <w:r w:rsidR="00E115FC">
        <w:rPr>
          <w:lang w:val="en-US"/>
        </w:rPr>
        <w:t>(</w:t>
      </w:r>
      <w:r w:rsidRPr="00EF4101">
        <w:rPr>
          <w:lang w:val="en-US"/>
        </w:rPr>
        <w:t xml:space="preserve">of graphic design </w:t>
      </w:r>
      <w:r>
        <w:rPr>
          <w:lang w:val="en-US"/>
        </w:rPr>
        <w:t>outputs</w:t>
      </w:r>
      <w:r w:rsidR="00E115FC">
        <w:rPr>
          <w:lang w:val="en-US"/>
        </w:rPr>
        <w:t>)</w:t>
      </w:r>
      <w:r>
        <w:rPr>
          <w:lang w:val="en-US"/>
        </w:rPr>
        <w:t xml:space="preserve">; ii) </w:t>
      </w:r>
      <w:r w:rsidRPr="00EF4101">
        <w:rPr>
          <w:lang w:val="en-US"/>
        </w:rPr>
        <w:t>types</w:t>
      </w:r>
      <w:r>
        <w:rPr>
          <w:lang w:val="en-US"/>
        </w:rPr>
        <w:t xml:space="preserve">; iii) </w:t>
      </w:r>
      <w:r w:rsidRPr="00EF4101">
        <w:rPr>
          <w:lang w:val="en-US"/>
        </w:rPr>
        <w:t>comparison of types</w:t>
      </w:r>
      <w:r>
        <w:rPr>
          <w:lang w:val="en-US"/>
        </w:rPr>
        <w:t xml:space="preserve">; iv) </w:t>
      </w:r>
      <w:r w:rsidRPr="00EF4101">
        <w:rPr>
          <w:lang w:val="en-US"/>
        </w:rPr>
        <w:t xml:space="preserve">volume of </w:t>
      </w:r>
      <w:r>
        <w:rPr>
          <w:lang w:val="en-US"/>
        </w:rPr>
        <w:t>outputs</w:t>
      </w:r>
      <w:r w:rsidRPr="00EF4101">
        <w:rPr>
          <w:lang w:val="en-US"/>
        </w:rPr>
        <w:t xml:space="preserve"> by institution</w:t>
      </w:r>
      <w:r>
        <w:t>.</w:t>
      </w:r>
    </w:p>
    <w:p w14:paraId="62AFBF6B" w14:textId="1DDB077E" w:rsidR="00F24B9C" w:rsidRPr="00F24B9C" w:rsidRDefault="00F24B9C" w:rsidP="00F24B9C">
      <w:pPr>
        <w:pStyle w:val="Paragraph"/>
        <w:rPr>
          <w:b/>
          <w:lang w:val="en-US"/>
        </w:rPr>
      </w:pPr>
      <w:r w:rsidRPr="00981584">
        <w:rPr>
          <w:rStyle w:val="Heading3Char"/>
        </w:rPr>
        <w:t>Volume of graphic design outputs submitted</w:t>
      </w:r>
      <w:r>
        <w:rPr>
          <w:b/>
          <w:lang w:val="en-US"/>
        </w:rPr>
        <w:br/>
      </w:r>
      <w:r>
        <w:t xml:space="preserve">From the total of </w:t>
      </w:r>
      <w:r w:rsidRPr="003520F7">
        <w:t>6,321</w:t>
      </w:r>
      <w:r>
        <w:t xml:space="preserve"> outputs our analysis identified 190 graphic design research outputs falling within our established search criteria</w:t>
      </w:r>
      <w:r w:rsidRPr="000A4BBC">
        <w:rPr>
          <w:i/>
          <w:color w:val="000000" w:themeColor="text1"/>
        </w:rPr>
        <w:t>.</w:t>
      </w:r>
      <w:r>
        <w:rPr>
          <w:color w:val="000000" w:themeColor="text1"/>
        </w:rPr>
        <w:t xml:space="preserve"> This figure represents </w:t>
      </w:r>
      <w:r>
        <w:t xml:space="preserve">3% of the </w:t>
      </w:r>
      <w:r>
        <w:lastRenderedPageBreak/>
        <w:t xml:space="preserve">total number of outputs submitted to UoA34. </w:t>
      </w:r>
    </w:p>
    <w:p w14:paraId="7C3D3E0A" w14:textId="3828F9BA" w:rsidR="00505FD5" w:rsidRPr="00981584" w:rsidRDefault="00F24B9C" w:rsidP="00981584">
      <w:pPr>
        <w:pStyle w:val="Paragraph"/>
        <w:rPr>
          <w:b/>
          <w:lang w:val="en-US"/>
        </w:rPr>
      </w:pPr>
      <w:r w:rsidRPr="00981584">
        <w:rPr>
          <w:rStyle w:val="Heading3Char"/>
        </w:rPr>
        <w:t>Types of graphic design output</w:t>
      </w:r>
      <w:r>
        <w:rPr>
          <w:b/>
          <w:lang w:val="en-US"/>
        </w:rPr>
        <w:br/>
      </w:r>
      <w:r w:rsidRPr="003520F7">
        <w:t>REF2014</w:t>
      </w:r>
      <w:r>
        <w:t xml:space="preserve"> provided a choice of 21 different output types (</w:t>
      </w:r>
      <w:r w:rsidR="00E115FC">
        <w:t xml:space="preserve">see </w:t>
      </w:r>
      <w:r>
        <w:t>Figure 1). Through analysis, we mapped</w:t>
      </w:r>
      <w:r w:rsidRPr="00892F2E">
        <w:t xml:space="preserve"> </w:t>
      </w:r>
      <w:r>
        <w:t xml:space="preserve">the distribution of graphic design research by output type (Figure 1). </w:t>
      </w:r>
      <w:r w:rsidRPr="003520F7">
        <w:t xml:space="preserve">Two notable </w:t>
      </w:r>
      <w:r>
        <w:t xml:space="preserve">observations </w:t>
      </w:r>
      <w:r w:rsidR="00E115FC">
        <w:t>are worth mentioning here</w:t>
      </w:r>
      <w:r>
        <w:t>: i)</w:t>
      </w:r>
      <w:r w:rsidRPr="003520F7">
        <w:t xml:space="preserve"> 63.7% of graphic design outputs were in ‘traditional’ written form</w:t>
      </w:r>
      <w:r>
        <w:t xml:space="preserve">s, </w:t>
      </w:r>
      <w:r w:rsidRPr="003520F7">
        <w:t>(Authored Book, Edited Book, Chapter in a B</w:t>
      </w:r>
      <w:r>
        <w:t xml:space="preserve">ook or </w:t>
      </w:r>
      <w:r w:rsidRPr="003520F7">
        <w:t>Journal Artic</w:t>
      </w:r>
      <w:r>
        <w:t xml:space="preserve">le); ii) </w:t>
      </w:r>
      <w:r w:rsidR="00A57AA9">
        <w:t>1</w:t>
      </w:r>
      <w:r w:rsidRPr="003520F7">
        <w:t xml:space="preserve">5.8% of graphic design outputs were artefacts or designs. </w:t>
      </w:r>
      <w:r>
        <w:t xml:space="preserve">While these results suggest a tendency to gravitate towards traditional academic forms, they may also be reflective of institutional selection criteria. </w:t>
      </w:r>
    </w:p>
    <w:p w14:paraId="45B68B7E" w14:textId="45AFB374" w:rsidR="00AF633C" w:rsidRDefault="00F24B9C" w:rsidP="00B13304">
      <w:pPr>
        <w:pStyle w:val="Tabletitle"/>
      </w:pPr>
      <w:r>
        <w:t>Figure 1:</w:t>
      </w:r>
      <w:r w:rsidRPr="00BE67D8">
        <w:t xml:space="preserve"> </w:t>
      </w:r>
      <w:r w:rsidR="00BA71AE">
        <w:t>The distribution of graphic design research by output type compared with the distribution of all research by output types in UoA34</w:t>
      </w:r>
      <w:r w:rsidR="00981584">
        <w:t xml:space="preserve"> </w:t>
      </w:r>
      <w:r w:rsidRPr="00BE67D8">
        <w:t>submitted to REF2014</w:t>
      </w:r>
    </w:p>
    <w:p w14:paraId="246AB5F0" w14:textId="597FC88A" w:rsidR="00AF633C" w:rsidRPr="00AF633C" w:rsidRDefault="00C62319" w:rsidP="00B13304">
      <w:pPr>
        <w:ind w:left="-720" w:hanging="450"/>
      </w:pPr>
      <w:r>
        <w:rPr>
          <w:noProof/>
        </w:rPr>
        <w:lastRenderedPageBreak/>
        <w:drawing>
          <wp:inline distT="0" distB="0" distL="0" distR="0" wp14:anchorId="163D48C7" wp14:editId="69FF504A">
            <wp:extent cx="7229009" cy="7921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F Output types figure.pdf"/>
                    <pic:cNvPicPr/>
                  </pic:nvPicPr>
                  <pic:blipFill>
                    <a:blip r:embed="rId9"/>
                    <a:stretch>
                      <a:fillRect/>
                    </a:stretch>
                  </pic:blipFill>
                  <pic:spPr>
                    <a:xfrm>
                      <a:off x="0" y="0"/>
                      <a:ext cx="7269898" cy="7966180"/>
                    </a:xfrm>
                    <a:prstGeom prst="rect">
                      <a:avLst/>
                    </a:prstGeom>
                  </pic:spPr>
                </pic:pic>
              </a:graphicData>
            </a:graphic>
          </wp:inline>
        </w:drawing>
      </w:r>
    </w:p>
    <w:p w14:paraId="2CD28A03" w14:textId="4C00C613" w:rsidR="00F24B9C" w:rsidRPr="00F24B9C" w:rsidRDefault="00F24B9C" w:rsidP="00E24568">
      <w:pPr>
        <w:pStyle w:val="Paragraph"/>
      </w:pPr>
      <w:r w:rsidRPr="004B381A">
        <w:rPr>
          <w:rStyle w:val="Heading3Char"/>
        </w:rPr>
        <w:t>Comparison of output types</w:t>
      </w:r>
      <w:r>
        <w:rPr>
          <w:b/>
        </w:rPr>
        <w:br/>
      </w:r>
      <w:r w:rsidR="0024337E">
        <w:t>T</w:t>
      </w:r>
      <w:r w:rsidR="0024337E" w:rsidRPr="001A019D">
        <w:t xml:space="preserve">he distribution of graphic design research output types </w:t>
      </w:r>
      <w:r w:rsidR="0024337E">
        <w:t xml:space="preserve">were compared </w:t>
      </w:r>
      <w:r w:rsidR="0024337E" w:rsidRPr="001A019D">
        <w:t xml:space="preserve">with the </w:t>
      </w:r>
      <w:r w:rsidR="0024337E" w:rsidRPr="001A019D">
        <w:lastRenderedPageBreak/>
        <w:t xml:space="preserve">distribution of </w:t>
      </w:r>
      <w:r w:rsidR="00E115FC">
        <w:t xml:space="preserve">all </w:t>
      </w:r>
      <w:r w:rsidR="0024337E" w:rsidRPr="001A019D">
        <w:t>output types submi</w:t>
      </w:r>
      <w:r w:rsidR="00E115FC">
        <w:t>tted</w:t>
      </w:r>
      <w:r w:rsidR="0024337E" w:rsidRPr="001A019D">
        <w:t xml:space="preserve"> to UoA34 (</w:t>
      </w:r>
      <w:r w:rsidR="0024337E">
        <w:t>Figure 1</w:t>
      </w:r>
      <w:r w:rsidR="0024337E" w:rsidRPr="001A019D">
        <w:t xml:space="preserve">). </w:t>
      </w:r>
      <w:r w:rsidR="009F029A" w:rsidRPr="001A019D">
        <w:t xml:space="preserve">The results </w:t>
      </w:r>
      <w:r w:rsidR="009F029A">
        <w:t>show that graphic design broadly parallels output types across UoA34.</w:t>
      </w:r>
      <w:r w:rsidR="009F029A" w:rsidDel="009F029A">
        <w:t xml:space="preserve"> </w:t>
      </w:r>
      <w:r w:rsidR="009F029A">
        <w:t>H</w:t>
      </w:r>
      <w:r w:rsidRPr="00E43901">
        <w:t xml:space="preserve">owever, there are noteworthy differences. First, 16.3% of graphic design outputs were </w:t>
      </w:r>
      <w:r w:rsidR="00E115FC">
        <w:t>a</w:t>
      </w:r>
      <w:r w:rsidRPr="00E43901">
        <w:t xml:space="preserve">uthored </w:t>
      </w:r>
      <w:r w:rsidR="00E115FC">
        <w:t>b</w:t>
      </w:r>
      <w:r w:rsidRPr="00E43901">
        <w:t xml:space="preserve">ooks as opposed to 9.3% for UoA34 as a whole. Secondly, and as noted previously, 63.7% of graphic design outputs </w:t>
      </w:r>
      <w:r w:rsidR="007D107D">
        <w:t>took</w:t>
      </w:r>
      <w:r w:rsidR="00304AD3">
        <w:t xml:space="preserve"> ‘</w:t>
      </w:r>
      <w:r w:rsidRPr="00E43901">
        <w:t xml:space="preserve">traditional’ </w:t>
      </w:r>
      <w:r w:rsidR="007D107D">
        <w:t>text-based</w:t>
      </w:r>
      <w:r w:rsidR="007D107D" w:rsidRPr="00E43901">
        <w:t xml:space="preserve"> </w:t>
      </w:r>
      <w:r w:rsidRPr="00E43901">
        <w:t xml:space="preserve">forms </w:t>
      </w:r>
      <w:r w:rsidR="00C67556">
        <w:t>compared to</w:t>
      </w:r>
      <w:r w:rsidRPr="00E43901">
        <w:rPr>
          <w:color w:val="000000" w:themeColor="text1"/>
        </w:rPr>
        <w:t xml:space="preserve"> </w:t>
      </w:r>
      <w:r w:rsidRPr="00E43901">
        <w:t xml:space="preserve">57% of all UoA34 </w:t>
      </w:r>
      <w:r>
        <w:t>outputs</w:t>
      </w:r>
      <w:r w:rsidRPr="00E43901">
        <w:t xml:space="preserve"> in</w:t>
      </w:r>
      <w:r w:rsidR="00E24568">
        <w:t xml:space="preserve"> </w:t>
      </w:r>
      <w:r w:rsidR="00304AD3">
        <w:rPr>
          <w:rStyle w:val="Heading2Char"/>
        </w:rPr>
        <w:t>‘</w:t>
      </w:r>
      <w:r w:rsidRPr="00E43901">
        <w:t xml:space="preserve">traditional’ </w:t>
      </w:r>
      <w:r w:rsidR="007D107D">
        <w:t>text-based</w:t>
      </w:r>
      <w:r w:rsidR="007D107D" w:rsidRPr="00E43901">
        <w:t xml:space="preserve"> </w:t>
      </w:r>
      <w:r w:rsidRPr="00E43901">
        <w:t xml:space="preserve">forms. And finally, 6.8% of graphic design outputs </w:t>
      </w:r>
      <w:r w:rsidRPr="00FA5077">
        <w:t xml:space="preserve">were in the form of an exhibition, as </w:t>
      </w:r>
      <w:r w:rsidRPr="00E43901">
        <w:t xml:space="preserve">opposed to 17.9% for UoA34 as whole. However, there was a significantly larger proportion of </w:t>
      </w:r>
      <w:r w:rsidR="00304AD3">
        <w:t>de</w:t>
      </w:r>
      <w:r w:rsidR="00304AD3" w:rsidRPr="00E43901">
        <w:t xml:space="preserve">sign </w:t>
      </w:r>
      <w:r w:rsidR="005815F6">
        <w:t xml:space="preserve">artefacts </w:t>
      </w:r>
      <w:r w:rsidRPr="00E43901">
        <w:t>types: 6.3% compared to 1.1% for UoA34 as a whole</w:t>
      </w:r>
      <w:r w:rsidR="00724CE9">
        <w:t>.</w:t>
      </w:r>
    </w:p>
    <w:p w14:paraId="70F0F2AB" w14:textId="570ED332" w:rsidR="00B13304" w:rsidRDefault="00F24B9C" w:rsidP="00F24B9C">
      <w:pPr>
        <w:pStyle w:val="Paragraph"/>
      </w:pPr>
      <w:r w:rsidRPr="004B381A">
        <w:rPr>
          <w:rStyle w:val="Heading3Char"/>
        </w:rPr>
        <w:t xml:space="preserve">Volume of </w:t>
      </w:r>
      <w:r w:rsidR="004B381A">
        <w:rPr>
          <w:rStyle w:val="Heading3Char"/>
        </w:rPr>
        <w:t>g</w:t>
      </w:r>
      <w:r w:rsidRPr="004B381A">
        <w:rPr>
          <w:rStyle w:val="Heading3Char"/>
        </w:rPr>
        <w:t xml:space="preserve">raphic </w:t>
      </w:r>
      <w:r w:rsidR="004B381A">
        <w:rPr>
          <w:rStyle w:val="Heading3Char"/>
        </w:rPr>
        <w:t>d</w:t>
      </w:r>
      <w:r w:rsidRPr="004B381A">
        <w:rPr>
          <w:rStyle w:val="Heading3Char"/>
        </w:rPr>
        <w:t xml:space="preserve">esign </w:t>
      </w:r>
      <w:r w:rsidR="004B381A">
        <w:rPr>
          <w:rStyle w:val="Heading3Char"/>
        </w:rPr>
        <w:t>o</w:t>
      </w:r>
      <w:r w:rsidRPr="004B381A">
        <w:rPr>
          <w:rStyle w:val="Heading3Char"/>
        </w:rPr>
        <w:t xml:space="preserve">utputs by </w:t>
      </w:r>
      <w:r w:rsidR="004B381A">
        <w:rPr>
          <w:rStyle w:val="Heading3Char"/>
        </w:rPr>
        <w:t>i</w:t>
      </w:r>
      <w:r w:rsidRPr="004B381A">
        <w:rPr>
          <w:rStyle w:val="Heading3Char"/>
        </w:rPr>
        <w:t>nstitution</w:t>
      </w:r>
      <w:r>
        <w:rPr>
          <w:i/>
        </w:rPr>
        <w:br/>
      </w:r>
      <w:r w:rsidR="00C67556">
        <w:t>A</w:t>
      </w:r>
      <w:r w:rsidRPr="007C2A86">
        <w:t xml:space="preserve">nalysis revealed </w:t>
      </w:r>
      <w:r>
        <w:t xml:space="preserve">that </w:t>
      </w:r>
      <w:r w:rsidRPr="007C2A86">
        <w:t xml:space="preserve">out </w:t>
      </w:r>
      <w:r>
        <w:t xml:space="preserve">of </w:t>
      </w:r>
      <w:r w:rsidRPr="007C2A86">
        <w:t xml:space="preserve">the 81 HEIs submitting to UoA34, only 36 (44.4%) submitted at least one graphic design output. While institutional submissions to REF2014 are publicly available, </w:t>
      </w:r>
      <w:r w:rsidR="00D858D8">
        <w:t>it was</w:t>
      </w:r>
      <w:r w:rsidR="00A57AA9" w:rsidRPr="007C2A86">
        <w:t xml:space="preserve"> </w:t>
      </w:r>
      <w:r w:rsidR="00A57AA9">
        <w:t>c</w:t>
      </w:r>
      <w:r>
        <w:t>oncluded</w:t>
      </w:r>
      <w:r w:rsidRPr="007C2A86">
        <w:t xml:space="preserve"> that </w:t>
      </w:r>
      <w:r>
        <w:t>to reveal</w:t>
      </w:r>
      <w:r w:rsidRPr="007C2A86">
        <w:t xml:space="preserve"> graphic design outputs by institution </w:t>
      </w:r>
      <w:r>
        <w:t>would be potentially sensitive, and so data has been anonymised</w:t>
      </w:r>
      <w:r w:rsidRPr="007C2A86">
        <w:t xml:space="preserve">. However, to ensure some level </w:t>
      </w:r>
      <w:r>
        <w:t xml:space="preserve">of </w:t>
      </w:r>
      <w:r w:rsidRPr="007C2A86">
        <w:t xml:space="preserve">meaning could be attributed to the results, each of the 36 institutions </w:t>
      </w:r>
      <w:r>
        <w:t>submitting at least one graphic design output were classified within</w:t>
      </w:r>
      <w:r w:rsidRPr="007C2A86">
        <w:t xml:space="preserve"> the following UK institutional types</w:t>
      </w:r>
      <w:r>
        <w:t xml:space="preserve"> (</w:t>
      </w:r>
      <w:r w:rsidR="00D61B17">
        <w:t xml:space="preserve">see </w:t>
      </w:r>
      <w:r w:rsidR="00DE07A3">
        <w:t>T</w:t>
      </w:r>
      <w:r>
        <w:t>able</w:t>
      </w:r>
      <w:r w:rsidR="00D61B17">
        <w:t xml:space="preserve"> 3</w:t>
      </w:r>
      <w:r>
        <w:t>)</w:t>
      </w:r>
      <w:r w:rsidR="006951C5">
        <w:t xml:space="preserve">: </w:t>
      </w:r>
    </w:p>
    <w:p w14:paraId="7BC31D11" w14:textId="669A77AA" w:rsidR="00F24B9C" w:rsidRPr="00120CFD" w:rsidRDefault="00F24B9C" w:rsidP="00F24B9C">
      <w:pPr>
        <w:pStyle w:val="Paragraph"/>
      </w:pPr>
      <w:r w:rsidRPr="00E94C26">
        <w:t xml:space="preserve">Table </w:t>
      </w:r>
      <w:r w:rsidR="00E94C26" w:rsidRPr="00E94C26">
        <w:t>3</w:t>
      </w:r>
      <w:r w:rsidR="00E94C26">
        <w:t>: Types of University in the UK</w:t>
      </w:r>
    </w:p>
    <w:tbl>
      <w:tblPr>
        <w:tblStyle w:val="TableGrid"/>
        <w:tblW w:w="0" w:type="auto"/>
        <w:tblLook w:val="04A0" w:firstRow="1" w:lastRow="0" w:firstColumn="1" w:lastColumn="0" w:noHBand="0" w:noVBand="1"/>
      </w:tblPr>
      <w:tblGrid>
        <w:gridCol w:w="2399"/>
        <w:gridCol w:w="6090"/>
      </w:tblGrid>
      <w:tr w:rsidR="00F24B9C" w14:paraId="4491325E" w14:textId="77777777" w:rsidTr="00F24B9C">
        <w:tc>
          <w:tcPr>
            <w:tcW w:w="2449" w:type="dxa"/>
          </w:tcPr>
          <w:p w14:paraId="073F080B" w14:textId="77777777" w:rsidR="00F24B9C" w:rsidRPr="00BF6240" w:rsidRDefault="00F24B9C" w:rsidP="00F24B9C">
            <w:pPr>
              <w:pStyle w:val="xTableText"/>
              <w:rPr>
                <w:sz w:val="16"/>
                <w:szCs w:val="16"/>
              </w:rPr>
            </w:pPr>
            <w:r w:rsidRPr="00BF6240">
              <w:t>Ancient universities</w:t>
            </w:r>
          </w:p>
        </w:tc>
        <w:tc>
          <w:tcPr>
            <w:tcW w:w="6266" w:type="dxa"/>
          </w:tcPr>
          <w:p w14:paraId="18245302" w14:textId="77777777" w:rsidR="00F24B9C" w:rsidRDefault="00F24B9C" w:rsidP="00F24B9C">
            <w:pPr>
              <w:pStyle w:val="xTableText"/>
              <w:rPr>
                <w:sz w:val="16"/>
                <w:szCs w:val="16"/>
              </w:rPr>
            </w:pPr>
            <w:r>
              <w:t>Refers to the</w:t>
            </w:r>
            <w:r w:rsidRPr="007605B5">
              <w:t xml:space="preserve"> six universities founded before 1800</w:t>
            </w:r>
          </w:p>
        </w:tc>
      </w:tr>
      <w:tr w:rsidR="00F24B9C" w14:paraId="3EEA4DD4" w14:textId="77777777" w:rsidTr="00F24B9C">
        <w:tc>
          <w:tcPr>
            <w:tcW w:w="2449" w:type="dxa"/>
          </w:tcPr>
          <w:p w14:paraId="1146144C" w14:textId="77777777" w:rsidR="00F24B9C" w:rsidRPr="00BF6240" w:rsidRDefault="00F24B9C" w:rsidP="00F24B9C">
            <w:pPr>
              <w:pStyle w:val="xTableText"/>
              <w:rPr>
                <w:sz w:val="16"/>
                <w:szCs w:val="16"/>
              </w:rPr>
            </w:pPr>
            <w:r w:rsidRPr="00BF6240">
              <w:t>Other</w:t>
            </w:r>
          </w:p>
        </w:tc>
        <w:tc>
          <w:tcPr>
            <w:tcW w:w="6266" w:type="dxa"/>
          </w:tcPr>
          <w:p w14:paraId="48855A69" w14:textId="77777777" w:rsidR="00F24B9C" w:rsidRDefault="00F24B9C" w:rsidP="00F24B9C">
            <w:pPr>
              <w:pStyle w:val="xTableText"/>
              <w:rPr>
                <w:sz w:val="16"/>
                <w:szCs w:val="16"/>
              </w:rPr>
            </w:pPr>
            <w:r>
              <w:t>I</w:t>
            </w:r>
            <w:r w:rsidRPr="00120CFD">
              <w:t>nstitutions that are part of University of London and are neither cla</w:t>
            </w:r>
            <w:r>
              <w:t>ssified as Ancient or Red-Brick</w:t>
            </w:r>
            <w:r w:rsidRPr="00120CFD">
              <w:t>.</w:t>
            </w:r>
          </w:p>
        </w:tc>
      </w:tr>
      <w:tr w:rsidR="00F24B9C" w14:paraId="3EF1F357" w14:textId="77777777" w:rsidTr="00F24B9C">
        <w:tc>
          <w:tcPr>
            <w:tcW w:w="2449" w:type="dxa"/>
          </w:tcPr>
          <w:p w14:paraId="3DB89622" w14:textId="77777777" w:rsidR="00F24B9C" w:rsidRPr="00BF6240" w:rsidRDefault="00F24B9C" w:rsidP="00F24B9C">
            <w:pPr>
              <w:pStyle w:val="xTableText"/>
              <w:rPr>
                <w:sz w:val="16"/>
                <w:szCs w:val="16"/>
              </w:rPr>
            </w:pPr>
            <w:r w:rsidRPr="00BF6240">
              <w:t>Plate Glass</w:t>
            </w:r>
          </w:p>
        </w:tc>
        <w:tc>
          <w:tcPr>
            <w:tcW w:w="6266" w:type="dxa"/>
          </w:tcPr>
          <w:p w14:paraId="6D646134" w14:textId="77777777" w:rsidR="00F24B9C" w:rsidRDefault="00F24B9C" w:rsidP="00F24B9C">
            <w:pPr>
              <w:pStyle w:val="xTableText"/>
              <w:rPr>
                <w:sz w:val="16"/>
                <w:szCs w:val="16"/>
              </w:rPr>
            </w:pPr>
            <w:r>
              <w:t>N</w:t>
            </w:r>
            <w:r w:rsidRPr="007C2A86">
              <w:t>ew institutions created in the 1960s as residential universities with degree-awarding powers</w:t>
            </w:r>
            <w:r>
              <w:t>.</w:t>
            </w:r>
          </w:p>
        </w:tc>
      </w:tr>
      <w:tr w:rsidR="00F24B9C" w14:paraId="3DFC2FAF" w14:textId="77777777" w:rsidTr="00F24B9C">
        <w:tc>
          <w:tcPr>
            <w:tcW w:w="2449" w:type="dxa"/>
          </w:tcPr>
          <w:p w14:paraId="6311165D" w14:textId="77777777" w:rsidR="00F24B9C" w:rsidRPr="00BF6240" w:rsidRDefault="00F24B9C" w:rsidP="00F24B9C">
            <w:pPr>
              <w:pStyle w:val="xTableText"/>
              <w:rPr>
                <w:sz w:val="16"/>
                <w:szCs w:val="16"/>
              </w:rPr>
            </w:pPr>
            <w:r w:rsidRPr="00BF6240">
              <w:t>Post-1992 universities</w:t>
            </w:r>
          </w:p>
        </w:tc>
        <w:tc>
          <w:tcPr>
            <w:tcW w:w="6266" w:type="dxa"/>
          </w:tcPr>
          <w:p w14:paraId="2193CBBF" w14:textId="77777777" w:rsidR="00F24B9C" w:rsidRDefault="00F24B9C" w:rsidP="00F24B9C">
            <w:pPr>
              <w:pStyle w:val="xTableText"/>
              <w:rPr>
                <w:sz w:val="16"/>
                <w:szCs w:val="16"/>
              </w:rPr>
            </w:pPr>
            <w:r>
              <w:t>G</w:t>
            </w:r>
            <w:r w:rsidRPr="007C2A86">
              <w:t>ranted University status by an instrument of government under the Further and Higher Education Act 1992, including former Polytechnics, Colleges and Institutes of Higher Education, and other Higher Education Corporations</w:t>
            </w:r>
            <w:r>
              <w:t>.</w:t>
            </w:r>
          </w:p>
        </w:tc>
      </w:tr>
      <w:tr w:rsidR="00F24B9C" w14:paraId="2FD9ED9E" w14:textId="77777777" w:rsidTr="00F24B9C">
        <w:tc>
          <w:tcPr>
            <w:tcW w:w="2449" w:type="dxa"/>
          </w:tcPr>
          <w:p w14:paraId="0EBE297D" w14:textId="77777777" w:rsidR="00F24B9C" w:rsidRPr="00BF6240" w:rsidRDefault="00F24B9C" w:rsidP="00F24B9C">
            <w:pPr>
              <w:pStyle w:val="xTableText"/>
              <w:rPr>
                <w:sz w:val="16"/>
                <w:szCs w:val="16"/>
              </w:rPr>
            </w:pPr>
            <w:r w:rsidRPr="00BF6240">
              <w:t>Red brick universities </w:t>
            </w:r>
          </w:p>
        </w:tc>
        <w:tc>
          <w:tcPr>
            <w:tcW w:w="6266" w:type="dxa"/>
          </w:tcPr>
          <w:p w14:paraId="304A5CE1" w14:textId="77777777" w:rsidR="00F24B9C" w:rsidRDefault="00F24B9C" w:rsidP="00F24B9C">
            <w:pPr>
              <w:pStyle w:val="xTableText"/>
              <w:rPr>
                <w:sz w:val="16"/>
                <w:szCs w:val="16"/>
              </w:rPr>
            </w:pPr>
            <w:r>
              <w:t>F</w:t>
            </w:r>
            <w:r w:rsidRPr="007C2A86">
              <w:t>ounded in provincial cities as non-residential university colleges in the later 19th and early 20</w:t>
            </w:r>
            <w:r w:rsidRPr="00BF6240">
              <w:rPr>
                <w:vertAlign w:val="superscript"/>
              </w:rPr>
              <w:t>th</w:t>
            </w:r>
            <w:r>
              <w:t>.</w:t>
            </w:r>
          </w:p>
        </w:tc>
      </w:tr>
      <w:tr w:rsidR="00F24B9C" w14:paraId="4608144D" w14:textId="77777777" w:rsidTr="00EC7B59">
        <w:trPr>
          <w:trHeight w:val="78"/>
        </w:trPr>
        <w:tc>
          <w:tcPr>
            <w:tcW w:w="2449" w:type="dxa"/>
          </w:tcPr>
          <w:p w14:paraId="567DA3FC" w14:textId="77777777" w:rsidR="00F24B9C" w:rsidRPr="00BF6240" w:rsidRDefault="00F24B9C" w:rsidP="00F24B9C">
            <w:pPr>
              <w:pStyle w:val="xTableText"/>
              <w:rPr>
                <w:sz w:val="16"/>
                <w:szCs w:val="16"/>
              </w:rPr>
            </w:pPr>
            <w:r w:rsidRPr="00BF6240">
              <w:t>Specialist institutions</w:t>
            </w:r>
          </w:p>
        </w:tc>
        <w:tc>
          <w:tcPr>
            <w:tcW w:w="6266" w:type="dxa"/>
          </w:tcPr>
          <w:p w14:paraId="2D08CF5E" w14:textId="77777777" w:rsidR="00F24B9C" w:rsidRDefault="00F24B9C" w:rsidP="00F24B9C">
            <w:pPr>
              <w:pStyle w:val="xTableText"/>
              <w:rPr>
                <w:sz w:val="16"/>
                <w:szCs w:val="16"/>
              </w:rPr>
            </w:pPr>
            <w:r>
              <w:t>C</w:t>
            </w:r>
            <w:r w:rsidRPr="007C2A86">
              <w:t>an include Specialist Arts, Teaching, Music or Agriculture</w:t>
            </w:r>
            <w:r>
              <w:t>.</w:t>
            </w:r>
          </w:p>
        </w:tc>
      </w:tr>
    </w:tbl>
    <w:p w14:paraId="14647B6C" w14:textId="492F320A" w:rsidR="00A57AA9" w:rsidRPr="00311936" w:rsidRDefault="00A57AA9" w:rsidP="00A57AA9">
      <w:pPr>
        <w:pStyle w:val="Tabletitle"/>
      </w:pPr>
    </w:p>
    <w:p w14:paraId="456CBD8E" w14:textId="77777777" w:rsidR="00A57AA9" w:rsidRPr="00311936" w:rsidRDefault="00A57AA9" w:rsidP="00A57AA9">
      <w:pPr>
        <w:pStyle w:val="Tabletitle"/>
      </w:pPr>
      <w:r w:rsidRPr="0066192A">
        <w:lastRenderedPageBreak/>
        <w:t xml:space="preserve">Table </w:t>
      </w:r>
      <w:r>
        <w:t>4</w:t>
      </w:r>
      <w:r w:rsidRPr="0066192A">
        <w:t xml:space="preserve">: </w:t>
      </w:r>
      <w:r>
        <w:t>Volume of Graphic Design outputs submitted to UoA34 REF 2014 by HEI (Higher Education Institution)</w:t>
      </w:r>
    </w:p>
    <w:tbl>
      <w:tblPr>
        <w:tblStyle w:val="TableGrid"/>
        <w:tblW w:w="6091" w:type="dxa"/>
        <w:tblLayout w:type="fixed"/>
        <w:tblLook w:val="04A0" w:firstRow="1" w:lastRow="0" w:firstColumn="1" w:lastColumn="0" w:noHBand="0" w:noVBand="1"/>
      </w:tblPr>
      <w:tblGrid>
        <w:gridCol w:w="1555"/>
        <w:gridCol w:w="1134"/>
        <w:gridCol w:w="1134"/>
        <w:gridCol w:w="1134"/>
        <w:gridCol w:w="1134"/>
      </w:tblGrid>
      <w:tr w:rsidR="00A57AA9" w:rsidRPr="00480820" w14:paraId="0397DE8C" w14:textId="77777777" w:rsidTr="004B381A">
        <w:trPr>
          <w:cantSplit/>
          <w:trHeight w:val="2400"/>
        </w:trPr>
        <w:tc>
          <w:tcPr>
            <w:tcW w:w="1555" w:type="dxa"/>
            <w:textDirection w:val="btLr"/>
          </w:tcPr>
          <w:p w14:paraId="77B0B943" w14:textId="77777777" w:rsidR="00A57AA9" w:rsidRPr="00480820" w:rsidRDefault="00A57AA9" w:rsidP="004B381A">
            <w:pPr>
              <w:pStyle w:val="xTableText"/>
              <w:ind w:left="113" w:right="113"/>
            </w:pPr>
            <w:r>
              <w:t>Institution</w:t>
            </w:r>
          </w:p>
        </w:tc>
        <w:tc>
          <w:tcPr>
            <w:tcW w:w="1134" w:type="dxa"/>
            <w:textDirection w:val="btLr"/>
            <w:vAlign w:val="center"/>
          </w:tcPr>
          <w:p w14:paraId="51C046E2" w14:textId="77777777" w:rsidR="00A57AA9" w:rsidRPr="00480820" w:rsidRDefault="00A57AA9" w:rsidP="00A57AA9">
            <w:pPr>
              <w:pStyle w:val="xTableText"/>
            </w:pPr>
            <w:r w:rsidRPr="00480820">
              <w:t xml:space="preserve">Graphic </w:t>
            </w:r>
            <w:r>
              <w:t>D</w:t>
            </w:r>
            <w:r w:rsidRPr="00480820">
              <w:t>esign outputs</w:t>
            </w:r>
            <w:r>
              <w:t xml:space="preserve"> submitted to UoA34</w:t>
            </w:r>
          </w:p>
        </w:tc>
        <w:tc>
          <w:tcPr>
            <w:tcW w:w="1134" w:type="dxa"/>
            <w:textDirection w:val="btLr"/>
            <w:vAlign w:val="center"/>
          </w:tcPr>
          <w:p w14:paraId="586C3C91" w14:textId="77777777" w:rsidR="00A57AA9" w:rsidRPr="00480820" w:rsidRDefault="00A57AA9" w:rsidP="00A57AA9">
            <w:pPr>
              <w:pStyle w:val="xTableText"/>
            </w:pPr>
            <w:r>
              <w:t xml:space="preserve">Total outputs </w:t>
            </w:r>
            <w:r>
              <w:br/>
              <w:t>submitted to UoA34</w:t>
            </w:r>
          </w:p>
        </w:tc>
        <w:tc>
          <w:tcPr>
            <w:tcW w:w="1134" w:type="dxa"/>
            <w:textDirection w:val="btLr"/>
            <w:vAlign w:val="center"/>
          </w:tcPr>
          <w:p w14:paraId="4B5C792A" w14:textId="5F1957E3" w:rsidR="00A57AA9" w:rsidRPr="00480820" w:rsidRDefault="00A57AA9" w:rsidP="00A57AA9">
            <w:pPr>
              <w:pStyle w:val="xTableText"/>
            </w:pPr>
            <w:r w:rsidRPr="00480820">
              <w:t xml:space="preserve">Graphic </w:t>
            </w:r>
            <w:r>
              <w:t>D</w:t>
            </w:r>
            <w:r w:rsidRPr="00480820">
              <w:t>esign outputs</w:t>
            </w:r>
            <w:r w:rsidR="00014B16">
              <w:t xml:space="preserve"> </w:t>
            </w:r>
            <w:r w:rsidRPr="00480820">
              <w:t xml:space="preserve">as </w:t>
            </w:r>
            <w:r>
              <w:t>a percentage</w:t>
            </w:r>
            <w:r w:rsidR="00014B16">
              <w:t xml:space="preserve"> </w:t>
            </w:r>
            <w:r w:rsidRPr="00480820">
              <w:t xml:space="preserve">of </w:t>
            </w:r>
            <w:r>
              <w:t>total outputs submitted</w:t>
            </w:r>
            <w:r w:rsidRPr="00480820">
              <w:t xml:space="preserve"> to UoA34</w:t>
            </w:r>
          </w:p>
        </w:tc>
        <w:tc>
          <w:tcPr>
            <w:tcW w:w="1134" w:type="dxa"/>
            <w:textDirection w:val="btLr"/>
            <w:vAlign w:val="center"/>
          </w:tcPr>
          <w:p w14:paraId="35A12F14" w14:textId="3233F98C" w:rsidR="00A57AA9" w:rsidRPr="00480820" w:rsidRDefault="00A57AA9" w:rsidP="00A57AA9">
            <w:pPr>
              <w:pStyle w:val="xTableText"/>
            </w:pPr>
            <w:r>
              <w:t>Institution</w:t>
            </w:r>
            <w:r w:rsidR="00DB4863">
              <w:t>'</w:t>
            </w:r>
            <w:r w:rsidR="003C7787">
              <w:t xml:space="preserve">s </w:t>
            </w:r>
            <w:r>
              <w:t>Graphic Design outputs as a percentage of all Graphic Design outputs submitted to UoA34</w:t>
            </w:r>
          </w:p>
        </w:tc>
      </w:tr>
      <w:tr w:rsidR="00A57AA9" w:rsidRPr="00480820" w14:paraId="1DDA2AEE" w14:textId="77777777" w:rsidTr="00A57AA9">
        <w:tc>
          <w:tcPr>
            <w:tcW w:w="1555" w:type="dxa"/>
          </w:tcPr>
          <w:p w14:paraId="744150E3" w14:textId="77777777" w:rsidR="00A57AA9" w:rsidRPr="003050C2" w:rsidRDefault="00A57AA9" w:rsidP="00A57AA9">
            <w:pPr>
              <w:pStyle w:val="xTableText"/>
              <w:rPr>
                <w:color w:val="000000" w:themeColor="text1"/>
              </w:rPr>
            </w:pPr>
            <w:r w:rsidRPr="003050C2">
              <w:rPr>
                <w:color w:val="000000" w:themeColor="text1"/>
              </w:rPr>
              <w:t>Red Brick D</w:t>
            </w:r>
          </w:p>
        </w:tc>
        <w:tc>
          <w:tcPr>
            <w:tcW w:w="1134" w:type="dxa"/>
          </w:tcPr>
          <w:p w14:paraId="08C8FEDE" w14:textId="77777777" w:rsidR="00A57AA9" w:rsidRPr="00480820" w:rsidRDefault="00A57AA9" w:rsidP="00A57AA9">
            <w:pPr>
              <w:pStyle w:val="xTableText"/>
              <w:jc w:val="center"/>
            </w:pPr>
            <w:r w:rsidRPr="00480820">
              <w:t>38</w:t>
            </w:r>
          </w:p>
        </w:tc>
        <w:tc>
          <w:tcPr>
            <w:tcW w:w="1134" w:type="dxa"/>
          </w:tcPr>
          <w:p w14:paraId="21E63B6E" w14:textId="77777777" w:rsidR="00A57AA9" w:rsidRPr="00480820" w:rsidRDefault="00A57AA9" w:rsidP="00A57AA9">
            <w:pPr>
              <w:pStyle w:val="xTableText"/>
              <w:jc w:val="center"/>
            </w:pPr>
            <w:r>
              <w:t>86</w:t>
            </w:r>
          </w:p>
        </w:tc>
        <w:tc>
          <w:tcPr>
            <w:tcW w:w="1134" w:type="dxa"/>
          </w:tcPr>
          <w:p w14:paraId="1882A7F5" w14:textId="77777777" w:rsidR="00A57AA9" w:rsidRPr="00480820" w:rsidRDefault="00A57AA9" w:rsidP="00A57AA9">
            <w:pPr>
              <w:pStyle w:val="xTableText"/>
              <w:jc w:val="center"/>
            </w:pPr>
            <w:r w:rsidRPr="00480820">
              <w:t>44.2%</w:t>
            </w:r>
          </w:p>
        </w:tc>
        <w:tc>
          <w:tcPr>
            <w:tcW w:w="1134" w:type="dxa"/>
          </w:tcPr>
          <w:p w14:paraId="67720FEF" w14:textId="77777777" w:rsidR="00A57AA9" w:rsidRPr="00480820" w:rsidRDefault="00A57AA9" w:rsidP="00A57AA9">
            <w:pPr>
              <w:pStyle w:val="xTableText"/>
              <w:jc w:val="center"/>
            </w:pPr>
            <w:r w:rsidRPr="00480820">
              <w:t>20.</w:t>
            </w:r>
            <w:r>
              <w:t>0%</w:t>
            </w:r>
          </w:p>
        </w:tc>
      </w:tr>
      <w:tr w:rsidR="00A57AA9" w:rsidRPr="00480820" w14:paraId="4A9DF75E" w14:textId="77777777" w:rsidTr="00A57AA9">
        <w:tc>
          <w:tcPr>
            <w:tcW w:w="1555" w:type="dxa"/>
          </w:tcPr>
          <w:p w14:paraId="55AD9D8A" w14:textId="77777777" w:rsidR="00A57AA9" w:rsidRPr="003050C2" w:rsidRDefault="00A57AA9" w:rsidP="00A57AA9">
            <w:pPr>
              <w:pStyle w:val="xTableText"/>
              <w:rPr>
                <w:color w:val="000000" w:themeColor="text1"/>
              </w:rPr>
            </w:pPr>
            <w:r w:rsidRPr="003050C2">
              <w:rPr>
                <w:color w:val="000000" w:themeColor="text1"/>
              </w:rPr>
              <w:t>Specialist Arts D</w:t>
            </w:r>
          </w:p>
        </w:tc>
        <w:tc>
          <w:tcPr>
            <w:tcW w:w="1134" w:type="dxa"/>
          </w:tcPr>
          <w:p w14:paraId="00819001" w14:textId="77777777" w:rsidR="00A57AA9" w:rsidRPr="00480820" w:rsidRDefault="00A57AA9" w:rsidP="00A57AA9">
            <w:pPr>
              <w:pStyle w:val="xTableText"/>
              <w:jc w:val="center"/>
            </w:pPr>
            <w:r w:rsidRPr="00480820">
              <w:t>23</w:t>
            </w:r>
          </w:p>
        </w:tc>
        <w:tc>
          <w:tcPr>
            <w:tcW w:w="1134" w:type="dxa"/>
          </w:tcPr>
          <w:p w14:paraId="057E13D0" w14:textId="77777777" w:rsidR="00A57AA9" w:rsidRPr="00480820" w:rsidRDefault="00A57AA9" w:rsidP="00A57AA9">
            <w:pPr>
              <w:pStyle w:val="xTableText"/>
              <w:jc w:val="center"/>
            </w:pPr>
            <w:r>
              <w:t>343</w:t>
            </w:r>
          </w:p>
        </w:tc>
        <w:tc>
          <w:tcPr>
            <w:tcW w:w="1134" w:type="dxa"/>
          </w:tcPr>
          <w:p w14:paraId="50CAD4CD" w14:textId="77777777" w:rsidR="00A57AA9" w:rsidRPr="00480820" w:rsidRDefault="00A57AA9" w:rsidP="00A57AA9">
            <w:pPr>
              <w:pStyle w:val="xTableText"/>
              <w:jc w:val="center"/>
            </w:pPr>
            <w:r w:rsidRPr="00480820">
              <w:t>6.7%</w:t>
            </w:r>
          </w:p>
        </w:tc>
        <w:tc>
          <w:tcPr>
            <w:tcW w:w="1134" w:type="dxa"/>
          </w:tcPr>
          <w:p w14:paraId="10529154" w14:textId="77777777" w:rsidR="00A57AA9" w:rsidRPr="00480820" w:rsidRDefault="00A57AA9" w:rsidP="00A57AA9">
            <w:pPr>
              <w:pStyle w:val="xTableText"/>
              <w:jc w:val="center"/>
            </w:pPr>
            <w:r w:rsidRPr="00480820">
              <w:t>12.1</w:t>
            </w:r>
            <w:r>
              <w:t>%</w:t>
            </w:r>
          </w:p>
        </w:tc>
      </w:tr>
      <w:tr w:rsidR="00A57AA9" w:rsidRPr="00480820" w14:paraId="5D92B1B6" w14:textId="77777777" w:rsidTr="00A57AA9">
        <w:tc>
          <w:tcPr>
            <w:tcW w:w="1555" w:type="dxa"/>
          </w:tcPr>
          <w:p w14:paraId="29279F4D" w14:textId="77777777" w:rsidR="00A57AA9" w:rsidRPr="003050C2" w:rsidRDefault="00A57AA9" w:rsidP="00A57AA9">
            <w:pPr>
              <w:pStyle w:val="xTableText"/>
              <w:rPr>
                <w:color w:val="000000" w:themeColor="text1"/>
              </w:rPr>
            </w:pPr>
            <w:r w:rsidRPr="003050C2">
              <w:rPr>
                <w:color w:val="000000" w:themeColor="text1"/>
              </w:rPr>
              <w:t>Post-1992 A</w:t>
            </w:r>
          </w:p>
        </w:tc>
        <w:tc>
          <w:tcPr>
            <w:tcW w:w="1134" w:type="dxa"/>
          </w:tcPr>
          <w:p w14:paraId="701711C1" w14:textId="77777777" w:rsidR="00A57AA9" w:rsidRPr="00480820" w:rsidRDefault="00A57AA9" w:rsidP="00A57AA9">
            <w:pPr>
              <w:pStyle w:val="xTableText"/>
              <w:jc w:val="center"/>
            </w:pPr>
            <w:r w:rsidRPr="00480820">
              <w:t>14</w:t>
            </w:r>
          </w:p>
        </w:tc>
        <w:tc>
          <w:tcPr>
            <w:tcW w:w="1134" w:type="dxa"/>
          </w:tcPr>
          <w:p w14:paraId="40110F93" w14:textId="77777777" w:rsidR="00A57AA9" w:rsidRPr="00480820" w:rsidRDefault="00A57AA9" w:rsidP="00A57AA9">
            <w:pPr>
              <w:pStyle w:val="xTableText"/>
              <w:jc w:val="center"/>
            </w:pPr>
            <w:r>
              <w:t>53</w:t>
            </w:r>
          </w:p>
        </w:tc>
        <w:tc>
          <w:tcPr>
            <w:tcW w:w="1134" w:type="dxa"/>
          </w:tcPr>
          <w:p w14:paraId="698F5AFC" w14:textId="77777777" w:rsidR="00A57AA9" w:rsidRPr="00480820" w:rsidRDefault="00A57AA9" w:rsidP="00A57AA9">
            <w:pPr>
              <w:pStyle w:val="xTableText"/>
              <w:jc w:val="center"/>
            </w:pPr>
            <w:r w:rsidRPr="00480820">
              <w:t>26.4%</w:t>
            </w:r>
          </w:p>
        </w:tc>
        <w:tc>
          <w:tcPr>
            <w:tcW w:w="1134" w:type="dxa"/>
          </w:tcPr>
          <w:p w14:paraId="3BA2548E" w14:textId="77777777" w:rsidR="00A57AA9" w:rsidRPr="00480820" w:rsidRDefault="00A57AA9" w:rsidP="00A57AA9">
            <w:pPr>
              <w:pStyle w:val="xTableText"/>
              <w:jc w:val="center"/>
            </w:pPr>
            <w:r w:rsidRPr="00480820">
              <w:t>7.</w:t>
            </w:r>
            <w:r>
              <w:t>4%</w:t>
            </w:r>
          </w:p>
        </w:tc>
      </w:tr>
      <w:tr w:rsidR="00A57AA9" w:rsidRPr="00480820" w14:paraId="1C79D939" w14:textId="77777777" w:rsidTr="00A57AA9">
        <w:tc>
          <w:tcPr>
            <w:tcW w:w="1555" w:type="dxa"/>
          </w:tcPr>
          <w:p w14:paraId="5FB8830F" w14:textId="77777777" w:rsidR="00A57AA9" w:rsidRPr="003050C2" w:rsidRDefault="00A57AA9" w:rsidP="00A57AA9">
            <w:pPr>
              <w:pStyle w:val="xTableText"/>
              <w:rPr>
                <w:color w:val="000000" w:themeColor="text1"/>
              </w:rPr>
            </w:pPr>
            <w:r w:rsidRPr="003050C2">
              <w:rPr>
                <w:color w:val="000000" w:themeColor="text1"/>
              </w:rPr>
              <w:t>Post-1992 G</w:t>
            </w:r>
          </w:p>
        </w:tc>
        <w:tc>
          <w:tcPr>
            <w:tcW w:w="1134" w:type="dxa"/>
          </w:tcPr>
          <w:p w14:paraId="4488BE86" w14:textId="77777777" w:rsidR="00A57AA9" w:rsidRPr="00480820" w:rsidRDefault="00A57AA9" w:rsidP="00A57AA9">
            <w:pPr>
              <w:pStyle w:val="xTableText"/>
              <w:jc w:val="center"/>
            </w:pPr>
            <w:r w:rsidRPr="00480820">
              <w:t>14</w:t>
            </w:r>
          </w:p>
        </w:tc>
        <w:tc>
          <w:tcPr>
            <w:tcW w:w="1134" w:type="dxa"/>
          </w:tcPr>
          <w:p w14:paraId="4D01FFFB" w14:textId="77777777" w:rsidR="00A57AA9" w:rsidRPr="00480820" w:rsidRDefault="00A57AA9" w:rsidP="00A57AA9">
            <w:pPr>
              <w:pStyle w:val="xTableText"/>
              <w:jc w:val="center"/>
            </w:pPr>
            <w:r>
              <w:t>203</w:t>
            </w:r>
          </w:p>
        </w:tc>
        <w:tc>
          <w:tcPr>
            <w:tcW w:w="1134" w:type="dxa"/>
          </w:tcPr>
          <w:p w14:paraId="60C63033" w14:textId="77777777" w:rsidR="00A57AA9" w:rsidRPr="00480820" w:rsidRDefault="00A57AA9" w:rsidP="00A57AA9">
            <w:pPr>
              <w:pStyle w:val="xTableText"/>
              <w:jc w:val="center"/>
            </w:pPr>
            <w:r w:rsidRPr="00480820">
              <w:t>6.9%</w:t>
            </w:r>
          </w:p>
        </w:tc>
        <w:tc>
          <w:tcPr>
            <w:tcW w:w="1134" w:type="dxa"/>
          </w:tcPr>
          <w:p w14:paraId="2E340393" w14:textId="77777777" w:rsidR="00A57AA9" w:rsidRPr="00480820" w:rsidRDefault="00A57AA9" w:rsidP="00A57AA9">
            <w:pPr>
              <w:pStyle w:val="xTableText"/>
              <w:jc w:val="center"/>
            </w:pPr>
            <w:r w:rsidRPr="00480820">
              <w:t>7.</w:t>
            </w:r>
            <w:r>
              <w:t>4%</w:t>
            </w:r>
          </w:p>
        </w:tc>
      </w:tr>
      <w:tr w:rsidR="00A57AA9" w:rsidRPr="00480820" w14:paraId="6215E65A" w14:textId="77777777" w:rsidTr="00A57AA9">
        <w:tc>
          <w:tcPr>
            <w:tcW w:w="1555" w:type="dxa"/>
          </w:tcPr>
          <w:p w14:paraId="098F29BD" w14:textId="77777777" w:rsidR="00A57AA9" w:rsidRPr="003050C2" w:rsidRDefault="00A57AA9" w:rsidP="00A57AA9">
            <w:pPr>
              <w:pStyle w:val="xTableText"/>
              <w:rPr>
                <w:color w:val="000000" w:themeColor="text1"/>
              </w:rPr>
            </w:pPr>
            <w:r w:rsidRPr="003050C2">
              <w:rPr>
                <w:color w:val="000000" w:themeColor="text1"/>
              </w:rPr>
              <w:t>Specialist Arts B</w:t>
            </w:r>
          </w:p>
        </w:tc>
        <w:tc>
          <w:tcPr>
            <w:tcW w:w="1134" w:type="dxa"/>
          </w:tcPr>
          <w:p w14:paraId="5440FCD1" w14:textId="77777777" w:rsidR="00A57AA9" w:rsidRPr="00480820" w:rsidRDefault="00A57AA9" w:rsidP="00A57AA9">
            <w:pPr>
              <w:pStyle w:val="xTableText"/>
              <w:jc w:val="center"/>
            </w:pPr>
            <w:r w:rsidRPr="00480820">
              <w:t>8</w:t>
            </w:r>
          </w:p>
        </w:tc>
        <w:tc>
          <w:tcPr>
            <w:tcW w:w="1134" w:type="dxa"/>
          </w:tcPr>
          <w:p w14:paraId="5C2FD0DD" w14:textId="77777777" w:rsidR="00A57AA9" w:rsidRPr="00480820" w:rsidRDefault="00A57AA9" w:rsidP="00A57AA9">
            <w:pPr>
              <w:pStyle w:val="xTableText"/>
              <w:jc w:val="center"/>
            </w:pPr>
            <w:r>
              <w:t>95</w:t>
            </w:r>
          </w:p>
        </w:tc>
        <w:tc>
          <w:tcPr>
            <w:tcW w:w="1134" w:type="dxa"/>
          </w:tcPr>
          <w:p w14:paraId="316CA08D" w14:textId="77777777" w:rsidR="00A57AA9" w:rsidRPr="00480820" w:rsidRDefault="00A57AA9" w:rsidP="00A57AA9">
            <w:pPr>
              <w:pStyle w:val="xTableText"/>
              <w:jc w:val="center"/>
            </w:pPr>
            <w:r w:rsidRPr="00480820">
              <w:t>8.4%</w:t>
            </w:r>
          </w:p>
        </w:tc>
        <w:tc>
          <w:tcPr>
            <w:tcW w:w="1134" w:type="dxa"/>
          </w:tcPr>
          <w:p w14:paraId="2F581B23" w14:textId="77777777" w:rsidR="00A57AA9" w:rsidRPr="00480820" w:rsidRDefault="00A57AA9" w:rsidP="00A57AA9">
            <w:pPr>
              <w:pStyle w:val="xTableText"/>
              <w:jc w:val="center"/>
            </w:pPr>
            <w:r w:rsidRPr="00480820">
              <w:t>4.2</w:t>
            </w:r>
            <w:r>
              <w:t>%</w:t>
            </w:r>
          </w:p>
        </w:tc>
      </w:tr>
      <w:tr w:rsidR="00A57AA9" w:rsidRPr="00480820" w14:paraId="52E052D8" w14:textId="77777777" w:rsidTr="00A57AA9">
        <w:tc>
          <w:tcPr>
            <w:tcW w:w="1555" w:type="dxa"/>
          </w:tcPr>
          <w:p w14:paraId="7D330653" w14:textId="77777777" w:rsidR="00A57AA9" w:rsidRPr="003050C2" w:rsidRDefault="00A57AA9" w:rsidP="00A57AA9">
            <w:pPr>
              <w:pStyle w:val="xTableText"/>
              <w:rPr>
                <w:color w:val="000000" w:themeColor="text1"/>
              </w:rPr>
            </w:pPr>
            <w:r w:rsidRPr="003050C2">
              <w:rPr>
                <w:color w:val="000000" w:themeColor="text1"/>
              </w:rPr>
              <w:t>Post-1992 Q</w:t>
            </w:r>
          </w:p>
        </w:tc>
        <w:tc>
          <w:tcPr>
            <w:tcW w:w="1134" w:type="dxa"/>
          </w:tcPr>
          <w:p w14:paraId="2986931E" w14:textId="77777777" w:rsidR="00A57AA9" w:rsidRPr="00480820" w:rsidRDefault="00A57AA9" w:rsidP="00A57AA9">
            <w:pPr>
              <w:pStyle w:val="xTableText"/>
              <w:jc w:val="center"/>
            </w:pPr>
            <w:r w:rsidRPr="00480820">
              <w:t>8</w:t>
            </w:r>
          </w:p>
        </w:tc>
        <w:tc>
          <w:tcPr>
            <w:tcW w:w="1134" w:type="dxa"/>
          </w:tcPr>
          <w:p w14:paraId="2AC6AE35" w14:textId="77777777" w:rsidR="00A57AA9" w:rsidRPr="00480820" w:rsidRDefault="00A57AA9" w:rsidP="00A57AA9">
            <w:pPr>
              <w:pStyle w:val="xTableText"/>
              <w:jc w:val="center"/>
            </w:pPr>
            <w:r>
              <w:t>112</w:t>
            </w:r>
          </w:p>
        </w:tc>
        <w:tc>
          <w:tcPr>
            <w:tcW w:w="1134" w:type="dxa"/>
          </w:tcPr>
          <w:p w14:paraId="2315E599" w14:textId="77777777" w:rsidR="00A57AA9" w:rsidRPr="00480820" w:rsidRDefault="00A57AA9" w:rsidP="00A57AA9">
            <w:pPr>
              <w:pStyle w:val="xTableText"/>
              <w:jc w:val="center"/>
            </w:pPr>
            <w:r w:rsidRPr="00480820">
              <w:t>7.1%</w:t>
            </w:r>
          </w:p>
        </w:tc>
        <w:tc>
          <w:tcPr>
            <w:tcW w:w="1134" w:type="dxa"/>
          </w:tcPr>
          <w:p w14:paraId="1A15D6DB" w14:textId="77777777" w:rsidR="00A57AA9" w:rsidRPr="00480820" w:rsidRDefault="00A57AA9" w:rsidP="00A57AA9">
            <w:pPr>
              <w:pStyle w:val="xTableText"/>
              <w:jc w:val="center"/>
            </w:pPr>
            <w:r w:rsidRPr="00480820">
              <w:t>4.2</w:t>
            </w:r>
            <w:r>
              <w:t>%</w:t>
            </w:r>
          </w:p>
        </w:tc>
      </w:tr>
      <w:tr w:rsidR="00A57AA9" w:rsidRPr="00480820" w14:paraId="2A694126" w14:textId="77777777" w:rsidTr="00A57AA9">
        <w:tc>
          <w:tcPr>
            <w:tcW w:w="1555" w:type="dxa"/>
          </w:tcPr>
          <w:p w14:paraId="02D706A8" w14:textId="77777777" w:rsidR="00A57AA9" w:rsidRPr="003050C2" w:rsidRDefault="00A57AA9" w:rsidP="00A57AA9">
            <w:pPr>
              <w:pStyle w:val="xTableText"/>
              <w:rPr>
                <w:color w:val="000000" w:themeColor="text1"/>
              </w:rPr>
            </w:pPr>
            <w:r w:rsidRPr="003050C2">
              <w:rPr>
                <w:color w:val="000000" w:themeColor="text1"/>
              </w:rPr>
              <w:t>Post-1992 K</w:t>
            </w:r>
          </w:p>
        </w:tc>
        <w:tc>
          <w:tcPr>
            <w:tcW w:w="1134" w:type="dxa"/>
          </w:tcPr>
          <w:p w14:paraId="0E271AE0" w14:textId="77777777" w:rsidR="00A57AA9" w:rsidRPr="00480820" w:rsidRDefault="00A57AA9" w:rsidP="00A57AA9">
            <w:pPr>
              <w:pStyle w:val="xTableText"/>
              <w:jc w:val="center"/>
            </w:pPr>
            <w:r w:rsidRPr="00480820">
              <w:t>7</w:t>
            </w:r>
          </w:p>
        </w:tc>
        <w:tc>
          <w:tcPr>
            <w:tcW w:w="1134" w:type="dxa"/>
          </w:tcPr>
          <w:p w14:paraId="0D3EAD91" w14:textId="77777777" w:rsidR="00A57AA9" w:rsidRPr="00480820" w:rsidRDefault="00A57AA9" w:rsidP="00A57AA9">
            <w:pPr>
              <w:pStyle w:val="xTableText"/>
              <w:jc w:val="center"/>
            </w:pPr>
            <w:r>
              <w:t>81</w:t>
            </w:r>
          </w:p>
        </w:tc>
        <w:tc>
          <w:tcPr>
            <w:tcW w:w="1134" w:type="dxa"/>
          </w:tcPr>
          <w:p w14:paraId="389541E8" w14:textId="77777777" w:rsidR="00A57AA9" w:rsidRPr="00480820" w:rsidRDefault="00A57AA9" w:rsidP="00A57AA9">
            <w:pPr>
              <w:pStyle w:val="xTableText"/>
              <w:jc w:val="center"/>
            </w:pPr>
            <w:r w:rsidRPr="00480820">
              <w:t>8.6%</w:t>
            </w:r>
          </w:p>
        </w:tc>
        <w:tc>
          <w:tcPr>
            <w:tcW w:w="1134" w:type="dxa"/>
          </w:tcPr>
          <w:p w14:paraId="510E3DE4" w14:textId="77777777" w:rsidR="00A57AA9" w:rsidRPr="00480820" w:rsidRDefault="00A57AA9" w:rsidP="00A57AA9">
            <w:pPr>
              <w:pStyle w:val="xTableText"/>
              <w:jc w:val="center"/>
            </w:pPr>
            <w:r w:rsidRPr="00480820">
              <w:t>3.</w:t>
            </w:r>
            <w:r>
              <w:t>7%</w:t>
            </w:r>
          </w:p>
        </w:tc>
      </w:tr>
      <w:tr w:rsidR="00A57AA9" w:rsidRPr="00480820" w14:paraId="441D961B" w14:textId="77777777" w:rsidTr="00A57AA9">
        <w:tc>
          <w:tcPr>
            <w:tcW w:w="1555" w:type="dxa"/>
          </w:tcPr>
          <w:p w14:paraId="22F5292C" w14:textId="77777777" w:rsidR="00A57AA9" w:rsidRPr="003050C2" w:rsidRDefault="00A57AA9" w:rsidP="00A57AA9">
            <w:pPr>
              <w:pStyle w:val="xTableText"/>
              <w:rPr>
                <w:color w:val="000000" w:themeColor="text1"/>
              </w:rPr>
            </w:pPr>
            <w:r w:rsidRPr="003050C2">
              <w:rPr>
                <w:color w:val="000000" w:themeColor="text1"/>
              </w:rPr>
              <w:t>Plate Glass B</w:t>
            </w:r>
          </w:p>
        </w:tc>
        <w:tc>
          <w:tcPr>
            <w:tcW w:w="1134" w:type="dxa"/>
          </w:tcPr>
          <w:p w14:paraId="323932B6" w14:textId="77777777" w:rsidR="00A57AA9" w:rsidRPr="00480820" w:rsidRDefault="00A57AA9" w:rsidP="00A57AA9">
            <w:pPr>
              <w:pStyle w:val="xTableText"/>
              <w:jc w:val="center"/>
            </w:pPr>
            <w:r w:rsidRPr="00480820">
              <w:t>6</w:t>
            </w:r>
          </w:p>
        </w:tc>
        <w:tc>
          <w:tcPr>
            <w:tcW w:w="1134" w:type="dxa"/>
          </w:tcPr>
          <w:p w14:paraId="575B2CA8" w14:textId="77777777" w:rsidR="00A57AA9" w:rsidRPr="00480820" w:rsidRDefault="00A57AA9" w:rsidP="00A57AA9">
            <w:pPr>
              <w:pStyle w:val="xTableText"/>
              <w:jc w:val="center"/>
            </w:pPr>
            <w:r>
              <w:t>206</w:t>
            </w:r>
          </w:p>
        </w:tc>
        <w:tc>
          <w:tcPr>
            <w:tcW w:w="1134" w:type="dxa"/>
          </w:tcPr>
          <w:p w14:paraId="5FCD203E" w14:textId="77777777" w:rsidR="00A57AA9" w:rsidRPr="00480820" w:rsidRDefault="00A57AA9" w:rsidP="00A57AA9">
            <w:pPr>
              <w:pStyle w:val="xTableText"/>
              <w:jc w:val="center"/>
            </w:pPr>
            <w:r w:rsidRPr="00480820">
              <w:t>2.9%</w:t>
            </w:r>
          </w:p>
        </w:tc>
        <w:tc>
          <w:tcPr>
            <w:tcW w:w="1134" w:type="dxa"/>
          </w:tcPr>
          <w:p w14:paraId="5B5AC3FD" w14:textId="77777777" w:rsidR="00A57AA9" w:rsidRPr="00480820" w:rsidRDefault="00A57AA9" w:rsidP="00A57AA9">
            <w:pPr>
              <w:pStyle w:val="xTableText"/>
              <w:jc w:val="center"/>
            </w:pPr>
            <w:r w:rsidRPr="00480820">
              <w:t>3.</w:t>
            </w:r>
            <w:r>
              <w:t>2%</w:t>
            </w:r>
          </w:p>
        </w:tc>
      </w:tr>
      <w:tr w:rsidR="00A57AA9" w:rsidRPr="00480820" w14:paraId="772C9B6B" w14:textId="77777777" w:rsidTr="00A57AA9">
        <w:tc>
          <w:tcPr>
            <w:tcW w:w="1555" w:type="dxa"/>
          </w:tcPr>
          <w:p w14:paraId="3E145171" w14:textId="77777777" w:rsidR="00A57AA9" w:rsidRPr="003050C2" w:rsidRDefault="00A57AA9" w:rsidP="00A57AA9">
            <w:pPr>
              <w:pStyle w:val="xTableText"/>
              <w:rPr>
                <w:color w:val="000000" w:themeColor="text1"/>
              </w:rPr>
            </w:pPr>
            <w:r w:rsidRPr="003050C2">
              <w:rPr>
                <w:color w:val="000000" w:themeColor="text1"/>
              </w:rPr>
              <w:t>Post-1992 S</w:t>
            </w:r>
          </w:p>
        </w:tc>
        <w:tc>
          <w:tcPr>
            <w:tcW w:w="1134" w:type="dxa"/>
          </w:tcPr>
          <w:p w14:paraId="2C852867" w14:textId="77777777" w:rsidR="00A57AA9" w:rsidRPr="00480820" w:rsidRDefault="00A57AA9" w:rsidP="00A57AA9">
            <w:pPr>
              <w:pStyle w:val="xTableText"/>
              <w:jc w:val="center"/>
            </w:pPr>
            <w:r w:rsidRPr="00480820">
              <w:t>5</w:t>
            </w:r>
          </w:p>
        </w:tc>
        <w:tc>
          <w:tcPr>
            <w:tcW w:w="1134" w:type="dxa"/>
          </w:tcPr>
          <w:p w14:paraId="0B6BD4C8" w14:textId="77777777" w:rsidR="00A57AA9" w:rsidRPr="00480820" w:rsidRDefault="00A57AA9" w:rsidP="00A57AA9">
            <w:pPr>
              <w:pStyle w:val="xTableText"/>
              <w:jc w:val="center"/>
            </w:pPr>
            <w:r>
              <w:t>14</w:t>
            </w:r>
          </w:p>
        </w:tc>
        <w:tc>
          <w:tcPr>
            <w:tcW w:w="1134" w:type="dxa"/>
          </w:tcPr>
          <w:p w14:paraId="42CEBC92" w14:textId="77777777" w:rsidR="00A57AA9" w:rsidRPr="00480820" w:rsidRDefault="00A57AA9" w:rsidP="00A57AA9">
            <w:pPr>
              <w:pStyle w:val="xTableText"/>
              <w:jc w:val="center"/>
            </w:pPr>
            <w:r w:rsidRPr="00480820">
              <w:t>35.7%</w:t>
            </w:r>
          </w:p>
        </w:tc>
        <w:tc>
          <w:tcPr>
            <w:tcW w:w="1134" w:type="dxa"/>
          </w:tcPr>
          <w:p w14:paraId="1025048F" w14:textId="77777777" w:rsidR="00A57AA9" w:rsidRPr="00480820" w:rsidRDefault="00A57AA9" w:rsidP="00A57AA9">
            <w:pPr>
              <w:pStyle w:val="xTableText"/>
              <w:jc w:val="center"/>
            </w:pPr>
            <w:r w:rsidRPr="00480820">
              <w:t>2.6</w:t>
            </w:r>
            <w:r>
              <w:t>%</w:t>
            </w:r>
          </w:p>
        </w:tc>
      </w:tr>
      <w:tr w:rsidR="00A57AA9" w:rsidRPr="00480820" w14:paraId="09F4EAFD" w14:textId="77777777" w:rsidTr="00A57AA9">
        <w:tc>
          <w:tcPr>
            <w:tcW w:w="1555" w:type="dxa"/>
          </w:tcPr>
          <w:p w14:paraId="05533DED" w14:textId="77777777" w:rsidR="00A57AA9" w:rsidRPr="003050C2" w:rsidRDefault="00A57AA9" w:rsidP="00A57AA9">
            <w:pPr>
              <w:pStyle w:val="xTableText"/>
              <w:rPr>
                <w:color w:val="000000" w:themeColor="text1"/>
              </w:rPr>
            </w:pPr>
            <w:r w:rsidRPr="003050C2">
              <w:rPr>
                <w:color w:val="000000" w:themeColor="text1"/>
              </w:rPr>
              <w:t>Post-1992 O</w:t>
            </w:r>
          </w:p>
        </w:tc>
        <w:tc>
          <w:tcPr>
            <w:tcW w:w="1134" w:type="dxa"/>
          </w:tcPr>
          <w:p w14:paraId="657B6FDB" w14:textId="77777777" w:rsidR="00A57AA9" w:rsidRPr="00480820" w:rsidRDefault="00A57AA9" w:rsidP="00A57AA9">
            <w:pPr>
              <w:pStyle w:val="xTableText"/>
              <w:jc w:val="center"/>
            </w:pPr>
            <w:r w:rsidRPr="00480820">
              <w:t>5</w:t>
            </w:r>
          </w:p>
        </w:tc>
        <w:tc>
          <w:tcPr>
            <w:tcW w:w="1134" w:type="dxa"/>
          </w:tcPr>
          <w:p w14:paraId="4B7F1EB1" w14:textId="77777777" w:rsidR="00A57AA9" w:rsidRPr="00480820" w:rsidRDefault="00A57AA9" w:rsidP="00A57AA9">
            <w:pPr>
              <w:pStyle w:val="xTableText"/>
              <w:jc w:val="center"/>
            </w:pPr>
            <w:r>
              <w:t>43</w:t>
            </w:r>
          </w:p>
        </w:tc>
        <w:tc>
          <w:tcPr>
            <w:tcW w:w="1134" w:type="dxa"/>
          </w:tcPr>
          <w:p w14:paraId="66C948FC" w14:textId="77777777" w:rsidR="00A57AA9" w:rsidRPr="00480820" w:rsidRDefault="00A57AA9" w:rsidP="00A57AA9">
            <w:pPr>
              <w:pStyle w:val="xTableText"/>
              <w:jc w:val="center"/>
            </w:pPr>
            <w:r w:rsidRPr="00480820">
              <w:t>11.6%</w:t>
            </w:r>
          </w:p>
        </w:tc>
        <w:tc>
          <w:tcPr>
            <w:tcW w:w="1134" w:type="dxa"/>
          </w:tcPr>
          <w:p w14:paraId="5301DFD6" w14:textId="77777777" w:rsidR="00A57AA9" w:rsidRPr="00480820" w:rsidRDefault="00A57AA9" w:rsidP="00A57AA9">
            <w:pPr>
              <w:pStyle w:val="xTableText"/>
              <w:jc w:val="center"/>
            </w:pPr>
            <w:r w:rsidRPr="00480820">
              <w:t>2.6</w:t>
            </w:r>
            <w:r>
              <w:t>%</w:t>
            </w:r>
          </w:p>
        </w:tc>
      </w:tr>
      <w:tr w:rsidR="00A57AA9" w:rsidRPr="00480820" w14:paraId="421C5D62" w14:textId="77777777" w:rsidTr="00A57AA9">
        <w:tc>
          <w:tcPr>
            <w:tcW w:w="1555" w:type="dxa"/>
          </w:tcPr>
          <w:p w14:paraId="13E7A203" w14:textId="77777777" w:rsidR="00A57AA9" w:rsidRPr="003050C2" w:rsidRDefault="00A57AA9" w:rsidP="00A57AA9">
            <w:pPr>
              <w:pStyle w:val="xTableText"/>
              <w:rPr>
                <w:color w:val="000000" w:themeColor="text1"/>
              </w:rPr>
            </w:pPr>
            <w:r w:rsidRPr="003050C2">
              <w:rPr>
                <w:color w:val="000000" w:themeColor="text1"/>
              </w:rPr>
              <w:t>Post-1992 E</w:t>
            </w:r>
          </w:p>
        </w:tc>
        <w:tc>
          <w:tcPr>
            <w:tcW w:w="1134" w:type="dxa"/>
          </w:tcPr>
          <w:p w14:paraId="383F061C" w14:textId="77777777" w:rsidR="00A57AA9" w:rsidRPr="00480820" w:rsidRDefault="00A57AA9" w:rsidP="00A57AA9">
            <w:pPr>
              <w:pStyle w:val="xTableText"/>
              <w:jc w:val="center"/>
            </w:pPr>
            <w:r w:rsidRPr="00480820">
              <w:t>5</w:t>
            </w:r>
          </w:p>
        </w:tc>
        <w:tc>
          <w:tcPr>
            <w:tcW w:w="1134" w:type="dxa"/>
          </w:tcPr>
          <w:p w14:paraId="64DA42C7" w14:textId="77777777" w:rsidR="00A57AA9" w:rsidRPr="00480820" w:rsidRDefault="00A57AA9" w:rsidP="00A57AA9">
            <w:pPr>
              <w:pStyle w:val="xTableText"/>
              <w:jc w:val="center"/>
            </w:pPr>
            <w:r>
              <w:t>133</w:t>
            </w:r>
          </w:p>
        </w:tc>
        <w:tc>
          <w:tcPr>
            <w:tcW w:w="1134" w:type="dxa"/>
          </w:tcPr>
          <w:p w14:paraId="2440A7A2" w14:textId="77777777" w:rsidR="00A57AA9" w:rsidRPr="00480820" w:rsidRDefault="00A57AA9" w:rsidP="00A57AA9">
            <w:pPr>
              <w:pStyle w:val="xTableText"/>
              <w:jc w:val="center"/>
            </w:pPr>
            <w:r w:rsidRPr="00480820">
              <w:t>3.8%</w:t>
            </w:r>
          </w:p>
        </w:tc>
        <w:tc>
          <w:tcPr>
            <w:tcW w:w="1134" w:type="dxa"/>
          </w:tcPr>
          <w:p w14:paraId="5F6BB56F" w14:textId="77777777" w:rsidR="00A57AA9" w:rsidRPr="00480820" w:rsidRDefault="00A57AA9" w:rsidP="00A57AA9">
            <w:pPr>
              <w:pStyle w:val="xTableText"/>
              <w:jc w:val="center"/>
            </w:pPr>
            <w:r w:rsidRPr="00480820">
              <w:t>2.6</w:t>
            </w:r>
            <w:r>
              <w:t>%</w:t>
            </w:r>
          </w:p>
        </w:tc>
      </w:tr>
      <w:tr w:rsidR="00A57AA9" w:rsidRPr="00480820" w14:paraId="0DF3E3C4" w14:textId="77777777" w:rsidTr="00A57AA9">
        <w:tc>
          <w:tcPr>
            <w:tcW w:w="1555" w:type="dxa"/>
          </w:tcPr>
          <w:p w14:paraId="55374E52" w14:textId="77777777" w:rsidR="00A57AA9" w:rsidRPr="003050C2" w:rsidRDefault="00A57AA9" w:rsidP="00A57AA9">
            <w:pPr>
              <w:pStyle w:val="xTableText"/>
              <w:rPr>
                <w:color w:val="000000" w:themeColor="text1"/>
              </w:rPr>
            </w:pPr>
            <w:r w:rsidRPr="003050C2">
              <w:rPr>
                <w:color w:val="000000" w:themeColor="text1"/>
              </w:rPr>
              <w:t>Specialist Arts E</w:t>
            </w:r>
          </w:p>
        </w:tc>
        <w:tc>
          <w:tcPr>
            <w:tcW w:w="1134" w:type="dxa"/>
          </w:tcPr>
          <w:p w14:paraId="45C471D6" w14:textId="77777777" w:rsidR="00A57AA9" w:rsidRPr="00480820" w:rsidRDefault="00A57AA9" w:rsidP="00A57AA9">
            <w:pPr>
              <w:pStyle w:val="xTableText"/>
              <w:jc w:val="center"/>
            </w:pPr>
            <w:r w:rsidRPr="00480820">
              <w:t>5</w:t>
            </w:r>
          </w:p>
        </w:tc>
        <w:tc>
          <w:tcPr>
            <w:tcW w:w="1134" w:type="dxa"/>
          </w:tcPr>
          <w:p w14:paraId="1C4FF49D" w14:textId="77777777" w:rsidR="00A57AA9" w:rsidRPr="00480820" w:rsidRDefault="00A57AA9" w:rsidP="00A57AA9">
            <w:pPr>
              <w:pStyle w:val="xTableText"/>
              <w:jc w:val="center"/>
            </w:pPr>
            <w:r>
              <w:t>433</w:t>
            </w:r>
          </w:p>
        </w:tc>
        <w:tc>
          <w:tcPr>
            <w:tcW w:w="1134" w:type="dxa"/>
          </w:tcPr>
          <w:p w14:paraId="4267E4A8" w14:textId="77777777" w:rsidR="00A57AA9" w:rsidRPr="00480820" w:rsidRDefault="00A57AA9" w:rsidP="00A57AA9">
            <w:pPr>
              <w:pStyle w:val="xTableText"/>
              <w:jc w:val="center"/>
            </w:pPr>
            <w:r w:rsidRPr="00480820">
              <w:t>1.2%</w:t>
            </w:r>
          </w:p>
        </w:tc>
        <w:tc>
          <w:tcPr>
            <w:tcW w:w="1134" w:type="dxa"/>
          </w:tcPr>
          <w:p w14:paraId="26BBCEA9" w14:textId="77777777" w:rsidR="00A57AA9" w:rsidRPr="00480820" w:rsidRDefault="00A57AA9" w:rsidP="00A57AA9">
            <w:pPr>
              <w:pStyle w:val="xTableText"/>
              <w:jc w:val="center"/>
            </w:pPr>
            <w:r w:rsidRPr="00480820">
              <w:t>2.6</w:t>
            </w:r>
            <w:r>
              <w:t>%</w:t>
            </w:r>
          </w:p>
        </w:tc>
      </w:tr>
      <w:tr w:rsidR="00A57AA9" w:rsidRPr="00480820" w14:paraId="5B68D862" w14:textId="77777777" w:rsidTr="00A57AA9">
        <w:tc>
          <w:tcPr>
            <w:tcW w:w="1555" w:type="dxa"/>
          </w:tcPr>
          <w:p w14:paraId="60759CC9" w14:textId="77777777" w:rsidR="00A57AA9" w:rsidRPr="003050C2" w:rsidRDefault="00A57AA9" w:rsidP="00A57AA9">
            <w:pPr>
              <w:pStyle w:val="xTableText"/>
              <w:rPr>
                <w:color w:val="000000" w:themeColor="text1"/>
              </w:rPr>
            </w:pPr>
            <w:r w:rsidRPr="003050C2">
              <w:rPr>
                <w:color w:val="000000" w:themeColor="text1"/>
              </w:rPr>
              <w:t>Post-1992 D</w:t>
            </w:r>
          </w:p>
        </w:tc>
        <w:tc>
          <w:tcPr>
            <w:tcW w:w="1134" w:type="dxa"/>
          </w:tcPr>
          <w:p w14:paraId="1B0CA8E8" w14:textId="77777777" w:rsidR="00A57AA9" w:rsidRPr="00480820" w:rsidRDefault="00A57AA9" w:rsidP="00A57AA9">
            <w:pPr>
              <w:pStyle w:val="xTableText"/>
              <w:jc w:val="center"/>
            </w:pPr>
            <w:r w:rsidRPr="00480820">
              <w:t>4</w:t>
            </w:r>
          </w:p>
        </w:tc>
        <w:tc>
          <w:tcPr>
            <w:tcW w:w="1134" w:type="dxa"/>
          </w:tcPr>
          <w:p w14:paraId="4FB8969C" w14:textId="77777777" w:rsidR="00A57AA9" w:rsidRPr="00480820" w:rsidRDefault="00A57AA9" w:rsidP="00A57AA9">
            <w:pPr>
              <w:pStyle w:val="xTableText"/>
              <w:jc w:val="center"/>
            </w:pPr>
            <w:r>
              <w:t>40</w:t>
            </w:r>
          </w:p>
        </w:tc>
        <w:tc>
          <w:tcPr>
            <w:tcW w:w="1134" w:type="dxa"/>
          </w:tcPr>
          <w:p w14:paraId="7776BFB3" w14:textId="77777777" w:rsidR="00A57AA9" w:rsidRPr="00480820" w:rsidRDefault="00A57AA9" w:rsidP="00A57AA9">
            <w:pPr>
              <w:pStyle w:val="xTableText"/>
              <w:jc w:val="center"/>
            </w:pPr>
            <w:r w:rsidRPr="00480820">
              <w:t>10.0%</w:t>
            </w:r>
          </w:p>
        </w:tc>
        <w:tc>
          <w:tcPr>
            <w:tcW w:w="1134" w:type="dxa"/>
          </w:tcPr>
          <w:p w14:paraId="21A53ED9" w14:textId="77777777" w:rsidR="00A57AA9" w:rsidRPr="00480820" w:rsidRDefault="00A57AA9" w:rsidP="00A57AA9">
            <w:pPr>
              <w:pStyle w:val="xTableText"/>
              <w:jc w:val="center"/>
            </w:pPr>
            <w:r w:rsidRPr="00480820">
              <w:t>2.1</w:t>
            </w:r>
            <w:r>
              <w:t>%</w:t>
            </w:r>
          </w:p>
        </w:tc>
      </w:tr>
      <w:tr w:rsidR="00A57AA9" w:rsidRPr="00480820" w14:paraId="56F0E395" w14:textId="77777777" w:rsidTr="00A57AA9">
        <w:tc>
          <w:tcPr>
            <w:tcW w:w="1555" w:type="dxa"/>
          </w:tcPr>
          <w:p w14:paraId="6042015D" w14:textId="77777777" w:rsidR="00A57AA9" w:rsidRPr="003050C2" w:rsidRDefault="00A57AA9" w:rsidP="00A57AA9">
            <w:pPr>
              <w:pStyle w:val="xTableText"/>
              <w:rPr>
                <w:color w:val="000000" w:themeColor="text1"/>
              </w:rPr>
            </w:pPr>
            <w:r w:rsidRPr="003050C2">
              <w:rPr>
                <w:color w:val="000000" w:themeColor="text1"/>
              </w:rPr>
              <w:t>Post-1992 B</w:t>
            </w:r>
          </w:p>
        </w:tc>
        <w:tc>
          <w:tcPr>
            <w:tcW w:w="1134" w:type="dxa"/>
          </w:tcPr>
          <w:p w14:paraId="5F3B3DDA" w14:textId="77777777" w:rsidR="00A57AA9" w:rsidRPr="00480820" w:rsidRDefault="00A57AA9" w:rsidP="00A57AA9">
            <w:pPr>
              <w:pStyle w:val="xTableText"/>
              <w:jc w:val="center"/>
            </w:pPr>
            <w:r w:rsidRPr="00480820">
              <w:t>4</w:t>
            </w:r>
          </w:p>
        </w:tc>
        <w:tc>
          <w:tcPr>
            <w:tcW w:w="1134" w:type="dxa"/>
          </w:tcPr>
          <w:p w14:paraId="7EC0B1B4" w14:textId="77777777" w:rsidR="00A57AA9" w:rsidRPr="00480820" w:rsidRDefault="00A57AA9" w:rsidP="00A57AA9">
            <w:pPr>
              <w:pStyle w:val="xTableText"/>
              <w:jc w:val="center"/>
            </w:pPr>
            <w:r>
              <w:t>76</w:t>
            </w:r>
          </w:p>
        </w:tc>
        <w:tc>
          <w:tcPr>
            <w:tcW w:w="1134" w:type="dxa"/>
          </w:tcPr>
          <w:p w14:paraId="416E3A9B" w14:textId="77777777" w:rsidR="00A57AA9" w:rsidRPr="00480820" w:rsidRDefault="00A57AA9" w:rsidP="00A57AA9">
            <w:pPr>
              <w:pStyle w:val="xTableText"/>
              <w:jc w:val="center"/>
            </w:pPr>
            <w:r w:rsidRPr="00480820">
              <w:t>5.3%</w:t>
            </w:r>
          </w:p>
        </w:tc>
        <w:tc>
          <w:tcPr>
            <w:tcW w:w="1134" w:type="dxa"/>
          </w:tcPr>
          <w:p w14:paraId="3CCB1BA8" w14:textId="77777777" w:rsidR="00A57AA9" w:rsidRPr="00480820" w:rsidRDefault="00A57AA9" w:rsidP="00A57AA9">
            <w:pPr>
              <w:pStyle w:val="xTableText"/>
              <w:jc w:val="center"/>
            </w:pPr>
            <w:r w:rsidRPr="00480820">
              <w:t>2.1</w:t>
            </w:r>
            <w:r>
              <w:t>%</w:t>
            </w:r>
          </w:p>
        </w:tc>
      </w:tr>
      <w:tr w:rsidR="00A57AA9" w:rsidRPr="00480820" w14:paraId="23CD774A" w14:textId="77777777" w:rsidTr="00A57AA9">
        <w:tc>
          <w:tcPr>
            <w:tcW w:w="1555" w:type="dxa"/>
          </w:tcPr>
          <w:p w14:paraId="7257A604" w14:textId="77777777" w:rsidR="00A57AA9" w:rsidRPr="003050C2" w:rsidRDefault="00A57AA9" w:rsidP="00A57AA9">
            <w:pPr>
              <w:pStyle w:val="xTableText"/>
              <w:rPr>
                <w:color w:val="000000" w:themeColor="text1"/>
              </w:rPr>
            </w:pPr>
            <w:r w:rsidRPr="003050C2">
              <w:rPr>
                <w:color w:val="000000" w:themeColor="text1"/>
              </w:rPr>
              <w:t>Post-1992 H</w:t>
            </w:r>
          </w:p>
        </w:tc>
        <w:tc>
          <w:tcPr>
            <w:tcW w:w="1134" w:type="dxa"/>
          </w:tcPr>
          <w:p w14:paraId="2788CDF5" w14:textId="77777777" w:rsidR="00A57AA9" w:rsidRPr="00480820" w:rsidRDefault="00A57AA9" w:rsidP="00A57AA9">
            <w:pPr>
              <w:pStyle w:val="xTableText"/>
              <w:jc w:val="center"/>
            </w:pPr>
            <w:r w:rsidRPr="00480820">
              <w:t>4</w:t>
            </w:r>
          </w:p>
        </w:tc>
        <w:tc>
          <w:tcPr>
            <w:tcW w:w="1134" w:type="dxa"/>
          </w:tcPr>
          <w:p w14:paraId="4651F610" w14:textId="77777777" w:rsidR="00A57AA9" w:rsidRPr="00480820" w:rsidRDefault="00A57AA9" w:rsidP="00A57AA9">
            <w:pPr>
              <w:pStyle w:val="xTableText"/>
              <w:jc w:val="center"/>
            </w:pPr>
            <w:r>
              <w:t>102</w:t>
            </w:r>
          </w:p>
        </w:tc>
        <w:tc>
          <w:tcPr>
            <w:tcW w:w="1134" w:type="dxa"/>
          </w:tcPr>
          <w:p w14:paraId="51599748" w14:textId="77777777" w:rsidR="00A57AA9" w:rsidRPr="00480820" w:rsidRDefault="00A57AA9" w:rsidP="00A57AA9">
            <w:pPr>
              <w:pStyle w:val="xTableText"/>
              <w:jc w:val="center"/>
            </w:pPr>
            <w:r w:rsidRPr="00480820">
              <w:t>3.9%</w:t>
            </w:r>
          </w:p>
        </w:tc>
        <w:tc>
          <w:tcPr>
            <w:tcW w:w="1134" w:type="dxa"/>
          </w:tcPr>
          <w:p w14:paraId="750D8C54" w14:textId="77777777" w:rsidR="00A57AA9" w:rsidRPr="00480820" w:rsidRDefault="00A57AA9" w:rsidP="00A57AA9">
            <w:pPr>
              <w:pStyle w:val="xTableText"/>
              <w:jc w:val="center"/>
            </w:pPr>
            <w:r w:rsidRPr="00480820">
              <w:t>2.1</w:t>
            </w:r>
            <w:r>
              <w:t>%</w:t>
            </w:r>
          </w:p>
        </w:tc>
      </w:tr>
      <w:tr w:rsidR="00A57AA9" w:rsidRPr="00480820" w14:paraId="25A29124" w14:textId="77777777" w:rsidTr="00A57AA9">
        <w:tc>
          <w:tcPr>
            <w:tcW w:w="1555" w:type="dxa"/>
          </w:tcPr>
          <w:p w14:paraId="1C6626A1" w14:textId="77777777" w:rsidR="00A57AA9" w:rsidRPr="003050C2" w:rsidRDefault="00A57AA9" w:rsidP="00A57AA9">
            <w:pPr>
              <w:pStyle w:val="xTableText"/>
              <w:rPr>
                <w:color w:val="000000" w:themeColor="text1"/>
              </w:rPr>
            </w:pPr>
            <w:r w:rsidRPr="003050C2">
              <w:rPr>
                <w:color w:val="000000" w:themeColor="text1"/>
              </w:rPr>
              <w:t>Post-1992 C</w:t>
            </w:r>
          </w:p>
        </w:tc>
        <w:tc>
          <w:tcPr>
            <w:tcW w:w="1134" w:type="dxa"/>
          </w:tcPr>
          <w:p w14:paraId="15E4B2AD" w14:textId="77777777" w:rsidR="00A57AA9" w:rsidRPr="00480820" w:rsidRDefault="00A57AA9" w:rsidP="00A57AA9">
            <w:pPr>
              <w:pStyle w:val="xTableText"/>
              <w:jc w:val="center"/>
            </w:pPr>
            <w:r w:rsidRPr="00480820">
              <w:t>4</w:t>
            </w:r>
          </w:p>
        </w:tc>
        <w:tc>
          <w:tcPr>
            <w:tcW w:w="1134" w:type="dxa"/>
          </w:tcPr>
          <w:p w14:paraId="01A75591" w14:textId="77777777" w:rsidR="00A57AA9" w:rsidRPr="00480820" w:rsidRDefault="00A57AA9" w:rsidP="00A57AA9">
            <w:pPr>
              <w:pStyle w:val="xTableText"/>
              <w:jc w:val="center"/>
            </w:pPr>
            <w:r>
              <w:t>110</w:t>
            </w:r>
          </w:p>
        </w:tc>
        <w:tc>
          <w:tcPr>
            <w:tcW w:w="1134" w:type="dxa"/>
          </w:tcPr>
          <w:p w14:paraId="0B8A506E" w14:textId="77777777" w:rsidR="00A57AA9" w:rsidRPr="00480820" w:rsidRDefault="00A57AA9" w:rsidP="00A57AA9">
            <w:pPr>
              <w:pStyle w:val="xTableText"/>
              <w:jc w:val="center"/>
            </w:pPr>
            <w:r w:rsidRPr="00480820">
              <w:t>3.6%</w:t>
            </w:r>
          </w:p>
        </w:tc>
        <w:tc>
          <w:tcPr>
            <w:tcW w:w="1134" w:type="dxa"/>
          </w:tcPr>
          <w:p w14:paraId="543C3AA4" w14:textId="77777777" w:rsidR="00A57AA9" w:rsidRPr="00480820" w:rsidRDefault="00A57AA9" w:rsidP="00A57AA9">
            <w:pPr>
              <w:pStyle w:val="xTableText"/>
              <w:jc w:val="center"/>
            </w:pPr>
            <w:r w:rsidRPr="00480820">
              <w:t>2.1</w:t>
            </w:r>
            <w:r>
              <w:t>%</w:t>
            </w:r>
          </w:p>
        </w:tc>
      </w:tr>
      <w:tr w:rsidR="00A57AA9" w:rsidRPr="00480820" w14:paraId="6747CCC5" w14:textId="77777777" w:rsidTr="00A57AA9">
        <w:tc>
          <w:tcPr>
            <w:tcW w:w="1555" w:type="dxa"/>
          </w:tcPr>
          <w:p w14:paraId="68A6CEEB" w14:textId="77777777" w:rsidR="00A57AA9" w:rsidRPr="003050C2" w:rsidRDefault="00A57AA9" w:rsidP="00A57AA9">
            <w:pPr>
              <w:pStyle w:val="xTableText"/>
              <w:rPr>
                <w:color w:val="000000" w:themeColor="text1"/>
              </w:rPr>
            </w:pPr>
            <w:r w:rsidRPr="003050C2">
              <w:rPr>
                <w:color w:val="000000" w:themeColor="text1"/>
              </w:rPr>
              <w:t>Post-1992 R</w:t>
            </w:r>
          </w:p>
        </w:tc>
        <w:tc>
          <w:tcPr>
            <w:tcW w:w="1134" w:type="dxa"/>
          </w:tcPr>
          <w:p w14:paraId="625CFA17" w14:textId="77777777" w:rsidR="00A57AA9" w:rsidRPr="00480820" w:rsidRDefault="00A57AA9" w:rsidP="00A57AA9">
            <w:pPr>
              <w:pStyle w:val="xTableText"/>
              <w:jc w:val="center"/>
            </w:pPr>
            <w:r w:rsidRPr="00480820">
              <w:t>4</w:t>
            </w:r>
          </w:p>
        </w:tc>
        <w:tc>
          <w:tcPr>
            <w:tcW w:w="1134" w:type="dxa"/>
          </w:tcPr>
          <w:p w14:paraId="23F333B3" w14:textId="77777777" w:rsidR="00A57AA9" w:rsidRPr="00480820" w:rsidRDefault="00A57AA9" w:rsidP="00A57AA9">
            <w:pPr>
              <w:pStyle w:val="xTableText"/>
              <w:jc w:val="center"/>
            </w:pPr>
            <w:r>
              <w:t>114</w:t>
            </w:r>
          </w:p>
        </w:tc>
        <w:tc>
          <w:tcPr>
            <w:tcW w:w="1134" w:type="dxa"/>
          </w:tcPr>
          <w:p w14:paraId="441330B8" w14:textId="77777777" w:rsidR="00A57AA9" w:rsidRPr="00480820" w:rsidRDefault="00A57AA9" w:rsidP="00A57AA9">
            <w:pPr>
              <w:pStyle w:val="xTableText"/>
              <w:jc w:val="center"/>
            </w:pPr>
            <w:r w:rsidRPr="00480820">
              <w:t>3.5%</w:t>
            </w:r>
          </w:p>
        </w:tc>
        <w:tc>
          <w:tcPr>
            <w:tcW w:w="1134" w:type="dxa"/>
          </w:tcPr>
          <w:p w14:paraId="2F40E2C1" w14:textId="77777777" w:rsidR="00A57AA9" w:rsidRPr="00480820" w:rsidRDefault="00A57AA9" w:rsidP="00A57AA9">
            <w:pPr>
              <w:pStyle w:val="xTableText"/>
              <w:jc w:val="center"/>
            </w:pPr>
            <w:r w:rsidRPr="00480820">
              <w:t>2.1</w:t>
            </w:r>
            <w:r>
              <w:t>%</w:t>
            </w:r>
          </w:p>
        </w:tc>
      </w:tr>
      <w:tr w:rsidR="00A57AA9" w:rsidRPr="00480820" w14:paraId="5CD1FF88" w14:textId="77777777" w:rsidTr="00A57AA9">
        <w:tc>
          <w:tcPr>
            <w:tcW w:w="1555" w:type="dxa"/>
          </w:tcPr>
          <w:p w14:paraId="4887866B" w14:textId="77777777" w:rsidR="00A57AA9" w:rsidRPr="003050C2" w:rsidRDefault="00A57AA9" w:rsidP="00A57AA9">
            <w:pPr>
              <w:pStyle w:val="xTableText"/>
              <w:rPr>
                <w:color w:val="000000" w:themeColor="text1"/>
              </w:rPr>
            </w:pPr>
            <w:r w:rsidRPr="003050C2">
              <w:rPr>
                <w:color w:val="000000" w:themeColor="text1"/>
              </w:rPr>
              <w:t>Post-1992 L</w:t>
            </w:r>
          </w:p>
        </w:tc>
        <w:tc>
          <w:tcPr>
            <w:tcW w:w="1134" w:type="dxa"/>
          </w:tcPr>
          <w:p w14:paraId="123CA372" w14:textId="77777777" w:rsidR="00A57AA9" w:rsidRPr="00480820" w:rsidRDefault="00A57AA9" w:rsidP="00A57AA9">
            <w:pPr>
              <w:pStyle w:val="xTableText"/>
              <w:jc w:val="center"/>
            </w:pPr>
            <w:r w:rsidRPr="00480820">
              <w:t>4</w:t>
            </w:r>
          </w:p>
        </w:tc>
        <w:tc>
          <w:tcPr>
            <w:tcW w:w="1134" w:type="dxa"/>
          </w:tcPr>
          <w:p w14:paraId="3B570775" w14:textId="77777777" w:rsidR="00A57AA9" w:rsidRPr="00480820" w:rsidRDefault="00A57AA9" w:rsidP="00A57AA9">
            <w:pPr>
              <w:pStyle w:val="xTableText"/>
              <w:jc w:val="center"/>
            </w:pPr>
            <w:r>
              <w:t>221</w:t>
            </w:r>
          </w:p>
        </w:tc>
        <w:tc>
          <w:tcPr>
            <w:tcW w:w="1134" w:type="dxa"/>
          </w:tcPr>
          <w:p w14:paraId="14C5F271" w14:textId="77777777" w:rsidR="00A57AA9" w:rsidRPr="00480820" w:rsidRDefault="00A57AA9" w:rsidP="00A57AA9">
            <w:pPr>
              <w:pStyle w:val="xTableText"/>
              <w:jc w:val="center"/>
            </w:pPr>
            <w:r w:rsidRPr="00480820">
              <w:t>1.8%</w:t>
            </w:r>
          </w:p>
        </w:tc>
        <w:tc>
          <w:tcPr>
            <w:tcW w:w="1134" w:type="dxa"/>
          </w:tcPr>
          <w:p w14:paraId="08F291DA" w14:textId="77777777" w:rsidR="00A57AA9" w:rsidRPr="00480820" w:rsidRDefault="00A57AA9" w:rsidP="00A57AA9">
            <w:pPr>
              <w:pStyle w:val="xTableText"/>
              <w:jc w:val="center"/>
            </w:pPr>
            <w:r w:rsidRPr="00480820">
              <w:t>2.1</w:t>
            </w:r>
            <w:r>
              <w:t>%</w:t>
            </w:r>
          </w:p>
        </w:tc>
      </w:tr>
      <w:tr w:rsidR="00A57AA9" w:rsidRPr="00480820" w14:paraId="2658A33A" w14:textId="77777777" w:rsidTr="00A57AA9">
        <w:tc>
          <w:tcPr>
            <w:tcW w:w="1555" w:type="dxa"/>
          </w:tcPr>
          <w:p w14:paraId="7F44EC1A" w14:textId="77777777" w:rsidR="00A57AA9" w:rsidRPr="003050C2" w:rsidRDefault="00A57AA9" w:rsidP="00A57AA9">
            <w:pPr>
              <w:pStyle w:val="xTableText"/>
              <w:rPr>
                <w:color w:val="000000" w:themeColor="text1"/>
              </w:rPr>
            </w:pPr>
            <w:r w:rsidRPr="003050C2">
              <w:rPr>
                <w:color w:val="000000" w:themeColor="text1"/>
              </w:rPr>
              <w:t>Plate Glass C</w:t>
            </w:r>
          </w:p>
        </w:tc>
        <w:tc>
          <w:tcPr>
            <w:tcW w:w="1134" w:type="dxa"/>
          </w:tcPr>
          <w:p w14:paraId="1222B0A3" w14:textId="77777777" w:rsidR="00A57AA9" w:rsidRPr="00480820" w:rsidRDefault="00A57AA9" w:rsidP="00A57AA9">
            <w:pPr>
              <w:pStyle w:val="xTableText"/>
              <w:jc w:val="center"/>
            </w:pPr>
            <w:r w:rsidRPr="00480820">
              <w:t>3</w:t>
            </w:r>
          </w:p>
        </w:tc>
        <w:tc>
          <w:tcPr>
            <w:tcW w:w="1134" w:type="dxa"/>
          </w:tcPr>
          <w:p w14:paraId="57DF152F" w14:textId="77777777" w:rsidR="00A57AA9" w:rsidRPr="00480820" w:rsidRDefault="00A57AA9" w:rsidP="00A57AA9">
            <w:pPr>
              <w:pStyle w:val="xTableText"/>
              <w:jc w:val="center"/>
            </w:pPr>
            <w:r>
              <w:t>34</w:t>
            </w:r>
          </w:p>
        </w:tc>
        <w:tc>
          <w:tcPr>
            <w:tcW w:w="1134" w:type="dxa"/>
          </w:tcPr>
          <w:p w14:paraId="243CA037" w14:textId="77777777" w:rsidR="00A57AA9" w:rsidRPr="00480820" w:rsidRDefault="00A57AA9" w:rsidP="00A57AA9">
            <w:pPr>
              <w:pStyle w:val="xTableText"/>
              <w:jc w:val="center"/>
            </w:pPr>
            <w:r w:rsidRPr="00480820">
              <w:t>8.8%</w:t>
            </w:r>
          </w:p>
        </w:tc>
        <w:tc>
          <w:tcPr>
            <w:tcW w:w="1134" w:type="dxa"/>
          </w:tcPr>
          <w:p w14:paraId="44DB2649" w14:textId="77777777" w:rsidR="00A57AA9" w:rsidRPr="00480820" w:rsidRDefault="00A57AA9" w:rsidP="00A57AA9">
            <w:pPr>
              <w:pStyle w:val="xTableText"/>
              <w:jc w:val="center"/>
            </w:pPr>
            <w:r w:rsidRPr="00480820">
              <w:t>1.</w:t>
            </w:r>
            <w:r>
              <w:t>6%</w:t>
            </w:r>
          </w:p>
        </w:tc>
      </w:tr>
      <w:tr w:rsidR="00A57AA9" w:rsidRPr="00480820" w14:paraId="14D17FA1" w14:textId="77777777" w:rsidTr="00A57AA9">
        <w:tc>
          <w:tcPr>
            <w:tcW w:w="1555" w:type="dxa"/>
          </w:tcPr>
          <w:p w14:paraId="317AA058" w14:textId="77777777" w:rsidR="00A57AA9" w:rsidRPr="003050C2" w:rsidRDefault="00A57AA9" w:rsidP="00A57AA9">
            <w:pPr>
              <w:pStyle w:val="xTableText"/>
              <w:rPr>
                <w:color w:val="000000" w:themeColor="text1"/>
              </w:rPr>
            </w:pPr>
            <w:r w:rsidRPr="003050C2">
              <w:rPr>
                <w:color w:val="000000" w:themeColor="text1"/>
              </w:rPr>
              <w:t>Post-1992 J</w:t>
            </w:r>
          </w:p>
        </w:tc>
        <w:tc>
          <w:tcPr>
            <w:tcW w:w="1134" w:type="dxa"/>
          </w:tcPr>
          <w:p w14:paraId="48661341" w14:textId="77777777" w:rsidR="00A57AA9" w:rsidRPr="00480820" w:rsidRDefault="00A57AA9" w:rsidP="00A57AA9">
            <w:pPr>
              <w:pStyle w:val="xTableText"/>
              <w:jc w:val="center"/>
            </w:pPr>
            <w:r w:rsidRPr="00480820">
              <w:t>3</w:t>
            </w:r>
          </w:p>
        </w:tc>
        <w:tc>
          <w:tcPr>
            <w:tcW w:w="1134" w:type="dxa"/>
          </w:tcPr>
          <w:p w14:paraId="0EFD82CD" w14:textId="77777777" w:rsidR="00A57AA9" w:rsidRPr="00480820" w:rsidRDefault="00A57AA9" w:rsidP="00A57AA9">
            <w:pPr>
              <w:pStyle w:val="xTableText"/>
              <w:jc w:val="center"/>
            </w:pPr>
            <w:r>
              <w:t>93</w:t>
            </w:r>
          </w:p>
        </w:tc>
        <w:tc>
          <w:tcPr>
            <w:tcW w:w="1134" w:type="dxa"/>
          </w:tcPr>
          <w:p w14:paraId="2E8FB250" w14:textId="77777777" w:rsidR="00A57AA9" w:rsidRPr="00480820" w:rsidRDefault="00A57AA9" w:rsidP="00A57AA9">
            <w:pPr>
              <w:pStyle w:val="xTableText"/>
              <w:jc w:val="center"/>
            </w:pPr>
            <w:r w:rsidRPr="00480820">
              <w:t>3.2%</w:t>
            </w:r>
          </w:p>
        </w:tc>
        <w:tc>
          <w:tcPr>
            <w:tcW w:w="1134" w:type="dxa"/>
          </w:tcPr>
          <w:p w14:paraId="59B8779C" w14:textId="77777777" w:rsidR="00A57AA9" w:rsidRPr="00480820" w:rsidRDefault="00A57AA9" w:rsidP="00A57AA9">
            <w:pPr>
              <w:pStyle w:val="xTableText"/>
              <w:jc w:val="center"/>
            </w:pPr>
            <w:r w:rsidRPr="00480820">
              <w:t>1.</w:t>
            </w:r>
            <w:r>
              <w:t>6%</w:t>
            </w:r>
          </w:p>
        </w:tc>
      </w:tr>
      <w:tr w:rsidR="00A57AA9" w:rsidRPr="00480820" w14:paraId="3CC246E4" w14:textId="77777777" w:rsidTr="00A57AA9">
        <w:tc>
          <w:tcPr>
            <w:tcW w:w="1555" w:type="dxa"/>
          </w:tcPr>
          <w:p w14:paraId="441A02CE" w14:textId="77777777" w:rsidR="00A57AA9" w:rsidRPr="003050C2" w:rsidRDefault="00A57AA9" w:rsidP="00A57AA9">
            <w:pPr>
              <w:pStyle w:val="xTableText"/>
              <w:rPr>
                <w:color w:val="000000" w:themeColor="text1"/>
              </w:rPr>
            </w:pPr>
            <w:r w:rsidRPr="003050C2">
              <w:rPr>
                <w:color w:val="000000" w:themeColor="text1"/>
              </w:rPr>
              <w:t>Post-1992 P</w:t>
            </w:r>
          </w:p>
        </w:tc>
        <w:tc>
          <w:tcPr>
            <w:tcW w:w="1134" w:type="dxa"/>
          </w:tcPr>
          <w:p w14:paraId="34EA5EF8" w14:textId="77777777" w:rsidR="00A57AA9" w:rsidRPr="00480820" w:rsidRDefault="00A57AA9" w:rsidP="00A57AA9">
            <w:pPr>
              <w:pStyle w:val="xTableText"/>
              <w:jc w:val="center"/>
            </w:pPr>
            <w:r w:rsidRPr="00480820">
              <w:t>3</w:t>
            </w:r>
          </w:p>
        </w:tc>
        <w:tc>
          <w:tcPr>
            <w:tcW w:w="1134" w:type="dxa"/>
          </w:tcPr>
          <w:p w14:paraId="1E4A2A89" w14:textId="77777777" w:rsidR="00A57AA9" w:rsidRPr="00480820" w:rsidRDefault="00A57AA9" w:rsidP="00A57AA9">
            <w:pPr>
              <w:pStyle w:val="xTableText"/>
              <w:jc w:val="center"/>
            </w:pPr>
            <w:r>
              <w:t>137</w:t>
            </w:r>
          </w:p>
        </w:tc>
        <w:tc>
          <w:tcPr>
            <w:tcW w:w="1134" w:type="dxa"/>
          </w:tcPr>
          <w:p w14:paraId="1E4E8677" w14:textId="77777777" w:rsidR="00A57AA9" w:rsidRPr="00480820" w:rsidRDefault="00A57AA9" w:rsidP="00A57AA9">
            <w:pPr>
              <w:pStyle w:val="xTableText"/>
              <w:jc w:val="center"/>
            </w:pPr>
            <w:r w:rsidRPr="00480820">
              <w:t>2.2%</w:t>
            </w:r>
          </w:p>
        </w:tc>
        <w:tc>
          <w:tcPr>
            <w:tcW w:w="1134" w:type="dxa"/>
          </w:tcPr>
          <w:p w14:paraId="45893BA7" w14:textId="77777777" w:rsidR="00A57AA9" w:rsidRPr="00480820" w:rsidRDefault="00A57AA9" w:rsidP="00A57AA9">
            <w:pPr>
              <w:pStyle w:val="xTableText"/>
              <w:jc w:val="center"/>
            </w:pPr>
            <w:r w:rsidRPr="00480820">
              <w:t>1.</w:t>
            </w:r>
            <w:r>
              <w:t>6%</w:t>
            </w:r>
          </w:p>
        </w:tc>
      </w:tr>
      <w:tr w:rsidR="00A57AA9" w:rsidRPr="00480820" w14:paraId="179E1A2E" w14:textId="77777777" w:rsidTr="00A57AA9">
        <w:tc>
          <w:tcPr>
            <w:tcW w:w="1555" w:type="dxa"/>
          </w:tcPr>
          <w:p w14:paraId="04266EC6" w14:textId="77777777" w:rsidR="00A57AA9" w:rsidRPr="003050C2" w:rsidRDefault="00A57AA9" w:rsidP="00A57AA9">
            <w:pPr>
              <w:pStyle w:val="xTableText"/>
              <w:rPr>
                <w:color w:val="000000" w:themeColor="text1"/>
              </w:rPr>
            </w:pPr>
            <w:r w:rsidRPr="003050C2">
              <w:rPr>
                <w:color w:val="000000" w:themeColor="text1"/>
              </w:rPr>
              <w:t>Other C*</w:t>
            </w:r>
          </w:p>
        </w:tc>
        <w:tc>
          <w:tcPr>
            <w:tcW w:w="1134" w:type="dxa"/>
          </w:tcPr>
          <w:p w14:paraId="51746284" w14:textId="77777777" w:rsidR="00A57AA9" w:rsidRPr="00480820" w:rsidRDefault="00A57AA9" w:rsidP="00A57AA9">
            <w:pPr>
              <w:pStyle w:val="xTableText"/>
              <w:jc w:val="center"/>
            </w:pPr>
            <w:r w:rsidRPr="00480820">
              <w:t>2</w:t>
            </w:r>
          </w:p>
        </w:tc>
        <w:tc>
          <w:tcPr>
            <w:tcW w:w="1134" w:type="dxa"/>
          </w:tcPr>
          <w:p w14:paraId="78F451D1" w14:textId="77777777" w:rsidR="00A57AA9" w:rsidRPr="00480820" w:rsidRDefault="00A57AA9" w:rsidP="00A57AA9">
            <w:pPr>
              <w:pStyle w:val="xTableText"/>
              <w:jc w:val="center"/>
            </w:pPr>
            <w:r>
              <w:t>27</w:t>
            </w:r>
          </w:p>
        </w:tc>
        <w:tc>
          <w:tcPr>
            <w:tcW w:w="1134" w:type="dxa"/>
          </w:tcPr>
          <w:p w14:paraId="4FF3C665" w14:textId="77777777" w:rsidR="00A57AA9" w:rsidRPr="00480820" w:rsidRDefault="00A57AA9" w:rsidP="00A57AA9">
            <w:pPr>
              <w:pStyle w:val="xTableText"/>
              <w:jc w:val="center"/>
            </w:pPr>
            <w:r w:rsidRPr="00480820">
              <w:t>7.4%</w:t>
            </w:r>
          </w:p>
        </w:tc>
        <w:tc>
          <w:tcPr>
            <w:tcW w:w="1134" w:type="dxa"/>
          </w:tcPr>
          <w:p w14:paraId="560EFA1D" w14:textId="77777777" w:rsidR="00A57AA9" w:rsidRPr="00480820" w:rsidRDefault="00A57AA9" w:rsidP="00A57AA9">
            <w:pPr>
              <w:pStyle w:val="xTableText"/>
              <w:jc w:val="center"/>
            </w:pPr>
            <w:r w:rsidRPr="00480820">
              <w:t>1.</w:t>
            </w:r>
            <w:r>
              <w:t>1%</w:t>
            </w:r>
          </w:p>
        </w:tc>
      </w:tr>
      <w:tr w:rsidR="00A57AA9" w:rsidRPr="00480820" w14:paraId="0C45E292" w14:textId="77777777" w:rsidTr="00A57AA9">
        <w:tc>
          <w:tcPr>
            <w:tcW w:w="1555" w:type="dxa"/>
          </w:tcPr>
          <w:p w14:paraId="275F22EA" w14:textId="77777777" w:rsidR="00A57AA9" w:rsidRPr="003050C2" w:rsidRDefault="00A57AA9" w:rsidP="00A57AA9">
            <w:pPr>
              <w:pStyle w:val="xTableText"/>
              <w:rPr>
                <w:color w:val="000000" w:themeColor="text1"/>
              </w:rPr>
            </w:pPr>
            <w:r w:rsidRPr="003050C2">
              <w:rPr>
                <w:color w:val="000000" w:themeColor="text1"/>
              </w:rPr>
              <w:t>Post-1992 N</w:t>
            </w:r>
          </w:p>
        </w:tc>
        <w:tc>
          <w:tcPr>
            <w:tcW w:w="1134" w:type="dxa"/>
          </w:tcPr>
          <w:p w14:paraId="07CB3A70" w14:textId="77777777" w:rsidR="00A57AA9" w:rsidRPr="00480820" w:rsidRDefault="00A57AA9" w:rsidP="00A57AA9">
            <w:pPr>
              <w:pStyle w:val="xTableText"/>
              <w:jc w:val="center"/>
            </w:pPr>
            <w:r w:rsidRPr="00480820">
              <w:t>2</w:t>
            </w:r>
          </w:p>
        </w:tc>
        <w:tc>
          <w:tcPr>
            <w:tcW w:w="1134" w:type="dxa"/>
          </w:tcPr>
          <w:p w14:paraId="1A8D7C7C" w14:textId="77777777" w:rsidR="00A57AA9" w:rsidRPr="00480820" w:rsidRDefault="00A57AA9" w:rsidP="00A57AA9">
            <w:pPr>
              <w:pStyle w:val="xTableText"/>
              <w:jc w:val="center"/>
            </w:pPr>
            <w:r>
              <w:t>57</w:t>
            </w:r>
          </w:p>
        </w:tc>
        <w:tc>
          <w:tcPr>
            <w:tcW w:w="1134" w:type="dxa"/>
          </w:tcPr>
          <w:p w14:paraId="40ED5173" w14:textId="77777777" w:rsidR="00A57AA9" w:rsidRPr="00480820" w:rsidRDefault="00A57AA9" w:rsidP="00A57AA9">
            <w:pPr>
              <w:pStyle w:val="xTableText"/>
              <w:jc w:val="center"/>
            </w:pPr>
            <w:r w:rsidRPr="00480820">
              <w:t>3.5%</w:t>
            </w:r>
          </w:p>
        </w:tc>
        <w:tc>
          <w:tcPr>
            <w:tcW w:w="1134" w:type="dxa"/>
          </w:tcPr>
          <w:p w14:paraId="6B5A8FA7" w14:textId="77777777" w:rsidR="00A57AA9" w:rsidRPr="00480820" w:rsidRDefault="00A57AA9" w:rsidP="00A57AA9">
            <w:pPr>
              <w:pStyle w:val="xTableText"/>
              <w:jc w:val="center"/>
            </w:pPr>
            <w:r w:rsidRPr="00480820">
              <w:t>1.</w:t>
            </w:r>
            <w:r>
              <w:t>1%</w:t>
            </w:r>
          </w:p>
        </w:tc>
      </w:tr>
      <w:tr w:rsidR="00A57AA9" w:rsidRPr="00480820" w14:paraId="2D323949" w14:textId="77777777" w:rsidTr="00A57AA9">
        <w:tc>
          <w:tcPr>
            <w:tcW w:w="1555" w:type="dxa"/>
          </w:tcPr>
          <w:p w14:paraId="7011B9E7" w14:textId="77777777" w:rsidR="00A57AA9" w:rsidRPr="003050C2" w:rsidRDefault="00A57AA9" w:rsidP="00A57AA9">
            <w:pPr>
              <w:pStyle w:val="xTableText"/>
              <w:rPr>
                <w:color w:val="000000" w:themeColor="text1"/>
              </w:rPr>
            </w:pPr>
            <w:r w:rsidRPr="003050C2">
              <w:rPr>
                <w:color w:val="000000" w:themeColor="text1"/>
              </w:rPr>
              <w:t>Red Brick B</w:t>
            </w:r>
          </w:p>
        </w:tc>
        <w:tc>
          <w:tcPr>
            <w:tcW w:w="1134" w:type="dxa"/>
          </w:tcPr>
          <w:p w14:paraId="7315BBF7" w14:textId="77777777" w:rsidR="00A57AA9" w:rsidRPr="00480820" w:rsidRDefault="00A57AA9" w:rsidP="00A57AA9">
            <w:pPr>
              <w:pStyle w:val="xTableText"/>
              <w:jc w:val="center"/>
            </w:pPr>
            <w:r w:rsidRPr="00480820">
              <w:t>2</w:t>
            </w:r>
          </w:p>
        </w:tc>
        <w:tc>
          <w:tcPr>
            <w:tcW w:w="1134" w:type="dxa"/>
          </w:tcPr>
          <w:p w14:paraId="23D8E60C" w14:textId="77777777" w:rsidR="00A57AA9" w:rsidRPr="00480820" w:rsidRDefault="00A57AA9" w:rsidP="00A57AA9">
            <w:pPr>
              <w:pStyle w:val="xTableText"/>
              <w:jc w:val="center"/>
            </w:pPr>
            <w:r>
              <w:t>155</w:t>
            </w:r>
          </w:p>
        </w:tc>
        <w:tc>
          <w:tcPr>
            <w:tcW w:w="1134" w:type="dxa"/>
          </w:tcPr>
          <w:p w14:paraId="52FE22D0" w14:textId="77777777" w:rsidR="00A57AA9" w:rsidRPr="00480820" w:rsidRDefault="00A57AA9" w:rsidP="00A57AA9">
            <w:pPr>
              <w:pStyle w:val="xTableText"/>
              <w:jc w:val="center"/>
            </w:pPr>
            <w:r w:rsidRPr="00480820">
              <w:t>1.3%</w:t>
            </w:r>
          </w:p>
        </w:tc>
        <w:tc>
          <w:tcPr>
            <w:tcW w:w="1134" w:type="dxa"/>
          </w:tcPr>
          <w:p w14:paraId="7A8A7833" w14:textId="77777777" w:rsidR="00A57AA9" w:rsidRPr="00480820" w:rsidRDefault="00A57AA9" w:rsidP="00A57AA9">
            <w:pPr>
              <w:pStyle w:val="xTableText"/>
              <w:jc w:val="center"/>
            </w:pPr>
            <w:r w:rsidRPr="00480820">
              <w:t>1.</w:t>
            </w:r>
            <w:r>
              <w:t>1%</w:t>
            </w:r>
          </w:p>
        </w:tc>
      </w:tr>
      <w:tr w:rsidR="00A57AA9" w:rsidRPr="00480820" w14:paraId="22E5A250" w14:textId="77777777" w:rsidTr="00A57AA9">
        <w:tc>
          <w:tcPr>
            <w:tcW w:w="1555" w:type="dxa"/>
          </w:tcPr>
          <w:p w14:paraId="7ACC69A0" w14:textId="77777777" w:rsidR="00A57AA9" w:rsidRPr="003050C2" w:rsidRDefault="00A57AA9" w:rsidP="00A57AA9">
            <w:pPr>
              <w:pStyle w:val="xTableText"/>
              <w:rPr>
                <w:color w:val="000000" w:themeColor="text1"/>
              </w:rPr>
            </w:pPr>
            <w:r w:rsidRPr="003050C2">
              <w:rPr>
                <w:color w:val="000000" w:themeColor="text1"/>
              </w:rPr>
              <w:t>Ancient</w:t>
            </w:r>
          </w:p>
        </w:tc>
        <w:tc>
          <w:tcPr>
            <w:tcW w:w="1134" w:type="dxa"/>
          </w:tcPr>
          <w:p w14:paraId="0EFD239A" w14:textId="77777777" w:rsidR="00A57AA9" w:rsidRPr="00480820" w:rsidRDefault="00A57AA9" w:rsidP="00A57AA9">
            <w:pPr>
              <w:pStyle w:val="xTableText"/>
              <w:jc w:val="center"/>
            </w:pPr>
            <w:r w:rsidRPr="00480820">
              <w:t>2</w:t>
            </w:r>
          </w:p>
        </w:tc>
        <w:tc>
          <w:tcPr>
            <w:tcW w:w="1134" w:type="dxa"/>
          </w:tcPr>
          <w:p w14:paraId="204B83D1" w14:textId="77777777" w:rsidR="00A57AA9" w:rsidRPr="00480820" w:rsidRDefault="00A57AA9" w:rsidP="00A57AA9">
            <w:pPr>
              <w:pStyle w:val="xTableText"/>
              <w:jc w:val="center"/>
            </w:pPr>
            <w:r>
              <w:t>164</w:t>
            </w:r>
          </w:p>
        </w:tc>
        <w:tc>
          <w:tcPr>
            <w:tcW w:w="1134" w:type="dxa"/>
          </w:tcPr>
          <w:p w14:paraId="0C0CBD99" w14:textId="77777777" w:rsidR="00A57AA9" w:rsidRPr="00480820" w:rsidRDefault="00A57AA9" w:rsidP="00A57AA9">
            <w:pPr>
              <w:pStyle w:val="xTableText"/>
              <w:jc w:val="center"/>
            </w:pPr>
            <w:r w:rsidRPr="00480820">
              <w:t>1.2%</w:t>
            </w:r>
          </w:p>
        </w:tc>
        <w:tc>
          <w:tcPr>
            <w:tcW w:w="1134" w:type="dxa"/>
          </w:tcPr>
          <w:p w14:paraId="5FD253CC" w14:textId="77777777" w:rsidR="00A57AA9" w:rsidRPr="00480820" w:rsidRDefault="00A57AA9" w:rsidP="00A57AA9">
            <w:pPr>
              <w:pStyle w:val="xTableText"/>
              <w:jc w:val="center"/>
            </w:pPr>
            <w:r w:rsidRPr="00480820">
              <w:t>1.</w:t>
            </w:r>
            <w:r>
              <w:t>1%</w:t>
            </w:r>
          </w:p>
        </w:tc>
      </w:tr>
      <w:tr w:rsidR="00A57AA9" w:rsidRPr="00480820" w14:paraId="2780B1A4" w14:textId="77777777" w:rsidTr="00A57AA9">
        <w:tc>
          <w:tcPr>
            <w:tcW w:w="1555" w:type="dxa"/>
          </w:tcPr>
          <w:p w14:paraId="5E908B70" w14:textId="77777777" w:rsidR="00A57AA9" w:rsidRPr="003050C2" w:rsidRDefault="00A57AA9" w:rsidP="00A57AA9">
            <w:pPr>
              <w:pStyle w:val="xTableText"/>
              <w:rPr>
                <w:color w:val="000000" w:themeColor="text1"/>
              </w:rPr>
            </w:pPr>
            <w:r w:rsidRPr="003050C2">
              <w:rPr>
                <w:color w:val="000000" w:themeColor="text1"/>
              </w:rPr>
              <w:t>Red Brick A*</w:t>
            </w:r>
          </w:p>
        </w:tc>
        <w:tc>
          <w:tcPr>
            <w:tcW w:w="1134" w:type="dxa"/>
          </w:tcPr>
          <w:p w14:paraId="6A422040" w14:textId="77777777" w:rsidR="00A57AA9" w:rsidRPr="00480820" w:rsidRDefault="00A57AA9" w:rsidP="00A57AA9">
            <w:pPr>
              <w:pStyle w:val="xTableText"/>
              <w:jc w:val="center"/>
            </w:pPr>
            <w:r w:rsidRPr="00480820">
              <w:t>1</w:t>
            </w:r>
          </w:p>
        </w:tc>
        <w:tc>
          <w:tcPr>
            <w:tcW w:w="1134" w:type="dxa"/>
          </w:tcPr>
          <w:p w14:paraId="05DC2BEB" w14:textId="77777777" w:rsidR="00A57AA9" w:rsidRPr="00480820" w:rsidRDefault="00A57AA9" w:rsidP="00A57AA9">
            <w:pPr>
              <w:pStyle w:val="xTableText"/>
              <w:jc w:val="center"/>
            </w:pPr>
            <w:r>
              <w:t>16</w:t>
            </w:r>
          </w:p>
        </w:tc>
        <w:tc>
          <w:tcPr>
            <w:tcW w:w="1134" w:type="dxa"/>
          </w:tcPr>
          <w:p w14:paraId="6A8D82BA" w14:textId="77777777" w:rsidR="00A57AA9" w:rsidRPr="00480820" w:rsidRDefault="00A57AA9" w:rsidP="00A57AA9">
            <w:pPr>
              <w:pStyle w:val="xTableText"/>
              <w:jc w:val="center"/>
            </w:pPr>
            <w:r w:rsidRPr="00480820">
              <w:t>6.3%</w:t>
            </w:r>
          </w:p>
        </w:tc>
        <w:tc>
          <w:tcPr>
            <w:tcW w:w="1134" w:type="dxa"/>
          </w:tcPr>
          <w:p w14:paraId="51DD07CA" w14:textId="77777777" w:rsidR="00A57AA9" w:rsidRPr="00480820" w:rsidRDefault="00A57AA9" w:rsidP="00A57AA9">
            <w:pPr>
              <w:pStyle w:val="xTableText"/>
              <w:jc w:val="center"/>
            </w:pPr>
            <w:r w:rsidRPr="00480820">
              <w:t>0.5</w:t>
            </w:r>
            <w:r>
              <w:t>%</w:t>
            </w:r>
          </w:p>
        </w:tc>
      </w:tr>
      <w:tr w:rsidR="00A57AA9" w:rsidRPr="00480820" w14:paraId="0655472F" w14:textId="77777777" w:rsidTr="00A57AA9">
        <w:tc>
          <w:tcPr>
            <w:tcW w:w="1555" w:type="dxa"/>
          </w:tcPr>
          <w:p w14:paraId="0F2BB194" w14:textId="77777777" w:rsidR="00A57AA9" w:rsidRPr="003050C2" w:rsidRDefault="00A57AA9" w:rsidP="00A57AA9">
            <w:pPr>
              <w:pStyle w:val="xTableText"/>
              <w:rPr>
                <w:color w:val="000000" w:themeColor="text1"/>
              </w:rPr>
            </w:pPr>
            <w:r w:rsidRPr="003050C2">
              <w:rPr>
                <w:color w:val="000000" w:themeColor="text1"/>
              </w:rPr>
              <w:t>Post-1992 M</w:t>
            </w:r>
          </w:p>
        </w:tc>
        <w:tc>
          <w:tcPr>
            <w:tcW w:w="1134" w:type="dxa"/>
          </w:tcPr>
          <w:p w14:paraId="1A483BCE" w14:textId="77777777" w:rsidR="00A57AA9" w:rsidRPr="00480820" w:rsidRDefault="00A57AA9" w:rsidP="00A57AA9">
            <w:pPr>
              <w:pStyle w:val="xTableText"/>
              <w:jc w:val="center"/>
            </w:pPr>
            <w:r w:rsidRPr="00480820">
              <w:t>1</w:t>
            </w:r>
          </w:p>
        </w:tc>
        <w:tc>
          <w:tcPr>
            <w:tcW w:w="1134" w:type="dxa"/>
          </w:tcPr>
          <w:p w14:paraId="602B1AC9" w14:textId="77777777" w:rsidR="00A57AA9" w:rsidRPr="00480820" w:rsidRDefault="00A57AA9" w:rsidP="00A57AA9">
            <w:pPr>
              <w:pStyle w:val="xTableText"/>
              <w:jc w:val="center"/>
            </w:pPr>
            <w:r>
              <w:t>46</w:t>
            </w:r>
          </w:p>
        </w:tc>
        <w:tc>
          <w:tcPr>
            <w:tcW w:w="1134" w:type="dxa"/>
          </w:tcPr>
          <w:p w14:paraId="70AF7FC3" w14:textId="77777777" w:rsidR="00A57AA9" w:rsidRPr="00480820" w:rsidRDefault="00A57AA9" w:rsidP="00A57AA9">
            <w:pPr>
              <w:pStyle w:val="xTableText"/>
              <w:jc w:val="center"/>
            </w:pPr>
            <w:r w:rsidRPr="00480820">
              <w:t>2.2%</w:t>
            </w:r>
          </w:p>
        </w:tc>
        <w:tc>
          <w:tcPr>
            <w:tcW w:w="1134" w:type="dxa"/>
          </w:tcPr>
          <w:p w14:paraId="17C54784" w14:textId="77777777" w:rsidR="00A57AA9" w:rsidRPr="00480820" w:rsidRDefault="00A57AA9" w:rsidP="00A57AA9">
            <w:pPr>
              <w:pStyle w:val="xTableText"/>
              <w:jc w:val="center"/>
            </w:pPr>
            <w:r w:rsidRPr="00480820">
              <w:t>0.5</w:t>
            </w:r>
            <w:r>
              <w:t>%</w:t>
            </w:r>
          </w:p>
        </w:tc>
      </w:tr>
      <w:tr w:rsidR="00A57AA9" w:rsidRPr="00480820" w14:paraId="2155CA89" w14:textId="77777777" w:rsidTr="00A57AA9">
        <w:tc>
          <w:tcPr>
            <w:tcW w:w="1555" w:type="dxa"/>
          </w:tcPr>
          <w:p w14:paraId="10987A58" w14:textId="77777777" w:rsidR="00A57AA9" w:rsidRPr="003050C2" w:rsidRDefault="00A57AA9" w:rsidP="00A57AA9">
            <w:pPr>
              <w:pStyle w:val="xTableText"/>
              <w:rPr>
                <w:color w:val="000000" w:themeColor="text1"/>
              </w:rPr>
            </w:pPr>
            <w:r w:rsidRPr="003050C2">
              <w:rPr>
                <w:color w:val="000000" w:themeColor="text1"/>
              </w:rPr>
              <w:t>Specialist Arts A</w:t>
            </w:r>
          </w:p>
        </w:tc>
        <w:tc>
          <w:tcPr>
            <w:tcW w:w="1134" w:type="dxa"/>
          </w:tcPr>
          <w:p w14:paraId="449A3226" w14:textId="77777777" w:rsidR="00A57AA9" w:rsidRPr="00480820" w:rsidRDefault="00A57AA9" w:rsidP="00A57AA9">
            <w:pPr>
              <w:pStyle w:val="xTableText"/>
              <w:jc w:val="center"/>
            </w:pPr>
            <w:r w:rsidRPr="00480820">
              <w:t>1</w:t>
            </w:r>
          </w:p>
        </w:tc>
        <w:tc>
          <w:tcPr>
            <w:tcW w:w="1134" w:type="dxa"/>
          </w:tcPr>
          <w:p w14:paraId="6A82ADC6" w14:textId="77777777" w:rsidR="00A57AA9" w:rsidRPr="00480820" w:rsidRDefault="00A57AA9" w:rsidP="00A57AA9">
            <w:pPr>
              <w:pStyle w:val="xTableText"/>
              <w:jc w:val="center"/>
            </w:pPr>
            <w:r>
              <w:t>51</w:t>
            </w:r>
          </w:p>
        </w:tc>
        <w:tc>
          <w:tcPr>
            <w:tcW w:w="1134" w:type="dxa"/>
          </w:tcPr>
          <w:p w14:paraId="32517A32" w14:textId="77777777" w:rsidR="00A57AA9" w:rsidRPr="00480820" w:rsidRDefault="00A57AA9" w:rsidP="00A57AA9">
            <w:pPr>
              <w:pStyle w:val="xTableText"/>
              <w:jc w:val="center"/>
            </w:pPr>
            <w:r w:rsidRPr="00480820">
              <w:t>2.0%</w:t>
            </w:r>
          </w:p>
        </w:tc>
        <w:tc>
          <w:tcPr>
            <w:tcW w:w="1134" w:type="dxa"/>
          </w:tcPr>
          <w:p w14:paraId="7AC98DE7" w14:textId="77777777" w:rsidR="00A57AA9" w:rsidRPr="00480820" w:rsidRDefault="00A57AA9" w:rsidP="00A57AA9">
            <w:pPr>
              <w:pStyle w:val="xTableText"/>
              <w:jc w:val="center"/>
            </w:pPr>
            <w:r w:rsidRPr="00480820">
              <w:t>0.5</w:t>
            </w:r>
            <w:r>
              <w:t>%</w:t>
            </w:r>
          </w:p>
        </w:tc>
      </w:tr>
      <w:tr w:rsidR="00A57AA9" w:rsidRPr="00480820" w14:paraId="2C7A03A3" w14:textId="77777777" w:rsidTr="00A57AA9">
        <w:tc>
          <w:tcPr>
            <w:tcW w:w="1555" w:type="dxa"/>
          </w:tcPr>
          <w:p w14:paraId="7347A7BC" w14:textId="77777777" w:rsidR="00A57AA9" w:rsidRPr="003050C2" w:rsidRDefault="00A57AA9" w:rsidP="00A57AA9">
            <w:pPr>
              <w:pStyle w:val="xTableText"/>
              <w:rPr>
                <w:color w:val="000000" w:themeColor="text1"/>
              </w:rPr>
            </w:pPr>
            <w:r w:rsidRPr="003050C2">
              <w:rPr>
                <w:color w:val="000000" w:themeColor="text1"/>
              </w:rPr>
              <w:t>Other A*</w:t>
            </w:r>
          </w:p>
        </w:tc>
        <w:tc>
          <w:tcPr>
            <w:tcW w:w="1134" w:type="dxa"/>
          </w:tcPr>
          <w:p w14:paraId="1EFAB975" w14:textId="77777777" w:rsidR="00A57AA9" w:rsidRPr="00480820" w:rsidRDefault="00A57AA9" w:rsidP="00A57AA9">
            <w:pPr>
              <w:pStyle w:val="xTableText"/>
              <w:jc w:val="center"/>
            </w:pPr>
            <w:r w:rsidRPr="00480820">
              <w:t>1</w:t>
            </w:r>
          </w:p>
        </w:tc>
        <w:tc>
          <w:tcPr>
            <w:tcW w:w="1134" w:type="dxa"/>
          </w:tcPr>
          <w:p w14:paraId="13A96F2F" w14:textId="77777777" w:rsidR="00A57AA9" w:rsidRPr="00480820" w:rsidRDefault="00A57AA9" w:rsidP="00A57AA9">
            <w:pPr>
              <w:pStyle w:val="xTableText"/>
              <w:jc w:val="center"/>
            </w:pPr>
            <w:r>
              <w:t>78</w:t>
            </w:r>
          </w:p>
        </w:tc>
        <w:tc>
          <w:tcPr>
            <w:tcW w:w="1134" w:type="dxa"/>
          </w:tcPr>
          <w:p w14:paraId="661B21F5" w14:textId="77777777" w:rsidR="00A57AA9" w:rsidRPr="00480820" w:rsidRDefault="00A57AA9" w:rsidP="00A57AA9">
            <w:pPr>
              <w:pStyle w:val="xTableText"/>
              <w:jc w:val="center"/>
            </w:pPr>
            <w:r w:rsidRPr="00480820">
              <w:t>1.3%</w:t>
            </w:r>
          </w:p>
        </w:tc>
        <w:tc>
          <w:tcPr>
            <w:tcW w:w="1134" w:type="dxa"/>
          </w:tcPr>
          <w:p w14:paraId="39F2A393" w14:textId="77777777" w:rsidR="00A57AA9" w:rsidRPr="00480820" w:rsidRDefault="00A57AA9" w:rsidP="00A57AA9">
            <w:pPr>
              <w:pStyle w:val="xTableText"/>
              <w:jc w:val="center"/>
            </w:pPr>
            <w:r w:rsidRPr="00480820">
              <w:t>0.5</w:t>
            </w:r>
            <w:r>
              <w:t>%</w:t>
            </w:r>
          </w:p>
        </w:tc>
      </w:tr>
      <w:tr w:rsidR="00A57AA9" w:rsidRPr="00480820" w14:paraId="005D5BD4" w14:textId="77777777" w:rsidTr="00A57AA9">
        <w:tc>
          <w:tcPr>
            <w:tcW w:w="1555" w:type="dxa"/>
          </w:tcPr>
          <w:p w14:paraId="5FEA57C2" w14:textId="77777777" w:rsidR="00A57AA9" w:rsidRPr="003050C2" w:rsidRDefault="00A57AA9" w:rsidP="00A57AA9">
            <w:pPr>
              <w:pStyle w:val="xTableText"/>
              <w:rPr>
                <w:color w:val="000000" w:themeColor="text1"/>
              </w:rPr>
            </w:pPr>
            <w:r w:rsidRPr="003050C2">
              <w:rPr>
                <w:color w:val="000000" w:themeColor="text1"/>
              </w:rPr>
              <w:t>Post-1992 I</w:t>
            </w:r>
          </w:p>
        </w:tc>
        <w:tc>
          <w:tcPr>
            <w:tcW w:w="1134" w:type="dxa"/>
          </w:tcPr>
          <w:p w14:paraId="3C359B9F" w14:textId="77777777" w:rsidR="00A57AA9" w:rsidRPr="00480820" w:rsidRDefault="00A57AA9" w:rsidP="00A57AA9">
            <w:pPr>
              <w:pStyle w:val="xTableText"/>
              <w:jc w:val="center"/>
            </w:pPr>
            <w:r w:rsidRPr="00480820">
              <w:t>1</w:t>
            </w:r>
          </w:p>
        </w:tc>
        <w:tc>
          <w:tcPr>
            <w:tcW w:w="1134" w:type="dxa"/>
          </w:tcPr>
          <w:p w14:paraId="6F9FFD0C" w14:textId="77777777" w:rsidR="00A57AA9" w:rsidRPr="00480820" w:rsidRDefault="00A57AA9" w:rsidP="00A57AA9">
            <w:pPr>
              <w:pStyle w:val="xTableText"/>
              <w:jc w:val="center"/>
            </w:pPr>
            <w:r>
              <w:t>88</w:t>
            </w:r>
          </w:p>
        </w:tc>
        <w:tc>
          <w:tcPr>
            <w:tcW w:w="1134" w:type="dxa"/>
          </w:tcPr>
          <w:p w14:paraId="67BBB0D7" w14:textId="77777777" w:rsidR="00A57AA9" w:rsidRPr="00480820" w:rsidRDefault="00A57AA9" w:rsidP="00A57AA9">
            <w:pPr>
              <w:pStyle w:val="xTableText"/>
              <w:jc w:val="center"/>
            </w:pPr>
            <w:r w:rsidRPr="00480820">
              <w:t>1.1%</w:t>
            </w:r>
          </w:p>
        </w:tc>
        <w:tc>
          <w:tcPr>
            <w:tcW w:w="1134" w:type="dxa"/>
          </w:tcPr>
          <w:p w14:paraId="267C0F22" w14:textId="77777777" w:rsidR="00A57AA9" w:rsidRPr="00480820" w:rsidRDefault="00A57AA9" w:rsidP="00A57AA9">
            <w:pPr>
              <w:pStyle w:val="xTableText"/>
              <w:jc w:val="center"/>
            </w:pPr>
            <w:r w:rsidRPr="00480820">
              <w:t>0.5</w:t>
            </w:r>
            <w:r>
              <w:t>%</w:t>
            </w:r>
          </w:p>
        </w:tc>
      </w:tr>
      <w:tr w:rsidR="00A57AA9" w:rsidRPr="00480820" w14:paraId="10779414" w14:textId="77777777" w:rsidTr="00A57AA9">
        <w:tc>
          <w:tcPr>
            <w:tcW w:w="1555" w:type="dxa"/>
          </w:tcPr>
          <w:p w14:paraId="18988AA4" w14:textId="77777777" w:rsidR="00A57AA9" w:rsidRPr="003050C2" w:rsidRDefault="00A57AA9" w:rsidP="00A57AA9">
            <w:pPr>
              <w:pStyle w:val="xTableText"/>
              <w:rPr>
                <w:color w:val="000000" w:themeColor="text1"/>
              </w:rPr>
            </w:pPr>
            <w:r w:rsidRPr="003050C2">
              <w:rPr>
                <w:color w:val="000000" w:themeColor="text1"/>
              </w:rPr>
              <w:t>Post-1992 F</w:t>
            </w:r>
          </w:p>
        </w:tc>
        <w:tc>
          <w:tcPr>
            <w:tcW w:w="1134" w:type="dxa"/>
          </w:tcPr>
          <w:p w14:paraId="2F0B7904" w14:textId="77777777" w:rsidR="00A57AA9" w:rsidRPr="00480820" w:rsidRDefault="00A57AA9" w:rsidP="00A57AA9">
            <w:pPr>
              <w:pStyle w:val="xTableText"/>
              <w:jc w:val="center"/>
            </w:pPr>
            <w:r w:rsidRPr="00480820">
              <w:t>1</w:t>
            </w:r>
          </w:p>
        </w:tc>
        <w:tc>
          <w:tcPr>
            <w:tcW w:w="1134" w:type="dxa"/>
          </w:tcPr>
          <w:p w14:paraId="662E6294" w14:textId="77777777" w:rsidR="00A57AA9" w:rsidRPr="00480820" w:rsidRDefault="00A57AA9" w:rsidP="00A57AA9">
            <w:pPr>
              <w:pStyle w:val="xTableText"/>
              <w:jc w:val="center"/>
            </w:pPr>
            <w:r>
              <w:t>103</w:t>
            </w:r>
          </w:p>
        </w:tc>
        <w:tc>
          <w:tcPr>
            <w:tcW w:w="1134" w:type="dxa"/>
          </w:tcPr>
          <w:p w14:paraId="1C88A8CD" w14:textId="77777777" w:rsidR="00A57AA9" w:rsidRPr="00480820" w:rsidRDefault="00A57AA9" w:rsidP="00A57AA9">
            <w:pPr>
              <w:pStyle w:val="xTableText"/>
              <w:jc w:val="center"/>
            </w:pPr>
            <w:r w:rsidRPr="00480820">
              <w:t>1.0%</w:t>
            </w:r>
          </w:p>
        </w:tc>
        <w:tc>
          <w:tcPr>
            <w:tcW w:w="1134" w:type="dxa"/>
          </w:tcPr>
          <w:p w14:paraId="41C07C91" w14:textId="77777777" w:rsidR="00A57AA9" w:rsidRPr="00480820" w:rsidRDefault="00A57AA9" w:rsidP="00A57AA9">
            <w:pPr>
              <w:pStyle w:val="xTableText"/>
              <w:jc w:val="center"/>
            </w:pPr>
            <w:r w:rsidRPr="00480820">
              <w:t>0.5</w:t>
            </w:r>
            <w:r>
              <w:t>%</w:t>
            </w:r>
          </w:p>
        </w:tc>
      </w:tr>
      <w:tr w:rsidR="00A57AA9" w:rsidRPr="00480820" w14:paraId="3F0F3B5E" w14:textId="77777777" w:rsidTr="00A57AA9">
        <w:tc>
          <w:tcPr>
            <w:tcW w:w="1555" w:type="dxa"/>
          </w:tcPr>
          <w:p w14:paraId="56788F18" w14:textId="77777777" w:rsidR="00A57AA9" w:rsidRPr="003050C2" w:rsidRDefault="00A57AA9" w:rsidP="00A57AA9">
            <w:pPr>
              <w:pStyle w:val="xTableText"/>
              <w:rPr>
                <w:color w:val="000000" w:themeColor="text1"/>
              </w:rPr>
            </w:pPr>
            <w:r w:rsidRPr="003050C2">
              <w:rPr>
                <w:color w:val="000000" w:themeColor="text1"/>
              </w:rPr>
              <w:t>Plate Glass A*</w:t>
            </w:r>
          </w:p>
        </w:tc>
        <w:tc>
          <w:tcPr>
            <w:tcW w:w="1134" w:type="dxa"/>
          </w:tcPr>
          <w:p w14:paraId="6A165EAA" w14:textId="77777777" w:rsidR="00A57AA9" w:rsidRPr="00480820" w:rsidRDefault="00A57AA9" w:rsidP="00A57AA9">
            <w:pPr>
              <w:pStyle w:val="xTableText"/>
              <w:jc w:val="center"/>
            </w:pPr>
            <w:r w:rsidRPr="00480820">
              <w:t>1</w:t>
            </w:r>
          </w:p>
        </w:tc>
        <w:tc>
          <w:tcPr>
            <w:tcW w:w="1134" w:type="dxa"/>
          </w:tcPr>
          <w:p w14:paraId="773A7C84" w14:textId="77777777" w:rsidR="00A57AA9" w:rsidRPr="00480820" w:rsidRDefault="00A57AA9" w:rsidP="00A57AA9">
            <w:pPr>
              <w:pStyle w:val="xTableText"/>
              <w:jc w:val="center"/>
            </w:pPr>
            <w:r>
              <w:t>116</w:t>
            </w:r>
          </w:p>
        </w:tc>
        <w:tc>
          <w:tcPr>
            <w:tcW w:w="1134" w:type="dxa"/>
          </w:tcPr>
          <w:p w14:paraId="19C7CF36" w14:textId="77777777" w:rsidR="00A57AA9" w:rsidRPr="00480820" w:rsidRDefault="00A57AA9" w:rsidP="00A57AA9">
            <w:pPr>
              <w:pStyle w:val="xTableText"/>
              <w:jc w:val="center"/>
            </w:pPr>
            <w:r w:rsidRPr="00480820">
              <w:t>0.9%</w:t>
            </w:r>
          </w:p>
        </w:tc>
        <w:tc>
          <w:tcPr>
            <w:tcW w:w="1134" w:type="dxa"/>
          </w:tcPr>
          <w:p w14:paraId="21651CD1" w14:textId="77777777" w:rsidR="00A57AA9" w:rsidRPr="00480820" w:rsidRDefault="00A57AA9" w:rsidP="00A57AA9">
            <w:pPr>
              <w:pStyle w:val="xTableText"/>
              <w:jc w:val="center"/>
            </w:pPr>
            <w:r w:rsidRPr="00480820">
              <w:t>0.5</w:t>
            </w:r>
            <w:r>
              <w:t>%</w:t>
            </w:r>
          </w:p>
        </w:tc>
      </w:tr>
      <w:tr w:rsidR="00A57AA9" w:rsidRPr="00480820" w14:paraId="5CBD5FD8" w14:textId="77777777" w:rsidTr="00A57AA9">
        <w:tc>
          <w:tcPr>
            <w:tcW w:w="1555" w:type="dxa"/>
          </w:tcPr>
          <w:p w14:paraId="46655CE4" w14:textId="77777777" w:rsidR="00A57AA9" w:rsidRPr="003050C2" w:rsidRDefault="00A57AA9" w:rsidP="00A57AA9">
            <w:pPr>
              <w:pStyle w:val="xTableText"/>
              <w:rPr>
                <w:color w:val="000000" w:themeColor="text1"/>
              </w:rPr>
            </w:pPr>
            <w:r w:rsidRPr="003050C2">
              <w:rPr>
                <w:color w:val="000000" w:themeColor="text1"/>
              </w:rPr>
              <w:t>Red Brick C</w:t>
            </w:r>
          </w:p>
        </w:tc>
        <w:tc>
          <w:tcPr>
            <w:tcW w:w="1134" w:type="dxa"/>
          </w:tcPr>
          <w:p w14:paraId="39A96534" w14:textId="77777777" w:rsidR="00A57AA9" w:rsidRPr="00480820" w:rsidRDefault="00A57AA9" w:rsidP="00A57AA9">
            <w:pPr>
              <w:pStyle w:val="xTableText"/>
              <w:jc w:val="center"/>
            </w:pPr>
            <w:r w:rsidRPr="00480820">
              <w:t>1</w:t>
            </w:r>
          </w:p>
        </w:tc>
        <w:tc>
          <w:tcPr>
            <w:tcW w:w="1134" w:type="dxa"/>
          </w:tcPr>
          <w:p w14:paraId="329C5595" w14:textId="77777777" w:rsidR="00A57AA9" w:rsidRPr="00480820" w:rsidRDefault="00A57AA9" w:rsidP="00A57AA9">
            <w:pPr>
              <w:pStyle w:val="xTableText"/>
              <w:jc w:val="center"/>
            </w:pPr>
            <w:r>
              <w:t>130</w:t>
            </w:r>
          </w:p>
        </w:tc>
        <w:tc>
          <w:tcPr>
            <w:tcW w:w="1134" w:type="dxa"/>
          </w:tcPr>
          <w:p w14:paraId="328BF8DD" w14:textId="77777777" w:rsidR="00A57AA9" w:rsidRPr="00480820" w:rsidRDefault="00A57AA9" w:rsidP="00A57AA9">
            <w:pPr>
              <w:pStyle w:val="xTableText"/>
              <w:jc w:val="center"/>
            </w:pPr>
            <w:r w:rsidRPr="00480820">
              <w:t>0.8%</w:t>
            </w:r>
          </w:p>
        </w:tc>
        <w:tc>
          <w:tcPr>
            <w:tcW w:w="1134" w:type="dxa"/>
          </w:tcPr>
          <w:p w14:paraId="3ED717EB" w14:textId="77777777" w:rsidR="00A57AA9" w:rsidRPr="00480820" w:rsidRDefault="00A57AA9" w:rsidP="00A57AA9">
            <w:pPr>
              <w:pStyle w:val="xTableText"/>
              <w:jc w:val="center"/>
            </w:pPr>
            <w:r w:rsidRPr="00480820">
              <w:t>0.5</w:t>
            </w:r>
            <w:r>
              <w:t>%</w:t>
            </w:r>
          </w:p>
        </w:tc>
      </w:tr>
      <w:tr w:rsidR="00A57AA9" w:rsidRPr="00480820" w14:paraId="0DECA01D" w14:textId="77777777" w:rsidTr="00A57AA9">
        <w:tc>
          <w:tcPr>
            <w:tcW w:w="1555" w:type="dxa"/>
          </w:tcPr>
          <w:p w14:paraId="6812DAA0" w14:textId="77777777" w:rsidR="00A57AA9" w:rsidRPr="003050C2" w:rsidRDefault="00A57AA9" w:rsidP="00A57AA9">
            <w:pPr>
              <w:pStyle w:val="xTableText"/>
              <w:rPr>
                <w:color w:val="000000" w:themeColor="text1"/>
              </w:rPr>
            </w:pPr>
            <w:r w:rsidRPr="003050C2">
              <w:rPr>
                <w:color w:val="000000" w:themeColor="text1"/>
              </w:rPr>
              <w:t>Other B*</w:t>
            </w:r>
          </w:p>
        </w:tc>
        <w:tc>
          <w:tcPr>
            <w:tcW w:w="1134" w:type="dxa"/>
          </w:tcPr>
          <w:p w14:paraId="365A2150" w14:textId="77777777" w:rsidR="00A57AA9" w:rsidRPr="00480820" w:rsidRDefault="00A57AA9" w:rsidP="00A57AA9">
            <w:pPr>
              <w:pStyle w:val="xTableText"/>
              <w:jc w:val="center"/>
            </w:pPr>
            <w:r w:rsidRPr="00480820">
              <w:t>1</w:t>
            </w:r>
          </w:p>
        </w:tc>
        <w:tc>
          <w:tcPr>
            <w:tcW w:w="1134" w:type="dxa"/>
          </w:tcPr>
          <w:p w14:paraId="3ABCD733" w14:textId="77777777" w:rsidR="00A57AA9" w:rsidRPr="00480820" w:rsidRDefault="00A57AA9" w:rsidP="00A57AA9">
            <w:pPr>
              <w:pStyle w:val="xTableText"/>
              <w:jc w:val="center"/>
            </w:pPr>
            <w:r>
              <w:t>131</w:t>
            </w:r>
          </w:p>
        </w:tc>
        <w:tc>
          <w:tcPr>
            <w:tcW w:w="1134" w:type="dxa"/>
          </w:tcPr>
          <w:p w14:paraId="799890E5" w14:textId="77777777" w:rsidR="00A57AA9" w:rsidRPr="00480820" w:rsidRDefault="00A57AA9" w:rsidP="00A57AA9">
            <w:pPr>
              <w:pStyle w:val="xTableText"/>
              <w:jc w:val="center"/>
            </w:pPr>
            <w:r w:rsidRPr="00480820">
              <w:t>0.8%</w:t>
            </w:r>
          </w:p>
        </w:tc>
        <w:tc>
          <w:tcPr>
            <w:tcW w:w="1134" w:type="dxa"/>
          </w:tcPr>
          <w:p w14:paraId="6CFBAB6F" w14:textId="77777777" w:rsidR="00A57AA9" w:rsidRPr="00480820" w:rsidRDefault="00A57AA9" w:rsidP="00A57AA9">
            <w:pPr>
              <w:pStyle w:val="xTableText"/>
              <w:jc w:val="center"/>
            </w:pPr>
            <w:r w:rsidRPr="00480820">
              <w:t>0.5</w:t>
            </w:r>
            <w:r>
              <w:t>%</w:t>
            </w:r>
          </w:p>
        </w:tc>
      </w:tr>
      <w:tr w:rsidR="00A57AA9" w:rsidRPr="00480820" w14:paraId="4CD88657" w14:textId="77777777" w:rsidTr="00A57AA9">
        <w:tc>
          <w:tcPr>
            <w:tcW w:w="1555" w:type="dxa"/>
          </w:tcPr>
          <w:p w14:paraId="49C72378" w14:textId="77777777" w:rsidR="00A57AA9" w:rsidRPr="003050C2" w:rsidRDefault="00A57AA9" w:rsidP="00A57AA9">
            <w:pPr>
              <w:pStyle w:val="xTableText"/>
              <w:rPr>
                <w:color w:val="000000" w:themeColor="text1"/>
              </w:rPr>
            </w:pPr>
            <w:r w:rsidRPr="003050C2">
              <w:rPr>
                <w:color w:val="000000" w:themeColor="text1"/>
              </w:rPr>
              <w:t>Other D*</w:t>
            </w:r>
          </w:p>
        </w:tc>
        <w:tc>
          <w:tcPr>
            <w:tcW w:w="1134" w:type="dxa"/>
          </w:tcPr>
          <w:p w14:paraId="77A88F80" w14:textId="77777777" w:rsidR="00A57AA9" w:rsidRPr="00480820" w:rsidRDefault="00A57AA9" w:rsidP="00A57AA9">
            <w:pPr>
              <w:pStyle w:val="xTableText"/>
              <w:jc w:val="center"/>
            </w:pPr>
            <w:r w:rsidRPr="00480820">
              <w:t>1</w:t>
            </w:r>
          </w:p>
        </w:tc>
        <w:tc>
          <w:tcPr>
            <w:tcW w:w="1134" w:type="dxa"/>
          </w:tcPr>
          <w:p w14:paraId="18962AB2" w14:textId="77777777" w:rsidR="00A57AA9" w:rsidRPr="00480820" w:rsidRDefault="00A57AA9" w:rsidP="00A57AA9">
            <w:pPr>
              <w:pStyle w:val="xTableText"/>
              <w:jc w:val="center"/>
            </w:pPr>
            <w:r>
              <w:t>147</w:t>
            </w:r>
          </w:p>
        </w:tc>
        <w:tc>
          <w:tcPr>
            <w:tcW w:w="1134" w:type="dxa"/>
          </w:tcPr>
          <w:p w14:paraId="53F0B89E" w14:textId="77777777" w:rsidR="00A57AA9" w:rsidRPr="00480820" w:rsidRDefault="00A57AA9" w:rsidP="00A57AA9">
            <w:pPr>
              <w:pStyle w:val="xTableText"/>
              <w:jc w:val="center"/>
            </w:pPr>
            <w:r w:rsidRPr="00480820">
              <w:t>0.7%</w:t>
            </w:r>
          </w:p>
        </w:tc>
        <w:tc>
          <w:tcPr>
            <w:tcW w:w="1134" w:type="dxa"/>
          </w:tcPr>
          <w:p w14:paraId="54E769F4" w14:textId="77777777" w:rsidR="00A57AA9" w:rsidRPr="00480820" w:rsidRDefault="00A57AA9" w:rsidP="00A57AA9">
            <w:pPr>
              <w:pStyle w:val="xTableText"/>
              <w:jc w:val="center"/>
            </w:pPr>
            <w:r w:rsidRPr="00480820">
              <w:t>0.5</w:t>
            </w:r>
            <w:r>
              <w:t>%</w:t>
            </w:r>
          </w:p>
        </w:tc>
      </w:tr>
      <w:tr w:rsidR="00A57AA9" w:rsidRPr="00480820" w14:paraId="65201C10" w14:textId="77777777" w:rsidTr="00A57AA9">
        <w:tc>
          <w:tcPr>
            <w:tcW w:w="1555" w:type="dxa"/>
          </w:tcPr>
          <w:p w14:paraId="29A68323" w14:textId="77777777" w:rsidR="00A57AA9" w:rsidRPr="003050C2" w:rsidRDefault="00A57AA9" w:rsidP="00A57AA9">
            <w:pPr>
              <w:pStyle w:val="xTableText"/>
              <w:rPr>
                <w:color w:val="000000" w:themeColor="text1"/>
              </w:rPr>
            </w:pPr>
            <w:r w:rsidRPr="003050C2">
              <w:rPr>
                <w:color w:val="000000" w:themeColor="text1"/>
              </w:rPr>
              <w:t>Specialist Arts C</w:t>
            </w:r>
          </w:p>
        </w:tc>
        <w:tc>
          <w:tcPr>
            <w:tcW w:w="1134" w:type="dxa"/>
          </w:tcPr>
          <w:p w14:paraId="74018CC9" w14:textId="77777777" w:rsidR="00A57AA9" w:rsidRPr="00480820" w:rsidRDefault="00A57AA9" w:rsidP="00A57AA9">
            <w:pPr>
              <w:pStyle w:val="xTableText"/>
              <w:jc w:val="center"/>
            </w:pPr>
            <w:r w:rsidRPr="00480820">
              <w:t>1</w:t>
            </w:r>
          </w:p>
        </w:tc>
        <w:tc>
          <w:tcPr>
            <w:tcW w:w="1134" w:type="dxa"/>
          </w:tcPr>
          <w:p w14:paraId="7A82E843" w14:textId="77777777" w:rsidR="00A57AA9" w:rsidRPr="00480820" w:rsidRDefault="00A57AA9" w:rsidP="00A57AA9">
            <w:pPr>
              <w:pStyle w:val="xTableText"/>
              <w:jc w:val="center"/>
            </w:pPr>
            <w:r>
              <w:t>179</w:t>
            </w:r>
          </w:p>
        </w:tc>
        <w:tc>
          <w:tcPr>
            <w:tcW w:w="1134" w:type="dxa"/>
          </w:tcPr>
          <w:p w14:paraId="0B154C40" w14:textId="77777777" w:rsidR="00A57AA9" w:rsidRPr="00480820" w:rsidRDefault="00A57AA9" w:rsidP="00A57AA9">
            <w:pPr>
              <w:pStyle w:val="xTableText"/>
              <w:jc w:val="center"/>
            </w:pPr>
            <w:r w:rsidRPr="00480820">
              <w:t>0.6%</w:t>
            </w:r>
          </w:p>
        </w:tc>
        <w:tc>
          <w:tcPr>
            <w:tcW w:w="1134" w:type="dxa"/>
          </w:tcPr>
          <w:p w14:paraId="4B1AFB1B" w14:textId="77777777" w:rsidR="00A57AA9" w:rsidRPr="00480820" w:rsidRDefault="00A57AA9" w:rsidP="00A57AA9">
            <w:pPr>
              <w:pStyle w:val="xTableText"/>
              <w:jc w:val="center"/>
            </w:pPr>
            <w:r w:rsidRPr="00480820">
              <w:t>0.5</w:t>
            </w:r>
            <w:r>
              <w:t>%</w:t>
            </w:r>
          </w:p>
        </w:tc>
      </w:tr>
      <w:tr w:rsidR="00A57AA9" w:rsidRPr="00480820" w14:paraId="3805FB7D" w14:textId="77777777" w:rsidTr="00A57AA9">
        <w:tc>
          <w:tcPr>
            <w:tcW w:w="1555" w:type="dxa"/>
          </w:tcPr>
          <w:p w14:paraId="1BE1892D" w14:textId="77777777" w:rsidR="00A57AA9" w:rsidRPr="003050C2" w:rsidRDefault="00A57AA9" w:rsidP="00A57AA9">
            <w:pPr>
              <w:pStyle w:val="xTableText"/>
              <w:rPr>
                <w:color w:val="000000" w:themeColor="text1"/>
              </w:rPr>
            </w:pPr>
            <w:r w:rsidRPr="003050C2">
              <w:rPr>
                <w:b/>
                <w:color w:val="000000" w:themeColor="text1"/>
              </w:rPr>
              <w:t>TOTAL</w:t>
            </w:r>
          </w:p>
        </w:tc>
        <w:tc>
          <w:tcPr>
            <w:tcW w:w="1134" w:type="dxa"/>
          </w:tcPr>
          <w:p w14:paraId="36584463" w14:textId="77777777" w:rsidR="00A57AA9" w:rsidRPr="00480820" w:rsidRDefault="00A57AA9" w:rsidP="00A57AA9">
            <w:pPr>
              <w:pStyle w:val="xTableText"/>
              <w:jc w:val="center"/>
            </w:pPr>
            <w:r w:rsidRPr="00480820">
              <w:rPr>
                <w:b/>
                <w:bCs/>
              </w:rPr>
              <w:t>190</w:t>
            </w:r>
          </w:p>
        </w:tc>
        <w:tc>
          <w:tcPr>
            <w:tcW w:w="1134" w:type="dxa"/>
          </w:tcPr>
          <w:p w14:paraId="734456EA" w14:textId="77777777" w:rsidR="00A57AA9" w:rsidRPr="00680690" w:rsidRDefault="00A57AA9" w:rsidP="00A57AA9">
            <w:pPr>
              <w:pStyle w:val="xTableText"/>
              <w:jc w:val="center"/>
              <w:rPr>
                <w:b/>
              </w:rPr>
            </w:pPr>
            <w:r w:rsidRPr="00680690">
              <w:rPr>
                <w:b/>
              </w:rPr>
              <w:t>6321</w:t>
            </w:r>
          </w:p>
        </w:tc>
        <w:tc>
          <w:tcPr>
            <w:tcW w:w="1134" w:type="dxa"/>
          </w:tcPr>
          <w:p w14:paraId="1FC73DC1" w14:textId="77777777" w:rsidR="00A57AA9" w:rsidRPr="00480820" w:rsidRDefault="00A57AA9" w:rsidP="00A57AA9">
            <w:pPr>
              <w:pStyle w:val="xTableText"/>
              <w:jc w:val="center"/>
              <w:rPr>
                <w:b/>
                <w:bCs/>
              </w:rPr>
            </w:pPr>
          </w:p>
        </w:tc>
        <w:tc>
          <w:tcPr>
            <w:tcW w:w="1134" w:type="dxa"/>
          </w:tcPr>
          <w:p w14:paraId="3998DA93" w14:textId="77777777" w:rsidR="00A57AA9" w:rsidRPr="00480820" w:rsidRDefault="00A57AA9" w:rsidP="00A57AA9">
            <w:pPr>
              <w:pStyle w:val="xTableText"/>
              <w:jc w:val="center"/>
            </w:pPr>
            <w:r w:rsidRPr="00480820">
              <w:rPr>
                <w:b/>
                <w:bCs/>
              </w:rPr>
              <w:t>100.0%</w:t>
            </w:r>
          </w:p>
        </w:tc>
      </w:tr>
    </w:tbl>
    <w:p w14:paraId="588DCC31" w14:textId="77777777" w:rsidR="00A57AA9" w:rsidRDefault="00A57AA9" w:rsidP="00A57AA9">
      <w:pPr>
        <w:pStyle w:val="BasicParagraph"/>
      </w:pPr>
    </w:p>
    <w:p w14:paraId="52DF4F36" w14:textId="77777777" w:rsidR="00A57AA9" w:rsidRPr="00B91C50" w:rsidRDefault="00A57AA9" w:rsidP="00A57AA9">
      <w:pPr>
        <w:pStyle w:val="BasicParagraph"/>
        <w:rPr>
          <w:rStyle w:val="FootnoteReference"/>
        </w:rPr>
      </w:pPr>
      <w:r w:rsidRPr="00B91C50">
        <w:rPr>
          <w:rStyle w:val="FootnoteReference"/>
        </w:rPr>
        <w:t>*does not have a graphic design / illustration UG/PG course</w:t>
      </w:r>
    </w:p>
    <w:p w14:paraId="7BCEF07B" w14:textId="1C0D8841" w:rsidR="00746BCC" w:rsidRDefault="00A57AA9" w:rsidP="009D49B3">
      <w:pPr>
        <w:pStyle w:val="Paragraph"/>
      </w:pPr>
      <w:r>
        <w:t xml:space="preserve">Table 4 </w:t>
      </w:r>
      <w:r w:rsidR="00724CE9">
        <w:t xml:space="preserve">identifies </w:t>
      </w:r>
      <w:r w:rsidRPr="003520F7">
        <w:t xml:space="preserve">five institutions where </w:t>
      </w:r>
      <w:r>
        <w:t>g</w:t>
      </w:r>
      <w:r w:rsidRPr="003520F7">
        <w:t xml:space="preserve">raphic </w:t>
      </w:r>
      <w:r>
        <w:t>d</w:t>
      </w:r>
      <w:r w:rsidRPr="003520F7">
        <w:t xml:space="preserve">esign </w:t>
      </w:r>
      <w:r>
        <w:t xml:space="preserve">outputs </w:t>
      </w:r>
      <w:r w:rsidRPr="003520F7">
        <w:t>accounted for 10%</w:t>
      </w:r>
      <w:r w:rsidR="00A455A3">
        <w:t xml:space="preserve">, </w:t>
      </w:r>
      <w:r w:rsidR="00724CE9">
        <w:t xml:space="preserve">or </w:t>
      </w:r>
      <w:r w:rsidR="00724CE9">
        <w:lastRenderedPageBreak/>
        <w:t>more</w:t>
      </w:r>
      <w:r w:rsidR="00A455A3">
        <w:t>,</w:t>
      </w:r>
      <w:r w:rsidR="00A455A3" w:rsidRPr="003520F7">
        <w:t xml:space="preserve"> </w:t>
      </w:r>
      <w:r w:rsidRPr="003520F7">
        <w:t>of th</w:t>
      </w:r>
      <w:r>
        <w:t>e institutions total outputs submitted to UoA</w:t>
      </w:r>
      <w:r w:rsidRPr="003520F7">
        <w:t>34</w:t>
      </w:r>
      <w:r>
        <w:t>: Red Brick D (44.2%), Post-1992 A (26.4%), Post-1992 S (35.7%), Post 1992 O (11.6%)</w:t>
      </w:r>
      <w:r w:rsidR="00096566">
        <w:t xml:space="preserve"> and </w:t>
      </w:r>
      <w:r w:rsidRPr="007A484D">
        <w:t>Post-1992 D</w:t>
      </w:r>
      <w:r>
        <w:t xml:space="preserve"> (10.0%). Furthermore, the </w:t>
      </w:r>
      <w:r w:rsidR="001532CF">
        <w:t xml:space="preserve">top </w:t>
      </w:r>
      <w:r>
        <w:t xml:space="preserve">four </w:t>
      </w:r>
      <w:r w:rsidRPr="00E43901">
        <w:t xml:space="preserve">institutions </w:t>
      </w:r>
      <w:r>
        <w:t xml:space="preserve">in Table 4 </w:t>
      </w:r>
      <w:r w:rsidRPr="00E43901">
        <w:t xml:space="preserve">accounted for </w:t>
      </w:r>
      <w:r w:rsidR="006A7881">
        <w:t>nearly half (</w:t>
      </w:r>
      <w:r>
        <w:t>46.9</w:t>
      </w:r>
      <w:r w:rsidR="00A455A3">
        <w:t>%), s</w:t>
      </w:r>
      <w:r w:rsidR="00A455A3" w:rsidRPr="00724CE9">
        <w:t xml:space="preserve">uggesting </w:t>
      </w:r>
      <w:r w:rsidRPr="006A7881">
        <w:t>outputs</w:t>
      </w:r>
      <w:r w:rsidRPr="00DE07A3">
        <w:t xml:space="preserve"> </w:t>
      </w:r>
      <w:r w:rsidR="006A7881" w:rsidRPr="006A7881">
        <w:t>were highly concentrated</w:t>
      </w:r>
      <w:r w:rsidRPr="00E43901">
        <w:t xml:space="preserve">, despite </w:t>
      </w:r>
      <w:r w:rsidRPr="00FA5077">
        <w:t xml:space="preserve">the </w:t>
      </w:r>
      <w:r w:rsidR="006A7881">
        <w:t>l</w:t>
      </w:r>
      <w:r w:rsidR="00724CE9">
        <w:t>arge</w:t>
      </w:r>
      <w:r w:rsidRPr="00FA5077">
        <w:t xml:space="preserve"> number of institutions offering graphic design programmes.</w:t>
      </w:r>
      <w:r w:rsidR="00724CE9">
        <w:t xml:space="preserve"> </w:t>
      </w:r>
      <w:r w:rsidR="00F24B9C" w:rsidRPr="00E43901">
        <w:t xml:space="preserve">Specialist Arts E submitted </w:t>
      </w:r>
      <w:r w:rsidR="00F24B9C">
        <w:t>the largest number of</w:t>
      </w:r>
      <w:r w:rsidR="00F24B9C" w:rsidRPr="00E43901">
        <w:t xml:space="preserve"> outputs, however</w:t>
      </w:r>
      <w:r w:rsidR="006951C5">
        <w:t>,</w:t>
      </w:r>
      <w:r w:rsidR="00F24B9C" w:rsidRPr="00E43901">
        <w:t xml:space="preserve"> only 5 (1.2%) were graphic design outputs</w:t>
      </w:r>
      <w:r w:rsidR="00F24B9C">
        <w:t xml:space="preserve">. </w:t>
      </w:r>
      <w:r w:rsidR="00F24B9C" w:rsidRPr="00E43901">
        <w:t xml:space="preserve">This can be viewed in contrast to Red Brick D, where nearly 50% were graphic design outputs. </w:t>
      </w:r>
    </w:p>
    <w:p w14:paraId="532B85D4" w14:textId="0F82A984" w:rsidR="009D49B3" w:rsidRPr="00140426" w:rsidRDefault="009D49B3" w:rsidP="009D49B3">
      <w:pPr>
        <w:pStyle w:val="Heading2"/>
      </w:pPr>
      <w:r w:rsidRPr="006810F6">
        <w:t xml:space="preserve">Method (part two): </w:t>
      </w:r>
      <w:r w:rsidRPr="00140426">
        <w:t xml:space="preserve">content analysis of </w:t>
      </w:r>
      <w:r>
        <w:t>‘</w:t>
      </w:r>
      <w:r w:rsidRPr="00140426">
        <w:t>additional information fields</w:t>
      </w:r>
      <w:r>
        <w:t>’</w:t>
      </w:r>
    </w:p>
    <w:p w14:paraId="74E61A28" w14:textId="2AC2890D" w:rsidR="006A7881" w:rsidRDefault="0076406C" w:rsidP="006A7881">
      <w:pPr>
        <w:pStyle w:val="ListNumber2"/>
        <w:numPr>
          <w:ilvl w:val="0"/>
          <w:numId w:val="0"/>
        </w:numPr>
      </w:pPr>
      <w:r>
        <w:rPr>
          <w:rFonts w:eastAsiaTheme="minorHAnsi"/>
        </w:rPr>
        <w:t xml:space="preserve">Having identified the extent and distribution of graphic design outputs, we undertook </w:t>
      </w:r>
      <w:r w:rsidRPr="0076406C">
        <w:rPr>
          <w:rFonts w:eastAsiaTheme="minorHAnsi"/>
        </w:rPr>
        <w:t xml:space="preserve">an analysis of the additional information fields </w:t>
      </w:r>
      <w:r>
        <w:rPr>
          <w:rFonts w:eastAsiaTheme="minorHAnsi"/>
        </w:rPr>
        <w:t xml:space="preserve">to understand the criticisms of </w:t>
      </w:r>
      <w:r w:rsidR="00A455A3">
        <w:rPr>
          <w:rFonts w:eastAsiaTheme="minorHAnsi"/>
        </w:rPr>
        <w:t>‘</w:t>
      </w:r>
      <w:r>
        <w:rPr>
          <w:rFonts w:eastAsiaTheme="minorHAnsi"/>
        </w:rPr>
        <w:t>generically weak intellectual and theoretical underpinning</w:t>
      </w:r>
      <w:r w:rsidR="00A455A3">
        <w:rPr>
          <w:rFonts w:eastAsiaTheme="minorHAnsi"/>
        </w:rPr>
        <w:t>’</w:t>
      </w:r>
      <w:r>
        <w:rPr>
          <w:rFonts w:eastAsiaTheme="minorHAnsi"/>
        </w:rPr>
        <w:t xml:space="preserve">. </w:t>
      </w:r>
      <w:r w:rsidR="009D49B3">
        <w:t>Benefitting from the initial keyword search described above</w:t>
      </w:r>
      <w:r>
        <w:t>,</w:t>
      </w:r>
      <w:r w:rsidR="007E071D">
        <w:t xml:space="preserve"> the </w:t>
      </w:r>
      <w:r>
        <w:t xml:space="preserve">additional information fields of the </w:t>
      </w:r>
      <w:r w:rsidR="009D49B3">
        <w:t xml:space="preserve">190 </w:t>
      </w:r>
      <w:r>
        <w:t xml:space="preserve">outputs </w:t>
      </w:r>
      <w:r w:rsidR="009D49B3">
        <w:t xml:space="preserve">were systematically examined to make inferences about the nature of the graphic design research. </w:t>
      </w:r>
      <w:r w:rsidR="006A7881">
        <w:t xml:space="preserve">A first reading was undertaken to establish the breadth of topics and themes as well as identify statements for a second, closer read. Finally, a full submission from three institutions presenting the most consistent set of additional information statements was further analysed. From a number of exemplars, three were finally agreed and two are featured below as being aligned or closely resembling graphic design research (the third was known to be from outside of the discipline, but featured graphic design elements). </w:t>
      </w:r>
    </w:p>
    <w:p w14:paraId="46865B6A" w14:textId="370FD188" w:rsidR="009D49B3" w:rsidRDefault="009D49B3" w:rsidP="009D49B3">
      <w:pPr>
        <w:pStyle w:val="Heading2"/>
      </w:pPr>
      <w:r>
        <w:t>Results</w:t>
      </w:r>
    </w:p>
    <w:p w14:paraId="2B6DCAAD" w14:textId="36831EF4" w:rsidR="009D49B3" w:rsidRDefault="009D49B3" w:rsidP="009D49B3">
      <w:pPr>
        <w:pStyle w:val="Paragraph"/>
      </w:pPr>
      <w:r>
        <w:t xml:space="preserve">Analysis revealed a </w:t>
      </w:r>
      <w:r w:rsidR="006A7881">
        <w:t>general absence</w:t>
      </w:r>
      <w:r>
        <w:t xml:space="preserve"> of research questions across the range of statements, </w:t>
      </w:r>
      <w:r w:rsidR="006A7881">
        <w:t>with</w:t>
      </w:r>
      <w:r>
        <w:t xml:space="preserve"> most </w:t>
      </w:r>
      <w:r w:rsidRPr="00F173C5">
        <w:t>lack</w:t>
      </w:r>
      <w:r w:rsidR="006A7881">
        <w:t>ing</w:t>
      </w:r>
      <w:r w:rsidRPr="00F173C5">
        <w:t xml:space="preserve"> an awareness of contemporary discourse in the field</w:t>
      </w:r>
      <w:r w:rsidR="006A7881">
        <w:t xml:space="preserve">. </w:t>
      </w:r>
      <w:r>
        <w:t xml:space="preserve">Two further facets are noteworthy: </w:t>
      </w:r>
      <w:r w:rsidR="006A7881">
        <w:t xml:space="preserve">the </w:t>
      </w:r>
      <w:r>
        <w:t xml:space="preserve">topics and themes that feature in graphic design </w:t>
      </w:r>
      <w:r>
        <w:lastRenderedPageBreak/>
        <w:t>research, a</w:t>
      </w:r>
      <w:r w:rsidR="006A7881">
        <w:t>nd the</w:t>
      </w:r>
      <w:r>
        <w:t xml:space="preserve"> structure of the additional information field.</w:t>
      </w:r>
    </w:p>
    <w:p w14:paraId="2E05082B" w14:textId="77777777" w:rsidR="009D49B3" w:rsidRPr="00140426" w:rsidRDefault="009D49B3" w:rsidP="009D49B3">
      <w:pPr>
        <w:pStyle w:val="Heading2"/>
        <w:rPr>
          <w:b w:val="0"/>
        </w:rPr>
      </w:pPr>
      <w:r w:rsidRPr="00140426">
        <w:rPr>
          <w:b w:val="0"/>
        </w:rPr>
        <w:t xml:space="preserve">Topics and themes </w:t>
      </w:r>
    </w:p>
    <w:p w14:paraId="121731BD" w14:textId="0B158FE0" w:rsidR="009D49B3" w:rsidRDefault="006A7881" w:rsidP="009D49B3">
      <w:pPr>
        <w:pStyle w:val="Paragraph"/>
      </w:pPr>
      <w:r w:rsidRPr="00F2014C">
        <w:t xml:space="preserve">A review of the </w:t>
      </w:r>
      <w:r>
        <w:t xml:space="preserve">additional information fields </w:t>
      </w:r>
      <w:r w:rsidRPr="00F2014C">
        <w:t>indicated a wide range of themes</w:t>
      </w:r>
      <w:r>
        <w:t xml:space="preserve"> but, with the exception of general ‘histories’ and biographies, few </w:t>
      </w:r>
      <w:r w:rsidRPr="00F173C5">
        <w:t xml:space="preserve">statements were explicit in their reference to graphic design. </w:t>
      </w:r>
      <w:r>
        <w:t>T</w:t>
      </w:r>
      <w:r w:rsidRPr="00F173C5">
        <w:t>hemes such as typographic history, typographic classification/taxonomic systems, printing history, print production, legibility, readability and information usability</w:t>
      </w:r>
      <w:r>
        <w:t>,</w:t>
      </w:r>
      <w:r w:rsidRPr="00F173C5">
        <w:t xml:space="preserve"> were</w:t>
      </w:r>
      <w:r w:rsidRPr="00F2014C">
        <w:t xml:space="preserve"> presented as stand-alone </w:t>
      </w:r>
      <w:r>
        <w:t>subjects, alongside</w:t>
      </w:r>
      <w:r w:rsidRPr="00F2014C">
        <w:t xml:space="preserve"> </w:t>
      </w:r>
      <w:r>
        <w:t>l</w:t>
      </w:r>
      <w:r w:rsidRPr="00F2014C">
        <w:t>etterpress</w:t>
      </w:r>
      <w:r>
        <w:t>,</w:t>
      </w:r>
      <w:r w:rsidRPr="00F2014C">
        <w:t xml:space="preserve"> the design of pictographs, ideographs and abstract symbols.</w:t>
      </w:r>
      <w:r>
        <w:t xml:space="preserve"> </w:t>
      </w:r>
      <w:r w:rsidR="009D49B3" w:rsidRPr="00F2014C">
        <w:t xml:space="preserve">Different types of artefact featured in the sample selection, from typography/type design, typography as illustration, illustration, graphic novels, fanzines, printed dictionaries, picture language, picture books, screen titles, exhibition design, and branding. </w:t>
      </w:r>
      <w:r w:rsidR="009D49B3">
        <w:t>R</w:t>
      </w:r>
      <w:r w:rsidR="009D49B3" w:rsidRPr="00F2014C">
        <w:t xml:space="preserve">esearch on design for children was evident </w:t>
      </w:r>
      <w:r w:rsidR="009D49B3">
        <w:t xml:space="preserve">from </w:t>
      </w:r>
      <w:r w:rsidR="009D49B3" w:rsidRPr="00F2014C">
        <w:t>several institutions, ranging from the teaching of children to read, visual literacy in picture books, research into illustration for the production of children’s books, and guidelines for the design and evaluation of warning signs for young children</w:t>
      </w:r>
      <w:r w:rsidR="009D49B3">
        <w:t>. However, although</w:t>
      </w:r>
      <w:r w:rsidR="009D49B3" w:rsidRPr="00F2014C">
        <w:t xml:space="preserve"> </w:t>
      </w:r>
      <w:r w:rsidR="009D49B3">
        <w:t>several</w:t>
      </w:r>
      <w:r w:rsidR="009D49B3" w:rsidRPr="00F2014C">
        <w:t xml:space="preserve"> institutions shared research themes, there did not appear to be collaboration between researchers.</w:t>
      </w:r>
      <w:r w:rsidR="009D49B3">
        <w:t xml:space="preserve"> </w:t>
      </w:r>
    </w:p>
    <w:p w14:paraId="1EDBEA84" w14:textId="77777777" w:rsidR="009D49B3" w:rsidRPr="00140426" w:rsidRDefault="009D49B3" w:rsidP="009D49B3">
      <w:pPr>
        <w:pStyle w:val="Heading2"/>
        <w:rPr>
          <w:b w:val="0"/>
        </w:rPr>
      </w:pPr>
      <w:r w:rsidRPr="00140426">
        <w:rPr>
          <w:b w:val="0"/>
        </w:rPr>
        <w:t>Structure of additional information fields</w:t>
      </w:r>
    </w:p>
    <w:p w14:paraId="75C08F09" w14:textId="53DE855C" w:rsidR="009D49B3" w:rsidRPr="00F2014C" w:rsidRDefault="009D49B3" w:rsidP="009D49B3">
      <w:pPr>
        <w:pStyle w:val="Paragraph"/>
      </w:pPr>
      <w:r w:rsidRPr="00F2014C">
        <w:t xml:space="preserve">With regard to the structure of </w:t>
      </w:r>
      <w:r>
        <w:t>the additional information fields</w:t>
      </w:r>
      <w:r w:rsidRPr="00F2014C">
        <w:t xml:space="preserve">, </w:t>
      </w:r>
      <w:r>
        <w:t>t</w:t>
      </w:r>
      <w:r w:rsidRPr="00F2014C">
        <w:t xml:space="preserve">he sampled red brick and </w:t>
      </w:r>
      <w:r>
        <w:t xml:space="preserve">some </w:t>
      </w:r>
      <w:r w:rsidRPr="00F2014C">
        <w:t xml:space="preserve">specialist arts </w:t>
      </w:r>
      <w:r>
        <w:t>providers</w:t>
      </w:r>
      <w:r w:rsidRPr="00F2014C">
        <w:t xml:space="preserve"> were more consistent in content and structure, whereas </w:t>
      </w:r>
      <w:r>
        <w:t xml:space="preserve">statements from </w:t>
      </w:r>
      <w:r w:rsidRPr="00F2014C">
        <w:t xml:space="preserve">post-1992 and </w:t>
      </w:r>
      <w:r>
        <w:t xml:space="preserve">other </w:t>
      </w:r>
      <w:r w:rsidRPr="00F2014C">
        <w:t xml:space="preserve">specialist arts </w:t>
      </w:r>
      <w:r>
        <w:t>institutions</w:t>
      </w:r>
      <w:r w:rsidRPr="00F2014C">
        <w:t xml:space="preserve"> were much less so</w:t>
      </w:r>
      <w:r w:rsidR="006A7881">
        <w:t xml:space="preserve"> and often </w:t>
      </w:r>
      <w:r w:rsidRPr="00F2014C">
        <w:t xml:space="preserve">haphazardly assembled. </w:t>
      </w:r>
      <w:r>
        <w:t xml:space="preserve">As shown in Table 5 </w:t>
      </w:r>
      <w:r w:rsidR="0076406C" w:rsidRPr="0076406C">
        <w:rPr>
          <w:i/>
        </w:rPr>
        <w:t>E</w:t>
      </w:r>
      <w:r w:rsidRPr="0076406C">
        <w:rPr>
          <w:i/>
        </w:rPr>
        <w:t xml:space="preserve">xample </w:t>
      </w:r>
      <w:r w:rsidR="0076406C" w:rsidRPr="0076406C">
        <w:rPr>
          <w:i/>
        </w:rPr>
        <w:t>1</w:t>
      </w:r>
      <w:r>
        <w:t>, t</w:t>
      </w:r>
      <w:r w:rsidRPr="00F2014C">
        <w:t xml:space="preserve">he specialist arts institution </w:t>
      </w:r>
      <w:r>
        <w:t>statements</w:t>
      </w:r>
      <w:r w:rsidRPr="00F2014C">
        <w:t xml:space="preserve"> followed three standard paragraphs, using up most of the 300-word count allowance. By comparison, </w:t>
      </w:r>
      <w:r>
        <w:t xml:space="preserve">and as shown in </w:t>
      </w:r>
      <w:r w:rsidR="0076406C" w:rsidRPr="0076406C">
        <w:rPr>
          <w:i/>
        </w:rPr>
        <w:t>Example</w:t>
      </w:r>
      <w:r w:rsidR="0076406C">
        <w:rPr>
          <w:i/>
        </w:rPr>
        <w:t xml:space="preserve"> 2</w:t>
      </w:r>
      <w:r>
        <w:t xml:space="preserve">, </w:t>
      </w:r>
      <w:r w:rsidRPr="00F2014C">
        <w:t>one red-brick university prepared</w:t>
      </w:r>
      <w:r>
        <w:t xml:space="preserve"> </w:t>
      </w:r>
      <w:r w:rsidRPr="00F2014C">
        <w:t>narratives th</w:t>
      </w:r>
      <w:r>
        <w:t xml:space="preserve">at varied in length between 58 </w:t>
      </w:r>
      <w:r w:rsidRPr="00F2014C">
        <w:t xml:space="preserve">to 302 words. </w:t>
      </w:r>
      <w:r>
        <w:t xml:space="preserve">In essence, </w:t>
      </w:r>
      <w:r>
        <w:lastRenderedPageBreak/>
        <w:t xml:space="preserve">the most cohesive statements came from two of the four institutions that accounted for more than half of the submission. </w:t>
      </w:r>
      <w:r w:rsidR="0076406C" w:rsidRPr="0076406C">
        <w:rPr>
          <w:i/>
        </w:rPr>
        <w:t>Example 1</w:t>
      </w:r>
      <w:r w:rsidR="0076406C">
        <w:rPr>
          <w:i/>
        </w:rPr>
        <w:t xml:space="preserve"> </w:t>
      </w:r>
      <w:r w:rsidRPr="00F2014C">
        <w:t xml:space="preserve">makes explicit reference to the field of graphic design </w:t>
      </w:r>
      <w:r w:rsidRPr="00CC41F0">
        <w:t xml:space="preserve">whereas </w:t>
      </w:r>
      <w:r w:rsidR="0076406C" w:rsidRPr="0076406C">
        <w:rPr>
          <w:i/>
        </w:rPr>
        <w:t>Example</w:t>
      </w:r>
      <w:r w:rsidR="0076406C">
        <w:rPr>
          <w:i/>
        </w:rPr>
        <w:t xml:space="preserve"> 2 </w:t>
      </w:r>
      <w:r>
        <w:t>does</w:t>
      </w:r>
      <w:r w:rsidRPr="00CC41F0">
        <w:t xml:space="preserve"> not</w:t>
      </w:r>
      <w:r w:rsidRPr="00F2014C">
        <w:t xml:space="preserve">. </w:t>
      </w:r>
      <w:r w:rsidR="0076406C" w:rsidRPr="0076406C">
        <w:rPr>
          <w:i/>
        </w:rPr>
        <w:t>Example</w:t>
      </w:r>
      <w:r w:rsidR="0076406C">
        <w:rPr>
          <w:i/>
        </w:rPr>
        <w:t xml:space="preserve"> 2 </w:t>
      </w:r>
      <w:r w:rsidRPr="00F2014C">
        <w:t>inclu</w:t>
      </w:r>
      <w:r>
        <w:t xml:space="preserve">des </w:t>
      </w:r>
      <w:r w:rsidRPr="00F2014C">
        <w:t xml:space="preserve">‘book design’, ‘graphic’, ‘illustration’, ‘legibility’, ‘typography’ </w:t>
      </w:r>
      <w:r>
        <w:t xml:space="preserve">and was </w:t>
      </w:r>
      <w:r w:rsidRPr="00F2014C">
        <w:t xml:space="preserve">deemed graphic design research for not only these components but also </w:t>
      </w:r>
      <w:r>
        <w:t>an</w:t>
      </w:r>
      <w:r w:rsidRPr="00F2014C">
        <w:t xml:space="preserve"> emphasis on ‘graphic attributes’. </w:t>
      </w:r>
    </w:p>
    <w:p w14:paraId="773C383D" w14:textId="77777777" w:rsidR="009D49B3" w:rsidRDefault="009D49B3" w:rsidP="009D49B3">
      <w:pPr>
        <w:pStyle w:val="Tabletitle"/>
      </w:pPr>
      <w:r w:rsidRPr="00BE67D8">
        <w:t xml:space="preserve">Table </w:t>
      </w:r>
      <w:r>
        <w:t>5:</w:t>
      </w:r>
      <w:r w:rsidRPr="00BE67D8">
        <w:t xml:space="preserve"> T</w:t>
      </w:r>
      <w:r>
        <w:t>wo</w:t>
      </w:r>
      <w:r w:rsidRPr="00BE67D8">
        <w:t xml:space="preserve"> examples of 300-word statements submitted to REF2014</w:t>
      </w:r>
    </w:p>
    <w:tbl>
      <w:tblPr>
        <w:tblStyle w:val="TableGrid"/>
        <w:tblW w:w="0" w:type="auto"/>
        <w:tblLook w:val="04A0" w:firstRow="1" w:lastRow="0" w:firstColumn="1" w:lastColumn="0" w:noHBand="0" w:noVBand="1"/>
      </w:tblPr>
      <w:tblGrid>
        <w:gridCol w:w="8489"/>
      </w:tblGrid>
      <w:tr w:rsidR="009D49B3" w:rsidRPr="001E23AC" w14:paraId="6234D60B" w14:textId="77777777" w:rsidTr="004C3E98">
        <w:tc>
          <w:tcPr>
            <w:tcW w:w="8715" w:type="dxa"/>
          </w:tcPr>
          <w:p w14:paraId="5C46729F" w14:textId="77777777" w:rsidR="009D49B3" w:rsidRDefault="009D49B3" w:rsidP="004C3E98">
            <w:pPr>
              <w:pStyle w:val="xTableText"/>
            </w:pPr>
            <w:r w:rsidRPr="0050681D">
              <w:t>Example 1</w:t>
            </w:r>
          </w:p>
          <w:p w14:paraId="15A81E59" w14:textId="77777777" w:rsidR="009D49B3" w:rsidRDefault="009D49B3" w:rsidP="004C3E98">
            <w:pPr>
              <w:pStyle w:val="xTableText"/>
            </w:pPr>
            <w:r w:rsidRPr="008D6988">
              <w:rPr>
                <w:i/>
              </w:rPr>
              <w:t>Fanzines</w:t>
            </w:r>
            <w:r>
              <w:br/>
            </w:r>
            <w:r w:rsidRPr="0050681D">
              <w:t>This book is a high-impact, visually curated collection of the most significant fanzines (fan magazines) ever produced, and has become a key reference point within the field of graphic design. It brings together images from a personal collection of previously unpublished fanzines with substantial context-setting essays representing over 40 years of self-publishing activity. Print magazine (February 2011) called it a ‘meticulously curated visual history of this world’. The New York Times (February 2011) reviewed the book as ‘both a fanzine of fanzines and a scholarly record’.</w:t>
            </w:r>
          </w:p>
          <w:p w14:paraId="6DA0F4FA" w14:textId="77777777" w:rsidR="009D49B3" w:rsidRPr="0050681D" w:rsidRDefault="009D49B3" w:rsidP="004C3E98">
            <w:pPr>
              <w:pStyle w:val="xTableText"/>
            </w:pPr>
          </w:p>
          <w:p w14:paraId="52E300F2" w14:textId="77777777" w:rsidR="009D49B3" w:rsidRDefault="009D49B3" w:rsidP="004C3E98">
            <w:pPr>
              <w:pStyle w:val="xTableText"/>
            </w:pPr>
            <w:r w:rsidRPr="0050681D">
              <w:t>The book has been reviewed to critical acclaim in Time Out (four stars), Notion, The Wire, Eye, Love, Tantrum Magazine, It’s Nice That and others. The research has also been presented in conferences (e.g. Monash University Australia; Grafill, Bergen, Norway), radio (e.g BBC Radio Night Waves; Resonance FM), a BBC News Audio Slide Show (29 October 2011), commissioned articles for mainstream press (e.g. b magazine, What’s Next), zine fairs, zine workshops and independent zine publications (e.g. OWT Creative and Things Happen, Manchester) in the UK and abroad (e.g. ‘UnBox Festival’, New Delhi, India sponsored by the British Council, 2013).</w:t>
            </w:r>
          </w:p>
          <w:p w14:paraId="69A833EE" w14:textId="77777777" w:rsidR="009D49B3" w:rsidRPr="0050681D" w:rsidRDefault="009D49B3" w:rsidP="004C3E98">
            <w:pPr>
              <w:pStyle w:val="xTableText"/>
            </w:pPr>
          </w:p>
          <w:p w14:paraId="74DD2080" w14:textId="77777777" w:rsidR="009D49B3" w:rsidRPr="001E23AC" w:rsidRDefault="009D49B3" w:rsidP="004C3E98">
            <w:pPr>
              <w:pStyle w:val="xTableText"/>
            </w:pPr>
            <w:r w:rsidRPr="0050681D">
              <w:t>The book opens with a historical introduction of 8,000 words and is divided into five thematic chapters, each with a 2,500-word essay followed by a curated image section. The book has over 750 fanzine images with extended captioning for each – many of which have never been catalogued, and includes an extensive bibliography. The work emerged from research undertaken as part of a PhD (University of Reading) and builds upon peer-reviewed research previously published in academic journals (e.g. Journal of Design History, 19:1, 2006, pp.69–83]). The primary research (e.g. archives, interviews) is framed by popular and visual culture theory using a range of theoretical models including design history, publishing history, political science and subcultural theory.</w:t>
            </w:r>
          </w:p>
        </w:tc>
      </w:tr>
      <w:tr w:rsidR="009D49B3" w14:paraId="29FA3E04" w14:textId="77777777" w:rsidTr="004C3E98">
        <w:tc>
          <w:tcPr>
            <w:tcW w:w="8715" w:type="dxa"/>
          </w:tcPr>
          <w:p w14:paraId="20045477" w14:textId="77777777" w:rsidR="009D49B3" w:rsidRDefault="009D49B3" w:rsidP="004C3E98">
            <w:pPr>
              <w:pStyle w:val="xTableText"/>
            </w:pPr>
            <w:r w:rsidRPr="0050681D">
              <w:t>Example 2</w:t>
            </w:r>
          </w:p>
          <w:p w14:paraId="6129255B" w14:textId="77777777" w:rsidR="009D49B3" w:rsidRPr="0050681D" w:rsidRDefault="009D49B3" w:rsidP="004C3E98">
            <w:pPr>
              <w:pStyle w:val="xTableText"/>
            </w:pPr>
            <w:r w:rsidRPr="008D6988">
              <w:rPr>
                <w:i/>
              </w:rPr>
              <w:t>Book design for children’s reading: typography, pictures, print</w:t>
            </w:r>
            <w:r>
              <w:br/>
            </w:r>
            <w:r w:rsidRPr="0050681D">
              <w:t>This research considers the factors that have influenced the design of books for teaching young children to read, including educational directives and reports, legibility research, methods of teaching reading, the availability of typographic resources and the economic constraints faced by publishers. The book includes numerous illustrations including an annotated timeline showing examples of reading books published in each decade from the 1890s to the end of the twentieth century. The underlying method for the description of the graphic attributes of reading books is described in Walker, S. (2012) ‘Describing the design of children’s books: an analytical approach’. Visible Language, 46 (3). ISSN 0022-2224</w:t>
            </w:r>
          </w:p>
          <w:p w14:paraId="028B02E2" w14:textId="77777777" w:rsidR="009D49B3" w:rsidRDefault="009D49B3" w:rsidP="004C3E98">
            <w:pPr>
              <w:pStyle w:val="xTableText"/>
              <w:rPr>
                <w:color w:val="000000" w:themeColor="text1"/>
              </w:rPr>
            </w:pPr>
          </w:p>
        </w:tc>
      </w:tr>
    </w:tbl>
    <w:p w14:paraId="0029F5DA" w14:textId="77777777" w:rsidR="009D49B3" w:rsidRDefault="009D49B3" w:rsidP="009D49B3">
      <w:pPr>
        <w:pStyle w:val="Newparagraph"/>
      </w:pPr>
    </w:p>
    <w:p w14:paraId="018B2C34" w14:textId="3BE39020" w:rsidR="009D49B3" w:rsidRDefault="009D49B3" w:rsidP="00A72D18">
      <w:pPr>
        <w:pStyle w:val="Newparagraph"/>
        <w:ind w:firstLine="0"/>
      </w:pPr>
      <w:r w:rsidRPr="00A32F62">
        <w:t>The</w:t>
      </w:r>
      <w:r>
        <w:t xml:space="preserve">se </w:t>
      </w:r>
      <w:r w:rsidRPr="00A32F62">
        <w:t>offer</w:t>
      </w:r>
      <w:r>
        <w:t xml:space="preserve"> </w:t>
      </w:r>
      <w:r w:rsidRPr="00A32F62">
        <w:t>alternative ways to describe and contextualise research</w:t>
      </w:r>
      <w:r>
        <w:t xml:space="preserve">. </w:t>
      </w:r>
      <w:r w:rsidR="00742BCC" w:rsidRPr="0076406C">
        <w:rPr>
          <w:i/>
        </w:rPr>
        <w:t>Example</w:t>
      </w:r>
      <w:r w:rsidR="00742BCC">
        <w:rPr>
          <w:i/>
        </w:rPr>
        <w:t xml:space="preserve"> 1 </w:t>
      </w:r>
      <w:r>
        <w:t>opens</w:t>
      </w:r>
      <w:r w:rsidRPr="00A32F62">
        <w:t xml:space="preserve"> with claims for </w:t>
      </w:r>
      <w:r>
        <w:t>significance</w:t>
      </w:r>
      <w:r w:rsidRPr="00A32F62">
        <w:t xml:space="preserve"> substantiated by the scope of coverage across a wide range </w:t>
      </w:r>
      <w:r w:rsidRPr="00A32F62">
        <w:lastRenderedPageBreak/>
        <w:t xml:space="preserve">of both industry and mainstream media, and demonstrates </w:t>
      </w:r>
      <w:r>
        <w:t>rigour</w:t>
      </w:r>
      <w:r w:rsidRPr="00A32F62">
        <w:t xml:space="preserve"> through reference to reputable academic journals. </w:t>
      </w:r>
      <w:r>
        <w:t xml:space="preserve">Noting the ‘previously unpublished’ nature of the source material emphasises the originality of the research. </w:t>
      </w:r>
      <w:r w:rsidR="00742BCC" w:rsidRPr="0076406C">
        <w:rPr>
          <w:i/>
        </w:rPr>
        <w:t>Example</w:t>
      </w:r>
      <w:r w:rsidR="00742BCC">
        <w:rPr>
          <w:i/>
        </w:rPr>
        <w:t xml:space="preserve"> 2</w:t>
      </w:r>
      <w:r w:rsidRPr="00A32F62">
        <w:t>, although much shorter, proffers an endorsement of the underlying method</w:t>
      </w:r>
      <w:r w:rsidR="00A455A3">
        <w:t>,</w:t>
      </w:r>
      <w:r w:rsidRPr="00A32F62">
        <w:t xml:space="preserve"> having been published i</w:t>
      </w:r>
      <w:r>
        <w:t>n a reputable academic journal to demonstrate rigour.</w:t>
      </w:r>
      <w:r w:rsidDel="00230CE5">
        <w:t xml:space="preserve"> </w:t>
      </w:r>
    </w:p>
    <w:p w14:paraId="7664714A" w14:textId="6792339D" w:rsidR="003F7A33" w:rsidRDefault="003F7A33" w:rsidP="003F7A33">
      <w:pPr>
        <w:pStyle w:val="Heading2"/>
      </w:pPr>
      <w:r>
        <w:t>Method (part t</w:t>
      </w:r>
      <w:r w:rsidR="00337142">
        <w:t>hree</w:t>
      </w:r>
      <w:r>
        <w:t>): Focus groups</w:t>
      </w:r>
    </w:p>
    <w:p w14:paraId="337A548A" w14:textId="61775A75" w:rsidR="00337142" w:rsidRPr="00F24B9C" w:rsidRDefault="00F07EB5" w:rsidP="00337142">
      <w:pPr>
        <w:pStyle w:val="Paragraph"/>
      </w:pPr>
      <w:r>
        <w:t xml:space="preserve">Two focus groups with graphic design academics were undertaken </w:t>
      </w:r>
      <w:r w:rsidR="00337142">
        <w:t xml:space="preserve">with the aim of identifying contextual factors </w:t>
      </w:r>
      <w:r>
        <w:t>that may have contributed to the poor performance of graphic design in REF2014. These</w:t>
      </w:r>
      <w:r w:rsidR="00337142">
        <w:t xml:space="preserve"> were</w:t>
      </w:r>
      <w:r w:rsidR="00742BCC">
        <w:t xml:space="preserve"> conducted</w:t>
      </w:r>
      <w:r w:rsidR="00337142">
        <w:t xml:space="preserve"> at conferences organised by the Graphic Design Educators’ Network</w:t>
      </w:r>
      <w:r w:rsidR="006A7881">
        <w:t xml:space="preserve"> offering</w:t>
      </w:r>
      <w:r w:rsidR="00337142" w:rsidRPr="00364E43">
        <w:t xml:space="preserve"> the potential to yield collective views (Denscombe 2007)</w:t>
      </w:r>
      <w:r w:rsidR="00337142" w:rsidRPr="00FD4118">
        <w:t xml:space="preserve"> and </w:t>
      </w:r>
      <w:r w:rsidR="00337142" w:rsidRPr="00364E43">
        <w:t>explore issues of shared importance (Breen 2006)</w:t>
      </w:r>
      <w:r w:rsidR="006A7881">
        <w:t>.</w:t>
      </w:r>
    </w:p>
    <w:p w14:paraId="6D4B625D" w14:textId="77777777" w:rsidR="003F7A33" w:rsidRPr="00B03618" w:rsidRDefault="003F7A33" w:rsidP="003F7A33">
      <w:pPr>
        <w:pStyle w:val="Heading3"/>
      </w:pPr>
      <w:r w:rsidRPr="00B03618">
        <w:t>Focus Group 1: Graphic Design Educators’ Conference 2017</w:t>
      </w:r>
    </w:p>
    <w:p w14:paraId="00097922" w14:textId="1F7A1469" w:rsidR="003F7A33" w:rsidRDefault="003F7A33" w:rsidP="003F7A33">
      <w:pPr>
        <w:pStyle w:val="Paragraph"/>
      </w:pPr>
      <w:r w:rsidRPr="00F24B9C">
        <w:t xml:space="preserve">The aim of the </w:t>
      </w:r>
      <w:r>
        <w:t xml:space="preserve">session </w:t>
      </w:r>
      <w:r w:rsidRPr="00F24B9C">
        <w:t xml:space="preserve">was twofold: to gather a range of views on the context of poor performance for graphic design research, and share the keywords we were using to guide the data analysis stage. The session attracted 19 participants, representing a broad range of age and gender. These were all design academics from UK HEI’s, with the majority responsible for </w:t>
      </w:r>
      <w:r>
        <w:t xml:space="preserve">teaching </w:t>
      </w:r>
      <w:r w:rsidRPr="00F24B9C">
        <w:t xml:space="preserve">graphic design. The </w:t>
      </w:r>
      <w:r>
        <w:t>session</w:t>
      </w:r>
      <w:r w:rsidRPr="00F24B9C">
        <w:t xml:space="preserve"> lasted 60</w:t>
      </w:r>
      <w:r w:rsidR="00F07EB5">
        <w:t xml:space="preserve"> </w:t>
      </w:r>
      <w:r w:rsidRPr="00F24B9C">
        <w:t>minutes and was facilitated by two of the authors, with a third author nominated as a note taker</w:t>
      </w:r>
      <w:r w:rsidRPr="00304AD3">
        <w:rPr>
          <w:rStyle w:val="Heading3Char"/>
        </w:rPr>
        <w:t>.</w:t>
      </w:r>
      <w:r>
        <w:t xml:space="preserve"> </w:t>
      </w:r>
      <w:r w:rsidRPr="00A72430">
        <w:t xml:space="preserve">Having outlined the session aims and secured permission to collect data, the group then proceeded to address four questions: </w:t>
      </w:r>
    </w:p>
    <w:p w14:paraId="0678BDD6" w14:textId="77777777" w:rsidR="003F7A33" w:rsidRPr="00E94C26" w:rsidRDefault="003F7A33" w:rsidP="003F7A33">
      <w:pPr>
        <w:pStyle w:val="Newparagraph"/>
      </w:pPr>
    </w:p>
    <w:p w14:paraId="61175BDC" w14:textId="77777777" w:rsidR="003F7A33" w:rsidRDefault="003F7A33" w:rsidP="003F7A33">
      <w:pPr>
        <w:pStyle w:val="ListNumber3"/>
      </w:pPr>
      <w:r w:rsidRPr="00A72430">
        <w:t xml:space="preserve">What possible explanation might there be for ‘weakness’? </w:t>
      </w:r>
    </w:p>
    <w:p w14:paraId="582BF95B" w14:textId="77777777" w:rsidR="003F7A33" w:rsidRDefault="003F7A33" w:rsidP="003F7A33">
      <w:pPr>
        <w:pStyle w:val="ListNumber3"/>
      </w:pPr>
      <w:r w:rsidRPr="00A72430">
        <w:t>Why do participants think the quality of G</w:t>
      </w:r>
      <w:r>
        <w:t>D research was considered weak?</w:t>
      </w:r>
    </w:p>
    <w:p w14:paraId="2A09F80B" w14:textId="77777777" w:rsidR="003F7A33" w:rsidRDefault="003F7A33" w:rsidP="003F7A33">
      <w:pPr>
        <w:pStyle w:val="ListNumber3"/>
      </w:pPr>
      <w:r>
        <w:lastRenderedPageBreak/>
        <w:t>W</w:t>
      </w:r>
      <w:r w:rsidRPr="00A72430">
        <w:t>hat examples of good graphic design research have</w:t>
      </w:r>
      <w:r>
        <w:t xml:space="preserve"> you found/use in your teaching?</w:t>
      </w:r>
    </w:p>
    <w:p w14:paraId="5B7D8B9F" w14:textId="77777777" w:rsidR="003F7A33" w:rsidRPr="00364E43" w:rsidRDefault="003F7A33" w:rsidP="003F7A33">
      <w:pPr>
        <w:pStyle w:val="ListNumber3"/>
      </w:pPr>
      <w:r>
        <w:t>C</w:t>
      </w:r>
      <w:r w:rsidRPr="00A72430">
        <w:t xml:space="preserve">ould there be a link between the volume of teaching undertaken and the amount of research produced? </w:t>
      </w:r>
    </w:p>
    <w:p w14:paraId="7A62337E" w14:textId="77777777" w:rsidR="003F7A33" w:rsidRPr="00B03618" w:rsidRDefault="003F7A33" w:rsidP="003F7A33">
      <w:pPr>
        <w:pStyle w:val="Heading3"/>
      </w:pPr>
      <w:r w:rsidRPr="00B03618">
        <w:t>Focus Group 2: Graphic Design Educators’ Conference 2018</w:t>
      </w:r>
    </w:p>
    <w:p w14:paraId="520B51E1" w14:textId="6EC90C0A" w:rsidR="003F7A33" w:rsidRPr="00DB638F" w:rsidRDefault="003F7A33" w:rsidP="000F6AD0">
      <w:pPr>
        <w:pStyle w:val="Paragraph"/>
      </w:pPr>
      <w:r w:rsidRPr="00A72430">
        <w:t xml:space="preserve">The primary aim of this second </w:t>
      </w:r>
      <w:r>
        <w:t>f</w:t>
      </w:r>
      <w:r w:rsidRPr="00A72430">
        <w:t xml:space="preserve">ocus </w:t>
      </w:r>
      <w:r>
        <w:t>g</w:t>
      </w:r>
      <w:r w:rsidRPr="00A72430">
        <w:t xml:space="preserve">roup </w:t>
      </w:r>
      <w:r>
        <w:t xml:space="preserve">session </w:t>
      </w:r>
      <w:r w:rsidRPr="00A72430">
        <w:t xml:space="preserve">was to present the interim findings and key themes. The discussion was framed by an outline of the emergent findings from analysis of the REF data, along with a </w:t>
      </w:r>
      <w:r w:rsidR="00A455A3" w:rsidRPr="00A72430">
        <w:t>first</w:t>
      </w:r>
      <w:r w:rsidR="00A455A3">
        <w:t>-</w:t>
      </w:r>
      <w:r w:rsidRPr="00A72430">
        <w:t xml:space="preserve">pass analysis of the key views emerging from </w:t>
      </w:r>
      <w:r>
        <w:t>f</w:t>
      </w:r>
      <w:r w:rsidRPr="00A72430">
        <w:t xml:space="preserve">ocus </w:t>
      </w:r>
      <w:r>
        <w:t>g</w:t>
      </w:r>
      <w:r w:rsidRPr="00A72430">
        <w:t>roup 1. Mindful that reliability in focus groups comes, in part, from the frequency of agreement (Breen 2006) the group provided opportunity to discuss existing viewpoints from the graphic design academic community on the poor performance of REF. 24 participants took part, drawing once again from a range of UK and</w:t>
      </w:r>
      <w:r>
        <w:t>, this time,</w:t>
      </w:r>
      <w:r w:rsidRPr="00A72430">
        <w:t xml:space="preserve"> international HEIs</w:t>
      </w:r>
      <w:r>
        <w:t>.</w:t>
      </w:r>
      <w:r w:rsidRPr="00A72430">
        <w:t xml:space="preserve"> The focus group lasted 60 minutes and was facilitated by two of the authors, with a third (non-author) as note taker</w:t>
      </w:r>
      <w:r>
        <w:t>.</w:t>
      </w:r>
    </w:p>
    <w:p w14:paraId="1750FD02" w14:textId="182A0B6E" w:rsidR="003F7A33" w:rsidRPr="00F24B9C" w:rsidRDefault="003F7A33" w:rsidP="003F7A33">
      <w:pPr>
        <w:pStyle w:val="Heading2"/>
      </w:pPr>
      <w:r>
        <w:t>R</w:t>
      </w:r>
      <w:r w:rsidRPr="009F5D5E">
        <w:t xml:space="preserve">esults </w:t>
      </w:r>
    </w:p>
    <w:p w14:paraId="1906E828" w14:textId="555DC421" w:rsidR="003F7A33" w:rsidRPr="00F24B9C" w:rsidRDefault="003F7A33" w:rsidP="003F7A33">
      <w:pPr>
        <w:pStyle w:val="Paragraph"/>
      </w:pPr>
      <w:r>
        <w:t>The</w:t>
      </w:r>
      <w:r w:rsidRPr="00F24B9C">
        <w:t xml:space="preserve"> data from the first </w:t>
      </w:r>
      <w:r>
        <w:t xml:space="preserve">focus </w:t>
      </w:r>
      <w:r w:rsidRPr="00F24B9C">
        <w:t xml:space="preserve">group led to a set of themes that were then refined in light of the data generated by the second group. Analysis of the data was undertaken by open coding (Strauss and Corbin 1990), and then codes were grouped into categories. This resulted in five categories, each of which summarised the participant’s collective views on graphic design research: </w:t>
      </w:r>
      <w:r>
        <w:t xml:space="preserve">i) </w:t>
      </w:r>
      <w:r w:rsidRPr="00F24B9C">
        <w:t xml:space="preserve">the nature of the discipline; </w:t>
      </w:r>
      <w:r>
        <w:t xml:space="preserve">ii) </w:t>
      </w:r>
      <w:r w:rsidRPr="00F24B9C">
        <w:t xml:space="preserve">the demands of teaching; </w:t>
      </w:r>
      <w:r>
        <w:t xml:space="preserve">iii) </w:t>
      </w:r>
      <w:r w:rsidRPr="00F24B9C">
        <w:t>the currency of research;</w:t>
      </w:r>
      <w:r>
        <w:t xml:space="preserve"> iv)</w:t>
      </w:r>
      <w:r w:rsidRPr="00F24B9C">
        <w:t xml:space="preserve"> the lack of exemplars and pathways;</w:t>
      </w:r>
      <w:r>
        <w:t xml:space="preserve"> v)</w:t>
      </w:r>
      <w:r w:rsidRPr="00F24B9C">
        <w:t xml:space="preserve"> misconceptions about research and the REF.</w:t>
      </w:r>
    </w:p>
    <w:p w14:paraId="39050360" w14:textId="4071F7E7" w:rsidR="003F7A33" w:rsidRPr="00F24B9C" w:rsidRDefault="003F7A33" w:rsidP="003F7A33">
      <w:pPr>
        <w:pStyle w:val="Paragraph"/>
      </w:pPr>
      <w:r w:rsidRPr="00B03618">
        <w:rPr>
          <w:rStyle w:val="Heading3Char"/>
        </w:rPr>
        <w:t>The nature of the discipline</w:t>
      </w:r>
      <w:r w:rsidRPr="00F24B9C">
        <w:br/>
      </w:r>
      <w:r w:rsidRPr="00F24B9C">
        <w:lastRenderedPageBreak/>
        <w:t>This theme, which encapsulated views connected to the nature of graphic design, was considered significant by both focus groups. The observation that graphic designers engage with a broad range of activities (van der Waarde 2009: 5) was deemed a virtue, and yet the consequent lack of common ground proved challenging. Whil</w:t>
      </w:r>
      <w:r>
        <w:t xml:space="preserve">e </w:t>
      </w:r>
      <w:r w:rsidRPr="00F24B9C">
        <w:t xml:space="preserve">graphic design is a relatively young discipline, it draws from a diverse range of vocational ‘histories’, such as advertising and printing. The groups also acknowledged the challenge of nomenclature and lack of consensual terminologies (see below for further discussions). Finally, a number of participants noted the difficulty in identifying graphic </w:t>
      </w:r>
      <w:r>
        <w:t xml:space="preserve">design </w:t>
      </w:r>
      <w:r w:rsidRPr="00F24B9C">
        <w:t xml:space="preserve">research </w:t>
      </w:r>
      <w:r>
        <w:t>with</w:t>
      </w:r>
      <w:r w:rsidRPr="00F24B9C">
        <w:t xml:space="preserve"> ‘t</w:t>
      </w:r>
      <w:r>
        <w:t>ypical</w:t>
      </w:r>
      <w:r w:rsidRPr="00F24B9C">
        <w:t>’ academic research.</w:t>
      </w:r>
    </w:p>
    <w:p w14:paraId="105F403C" w14:textId="3AD61F22" w:rsidR="003F7A33" w:rsidRPr="00F24B9C" w:rsidRDefault="003F7A33" w:rsidP="003F7A33">
      <w:pPr>
        <w:pStyle w:val="Paragraph"/>
      </w:pPr>
      <w:r w:rsidRPr="00F24B9C">
        <w:rPr>
          <w:rStyle w:val="Heading3Char"/>
        </w:rPr>
        <w:t>The demands of teaching</w:t>
      </w:r>
      <w:r w:rsidRPr="00F24B9C">
        <w:br/>
        <w:t>A number of participants commented on the demands of teaching workloads and large cohort sizes, and the suggestion that graphic design courses function as ‘cash cows’. Participants also reported an ongoing ambiguity with the allocation of time for research and teaching</w:t>
      </w:r>
      <w:r w:rsidR="00CD5BD8">
        <w:t>.</w:t>
      </w:r>
    </w:p>
    <w:p w14:paraId="313006C7" w14:textId="77777777" w:rsidR="003F7A33" w:rsidRPr="00F24B9C" w:rsidRDefault="003F7A33" w:rsidP="003F7A33">
      <w:pPr>
        <w:pStyle w:val="Paragraph"/>
      </w:pPr>
      <w:r w:rsidRPr="00F24B9C">
        <w:rPr>
          <w:rStyle w:val="Heading3Char"/>
        </w:rPr>
        <w:t>The currency of research</w:t>
      </w:r>
      <w:r w:rsidRPr="00F24B9C">
        <w:br/>
        <w:t>A</w:t>
      </w:r>
      <w:r>
        <w:t xml:space="preserve"> </w:t>
      </w:r>
      <w:r w:rsidRPr="00F24B9C">
        <w:t xml:space="preserve">number of participants in the first focus group shared the view that being recognised as excellent in research was not necessary, essential or even relevant to being a graphic design academic. Some comments were made about the preferred focus and energy to undertake commercial projects and maintain profession practice. </w:t>
      </w:r>
    </w:p>
    <w:p w14:paraId="1A80D6FD" w14:textId="2AF7B3C6" w:rsidR="003F7A33" w:rsidRPr="00F24B9C" w:rsidRDefault="003F7A33" w:rsidP="003F7A33">
      <w:pPr>
        <w:pStyle w:val="Paragraph"/>
      </w:pPr>
      <w:r w:rsidRPr="00F24B9C">
        <w:rPr>
          <w:rStyle w:val="Heading3Char"/>
        </w:rPr>
        <w:t>The lack of exemplars and pathways</w:t>
      </w:r>
      <w:r w:rsidRPr="00F24B9C">
        <w:br/>
      </w:r>
      <w:r>
        <w:t>A</w:t>
      </w:r>
      <w:r w:rsidRPr="00F24B9C">
        <w:t xml:space="preserve"> recurring theme emerge</w:t>
      </w:r>
      <w:r>
        <w:t>d</w:t>
      </w:r>
      <w:r w:rsidRPr="00F24B9C">
        <w:t xml:space="preserve"> </w:t>
      </w:r>
      <w:r>
        <w:t>around</w:t>
      </w:r>
      <w:r w:rsidRPr="00F24B9C">
        <w:t xml:space="preserve"> the dearth of examples of practice-based graphic design research and </w:t>
      </w:r>
      <w:r w:rsidR="009B6D56">
        <w:t xml:space="preserve">concomitantly the </w:t>
      </w:r>
      <w:r w:rsidRPr="00F24B9C">
        <w:t xml:space="preserve">lack of trailblazers, mentors and senior graphic design researchers. Such paucity was clearly contributing to the pervading question: what does graphic design research look like? Participants also shared difficulties in </w:t>
      </w:r>
      <w:r w:rsidRPr="00F24B9C">
        <w:lastRenderedPageBreak/>
        <w:t xml:space="preserve">understanding the REF, and a frustration about not knowing the ‘rules of the game’. </w:t>
      </w:r>
    </w:p>
    <w:p w14:paraId="5BC46174" w14:textId="77777777" w:rsidR="003F7A33" w:rsidRPr="00F24B9C" w:rsidRDefault="003F7A33" w:rsidP="003F7A33">
      <w:pPr>
        <w:pStyle w:val="Paragraph"/>
      </w:pPr>
      <w:r w:rsidRPr="00F24B9C">
        <w:rPr>
          <w:rStyle w:val="Heading3Char"/>
        </w:rPr>
        <w:t>Misconceptions about research and REF</w:t>
      </w:r>
      <w:r w:rsidRPr="00F24B9C">
        <w:br/>
        <w:t xml:space="preserve">This final </w:t>
      </w:r>
      <w:r>
        <w:t>category</w:t>
      </w:r>
      <w:r w:rsidRPr="00F24B9C">
        <w:t xml:space="preserve"> refers to a number of shared misconceptions noted during the </w:t>
      </w:r>
      <w:r>
        <w:t>f</w:t>
      </w:r>
      <w:r w:rsidRPr="00F24B9C">
        <w:t xml:space="preserve">ocus </w:t>
      </w:r>
      <w:r>
        <w:t>g</w:t>
      </w:r>
      <w:r w:rsidRPr="00F24B9C">
        <w:t xml:space="preserve">roups. For example, some participants commented on the lack of graphic design academics in senior REF panel positions [clearly unaware of the pivotal roles undertaken by Professors Sue Walker and Bruce Brown in REF 2014]. Similarly, there was the widespread assumption that publication in a higher quality journal would automatically result in better REF rating. </w:t>
      </w:r>
    </w:p>
    <w:p w14:paraId="5C9CE5BF" w14:textId="3D820110" w:rsidR="003F7A33" w:rsidRPr="00F24B9C" w:rsidRDefault="003F7A33" w:rsidP="003F7A33">
      <w:pPr>
        <w:pStyle w:val="Paragraph"/>
      </w:pPr>
      <w:r>
        <w:t>F</w:t>
      </w:r>
      <w:r w:rsidRPr="00F24B9C">
        <w:t>or explanatory purposes</w:t>
      </w:r>
      <w:r>
        <w:t xml:space="preserve"> we have presented the </w:t>
      </w:r>
      <w:r w:rsidR="009F029A" w:rsidRPr="009F029A">
        <w:t>five</w:t>
      </w:r>
      <w:r w:rsidRPr="00F24B9C">
        <w:t xml:space="preserve"> categories </w:t>
      </w:r>
      <w:r>
        <w:t xml:space="preserve">as distinct, yet </w:t>
      </w:r>
      <w:r w:rsidRPr="00F24B9C">
        <w:t xml:space="preserve">we consider them </w:t>
      </w:r>
      <w:r>
        <w:t>to be interwoven</w:t>
      </w:r>
      <w:r w:rsidR="00374D67">
        <w:t>.</w:t>
      </w:r>
      <w:r w:rsidRPr="00F24B9C">
        <w:t xml:space="preserve"> For example, the lack of mentors in senior positions might serve to perpetuate the idea that undertaking research has limited relevance for graphic design academics. </w:t>
      </w:r>
    </w:p>
    <w:p w14:paraId="719EDBD5" w14:textId="77777777" w:rsidR="003F7A33" w:rsidRDefault="003F7A33" w:rsidP="001E0620">
      <w:pPr>
        <w:pStyle w:val="Newparagraph"/>
        <w:ind w:firstLine="0"/>
      </w:pPr>
    </w:p>
    <w:p w14:paraId="519ADFA9" w14:textId="77777777" w:rsidR="00A72D18" w:rsidRPr="007C3B7C" w:rsidRDefault="00A72D18" w:rsidP="00A72D18">
      <w:pPr>
        <w:pStyle w:val="Heading1"/>
      </w:pPr>
      <w:r>
        <w:t>DISCUSSION</w:t>
      </w:r>
    </w:p>
    <w:p w14:paraId="70A41403" w14:textId="790C21ED" w:rsidR="00A72D18" w:rsidRPr="00263311" w:rsidRDefault="00A72D18" w:rsidP="0020639C">
      <w:pPr>
        <w:pStyle w:val="Paragraph"/>
      </w:pPr>
      <w:r w:rsidRPr="007C3B7C">
        <w:t>In this section</w:t>
      </w:r>
      <w:r>
        <w:t xml:space="preserve">, </w:t>
      </w:r>
      <w:r w:rsidRPr="007C3B7C">
        <w:t xml:space="preserve">we discuss </w:t>
      </w:r>
      <w:r>
        <w:t xml:space="preserve">the </w:t>
      </w:r>
      <w:r w:rsidRPr="007C3B7C">
        <w:t xml:space="preserve">results from </w:t>
      </w:r>
      <w:r>
        <w:t>the a</w:t>
      </w:r>
      <w:r w:rsidRPr="007C3B7C">
        <w:t xml:space="preserve">nalysis of </w:t>
      </w:r>
      <w:r>
        <w:t xml:space="preserve">the </w:t>
      </w:r>
      <w:r w:rsidRPr="007C3B7C">
        <w:t>keyword</w:t>
      </w:r>
      <w:r>
        <w:t xml:space="preserve"> search</w:t>
      </w:r>
      <w:r w:rsidRPr="007C3B7C">
        <w:t>, content analysis of additional information fields</w:t>
      </w:r>
      <w:r>
        <w:t>,</w:t>
      </w:r>
      <w:r w:rsidRPr="007C3B7C">
        <w:t xml:space="preserve"> and the focus groups</w:t>
      </w:r>
      <w:r>
        <w:t>.</w:t>
      </w:r>
      <w:r w:rsidRPr="007C3B7C">
        <w:t xml:space="preserve"> </w:t>
      </w:r>
      <w:r>
        <w:t>We also turn to an extended discussion of the problems of nomenclature.</w:t>
      </w:r>
    </w:p>
    <w:p w14:paraId="19745F8A" w14:textId="561CE65A" w:rsidR="00A72D18" w:rsidRDefault="00A72D18" w:rsidP="00A72D18">
      <w:pPr>
        <w:pStyle w:val="Paragraph"/>
      </w:pPr>
      <w:r w:rsidRPr="00263311">
        <w:rPr>
          <w:rStyle w:val="Heading3Char"/>
        </w:rPr>
        <w:t>Volume</w:t>
      </w:r>
      <w:r>
        <w:br/>
      </w:r>
      <w:r w:rsidR="009F029A">
        <w:t>G</w:t>
      </w:r>
      <w:r w:rsidR="009F029A" w:rsidRPr="001D2A74">
        <w:t>raphic design outputs contributed 3% of the total submitted outputs to UoA34</w:t>
      </w:r>
      <w:r w:rsidR="009F029A">
        <w:t xml:space="preserve">. </w:t>
      </w:r>
      <w:r w:rsidR="009F029A" w:rsidRPr="001D2A74">
        <w:t xml:space="preserve">This low figure extends the criticisms of quality raised in the subpanel report to </w:t>
      </w:r>
      <w:r w:rsidR="009F029A">
        <w:t xml:space="preserve">issues </w:t>
      </w:r>
      <w:r w:rsidR="009F029A" w:rsidRPr="001D2A74">
        <w:t>of quantity too</w:t>
      </w:r>
      <w:r w:rsidR="009F029A">
        <w:t xml:space="preserve">, with the low figure at odds with the relative size of the subject. </w:t>
      </w:r>
      <w:r>
        <w:t>The paucity</w:t>
      </w:r>
      <w:r w:rsidRPr="001D2A74">
        <w:t xml:space="preserve"> might be reflective of the value graphic design academics assign to both ‘formal research’ and the REF</w:t>
      </w:r>
      <w:r>
        <w:t xml:space="preserve"> (as evidenced in our focus group results)</w:t>
      </w:r>
      <w:r w:rsidRPr="001D2A74">
        <w:t xml:space="preserve">, choosing instead to </w:t>
      </w:r>
      <w:r w:rsidRPr="001D2A74">
        <w:lastRenderedPageBreak/>
        <w:t xml:space="preserve">position their practice in areas considered to wield more influence and </w:t>
      </w:r>
      <w:r w:rsidR="006A7881" w:rsidRPr="001D2A74">
        <w:t>credibility</w:t>
      </w:r>
      <w:r w:rsidRPr="001D2A74">
        <w:t xml:space="preserve"> (Ross 2018). </w:t>
      </w:r>
      <w:r>
        <w:t xml:space="preserve">The results from the focus groups suggest this may also be symptomatic of graphic design academics attitudes towards the currency of graphic design research within institutions. In addition, the general lack of ‘research know-how’, examples of practice-based graphic design research and graphic design research mentors, in parallel with the demands of teaching large cohorts, works to </w:t>
      </w:r>
      <w:r w:rsidR="0044703E">
        <w:t>stifle development.</w:t>
      </w:r>
    </w:p>
    <w:p w14:paraId="5307D593" w14:textId="77777777" w:rsidR="00AA6BB1" w:rsidRDefault="00AA6BB1" w:rsidP="00A72D18">
      <w:pPr>
        <w:rPr>
          <w:rStyle w:val="Heading3Char"/>
        </w:rPr>
      </w:pPr>
    </w:p>
    <w:p w14:paraId="26C973DC" w14:textId="726A61AB" w:rsidR="00A72D18" w:rsidRDefault="00A72D18" w:rsidP="00A72D18">
      <w:r w:rsidRPr="00263311">
        <w:rPr>
          <w:rStyle w:val="Heading3Char"/>
        </w:rPr>
        <w:t>Types</w:t>
      </w:r>
      <w:r>
        <w:br/>
      </w:r>
      <w:r w:rsidR="005507DD">
        <w:t>Analysis of types</w:t>
      </w:r>
      <w:r w:rsidR="00014B16">
        <w:t xml:space="preserve"> </w:t>
      </w:r>
      <w:r w:rsidRPr="00263311">
        <w:t xml:space="preserve">(Figure 1) confirmed a reliance on traditional, non-practice based outputs, with 63.7% adhering to peer-review journals, books, </w:t>
      </w:r>
      <w:r w:rsidR="006A7881">
        <w:t xml:space="preserve">or </w:t>
      </w:r>
      <w:r w:rsidRPr="00263311">
        <w:t>biographies</w:t>
      </w:r>
      <w:r w:rsidR="006A7881">
        <w:t xml:space="preserve"> compared to</w:t>
      </w:r>
      <w:r w:rsidR="005507DD">
        <w:t xml:space="preserve"> t</w:t>
      </w:r>
      <w:r w:rsidRPr="00263311">
        <w:t xml:space="preserve">he overall UoA34 figure of 56%. This substantiates Walker’s (2017) observation of a strong historical focus to graphic design research. </w:t>
      </w:r>
      <w:r w:rsidR="009F029A" w:rsidRPr="00263311">
        <w:t xml:space="preserve">But, perhaps this </w:t>
      </w:r>
      <w:r w:rsidR="009F029A">
        <w:t xml:space="preserve">also </w:t>
      </w:r>
      <w:r w:rsidR="009F029A" w:rsidRPr="00263311">
        <w:t xml:space="preserve">reveals a lack of </w:t>
      </w:r>
      <w:r w:rsidR="009F029A">
        <w:t xml:space="preserve">understanding and </w:t>
      </w:r>
      <w:r w:rsidR="009F029A" w:rsidRPr="00263311">
        <w:t xml:space="preserve">confidence </w:t>
      </w:r>
      <w:r w:rsidR="009F029A">
        <w:t>when</w:t>
      </w:r>
      <w:r w:rsidR="009F029A" w:rsidRPr="00263311">
        <w:t xml:space="preserve"> submitting practice-based graphic design research</w:t>
      </w:r>
      <w:r w:rsidR="009F029A" w:rsidRPr="00263311" w:rsidDel="009F029A">
        <w:t xml:space="preserve"> </w:t>
      </w:r>
      <w:r>
        <w:t xml:space="preserve">– as further evidenced in the </w:t>
      </w:r>
      <w:r w:rsidRPr="00263311">
        <w:t>focus groups themes</w:t>
      </w:r>
      <w:r>
        <w:t xml:space="preserve">. </w:t>
      </w:r>
      <w:r w:rsidRPr="00263311">
        <w:t xml:space="preserve">Furthermore, the apparent lack of appropriate venues for the dissemination of practice-based graphic design research outside of traditional exhibitions </w:t>
      </w:r>
      <w:r>
        <w:t>may be another contributing factor.</w:t>
      </w:r>
    </w:p>
    <w:p w14:paraId="644F866E" w14:textId="697EE2CE" w:rsidR="00A72D18" w:rsidRDefault="00A72D18" w:rsidP="00A72D18">
      <w:pPr>
        <w:pStyle w:val="Paragraph"/>
      </w:pPr>
      <w:r w:rsidRPr="00263311">
        <w:rPr>
          <w:rStyle w:val="Heading3Char"/>
        </w:rPr>
        <w:t>Institutional Distribution</w:t>
      </w:r>
      <w:r>
        <w:br/>
      </w:r>
      <w:r w:rsidRPr="00263311">
        <w:t>Results</w:t>
      </w:r>
      <w:r>
        <w:t xml:space="preserve"> revealed</w:t>
      </w:r>
      <w:r w:rsidRPr="00263311">
        <w:t xml:space="preserve"> </w:t>
      </w:r>
      <w:r>
        <w:t>less than half (36 of the 81) HEIs</w:t>
      </w:r>
      <w:r w:rsidR="006A7881">
        <w:t xml:space="preserve"> </w:t>
      </w:r>
      <w:r w:rsidR="005507DD">
        <w:t>in</w:t>
      </w:r>
      <w:r>
        <w:t xml:space="preserve"> UoA34 </w:t>
      </w:r>
      <w:r w:rsidRPr="007C2A86">
        <w:t xml:space="preserve">submitted </w:t>
      </w:r>
      <w:r w:rsidR="006A7881">
        <w:t xml:space="preserve">one or more </w:t>
      </w:r>
      <w:r w:rsidRPr="007C2A86">
        <w:t>graphic design output.</w:t>
      </w:r>
      <w:r>
        <w:t xml:space="preserve"> Of these 36,</w:t>
      </w:r>
      <w:r w:rsidRPr="00263311">
        <w:t xml:space="preserve"> four institutions accounted for 46.9% of all graphic design outputs. With significant funding following REF success, this signals a potential danger beyond REF2021 that such uneven institutional representation will </w:t>
      </w:r>
      <w:r w:rsidR="006A7881">
        <w:t>create</w:t>
      </w:r>
      <w:r w:rsidRPr="00263311">
        <w:t xml:space="preserve"> a ‘vicious circle’, with an upward spiral of increased funding for the few successful institutions and a corresponding downward spiral of diminishing funding for those less </w:t>
      </w:r>
      <w:r w:rsidR="006A7881">
        <w:t>successful</w:t>
      </w:r>
      <w:r w:rsidRPr="00263311">
        <w:t>. We speculate that the likely effect could be to create a small number of research centres, whil</w:t>
      </w:r>
      <w:r w:rsidR="006A7881">
        <w:t>st</w:t>
      </w:r>
      <w:r w:rsidRPr="00263311">
        <w:t xml:space="preserve"> simultaneously reducing the academic reach of the vast majority </w:t>
      </w:r>
      <w:r w:rsidRPr="00263311">
        <w:lastRenderedPageBreak/>
        <w:t>of institutions. Lacking the funding to develop research cultures will have negative impacts upon career progression, mentorship and research-teaching linkages, and may limit the curriculum to the reproduction of industry practices and a continuation of the status quo.</w:t>
      </w:r>
      <w:r>
        <w:t xml:space="preserve"> This is a significant concern.</w:t>
      </w:r>
    </w:p>
    <w:p w14:paraId="59E5206C" w14:textId="354DEE80" w:rsidR="00A72D18" w:rsidRDefault="00A72D18" w:rsidP="00A72D18">
      <w:pPr>
        <w:pStyle w:val="Paragraph"/>
      </w:pPr>
      <w:r w:rsidRPr="00263311">
        <w:rPr>
          <w:rStyle w:val="Heading3Char"/>
        </w:rPr>
        <w:t>Quality</w:t>
      </w:r>
      <w:r>
        <w:br/>
        <w:t xml:space="preserve">The criticisms of ‘generically weak’ </w:t>
      </w:r>
      <w:r w:rsidRPr="009E2CAF">
        <w:t xml:space="preserve">intellectual and theoretical underpinning </w:t>
      </w:r>
      <w:r w:rsidR="006A7881">
        <w:t>proved the</w:t>
      </w:r>
      <w:r>
        <w:t xml:space="preserve"> most challenging to respond to. </w:t>
      </w:r>
      <w:r w:rsidRPr="001D2A74">
        <w:t xml:space="preserve">A combined lack of clarity as to the nomenclature agreed and adopted by the REF panel and inability to map star ratings to individual outputs limited a more thorough and focused analysis of outcomes. </w:t>
      </w:r>
      <w:r>
        <w:t xml:space="preserve">Consequently, the REF panel’s criticism of </w:t>
      </w:r>
      <w:r w:rsidR="006A7881">
        <w:t xml:space="preserve">the field </w:t>
      </w:r>
      <w:r>
        <w:t>is to some degree vulnerable to conjecture and speculation.</w:t>
      </w:r>
      <w:r w:rsidRPr="001D2A74">
        <w:t xml:space="preserve"> </w:t>
      </w:r>
    </w:p>
    <w:p w14:paraId="4619AFBE" w14:textId="4EBEB1B7" w:rsidR="00A72D18" w:rsidRDefault="00A72D18" w:rsidP="00A72D18">
      <w:pPr>
        <w:pStyle w:val="Paragraph"/>
      </w:pPr>
      <w:r>
        <w:t>T</w:t>
      </w:r>
      <w:r w:rsidRPr="001D2A74">
        <w:t xml:space="preserve">he significant lack of research questions </w:t>
      </w:r>
      <w:r w:rsidR="006A7881">
        <w:t>with</w:t>
      </w:r>
      <w:r w:rsidRPr="001D2A74">
        <w:t xml:space="preserve">in the 300-word additional fields suggest why the types of enquiry submitted to (or withheld from) REF2014 struggled to meet the key REF criteria of significance, originality and rigour. </w:t>
      </w:r>
      <w:r>
        <w:t xml:space="preserve">We suggest these results may </w:t>
      </w:r>
      <w:r w:rsidR="005507DD">
        <w:t xml:space="preserve">also </w:t>
      </w:r>
      <w:r>
        <w:t xml:space="preserve">be reflective of Davis’ (2016) assertion of an ongoing </w:t>
      </w:r>
      <w:r w:rsidRPr="001D2A74">
        <w:t xml:space="preserve">tendency </w:t>
      </w:r>
      <w:r>
        <w:t xml:space="preserve">amongst graphic design academics </w:t>
      </w:r>
      <w:r w:rsidRPr="001D2A74">
        <w:t>to valorise creative production and commercial practice over discovery-orientated research</w:t>
      </w:r>
      <w:r>
        <w:t xml:space="preserve">. </w:t>
      </w:r>
    </w:p>
    <w:p w14:paraId="6277E410" w14:textId="77777777" w:rsidR="00A72D18" w:rsidRPr="00374D67" w:rsidRDefault="00A72D18" w:rsidP="00A72D18">
      <w:pPr>
        <w:pStyle w:val="Heading2"/>
        <w:rPr>
          <w:rFonts w:ascii="MS Mincho" w:eastAsia="MS Mincho" w:hAnsi="MS Mincho" w:cs="MS Mincho"/>
        </w:rPr>
      </w:pPr>
      <w:r w:rsidRPr="00A32F62">
        <w:t>Nomenclature</w:t>
      </w:r>
      <w:r w:rsidRPr="00A32F62">
        <w:rPr>
          <w:rFonts w:ascii="MS Mincho" w:eastAsia="MS Mincho" w:hAnsi="MS Mincho" w:cs="MS Mincho"/>
        </w:rPr>
        <w:t> </w:t>
      </w:r>
    </w:p>
    <w:p w14:paraId="2C752410" w14:textId="1947241E" w:rsidR="00A72D18" w:rsidRPr="00A32F62" w:rsidRDefault="00A72D18" w:rsidP="00A72D18">
      <w:pPr>
        <w:pStyle w:val="Paragraph"/>
      </w:pPr>
      <w:r w:rsidRPr="001D2A74">
        <w:t>As outlined above, the inconsistent use of nomenclature has proved a significant challenge. The terms graphic design, visual communication and communication design have been applied without any apparent consensus</w:t>
      </w:r>
      <w:r>
        <w:t xml:space="preserve">. </w:t>
      </w:r>
      <w:r w:rsidRPr="001D2A74">
        <w:t xml:space="preserve">Furthermore, it remains unclear as to how these have been interpreted and applied by the REF2014 panel. To accentuate the problem, a number of associated practices, many of which would seek distance from graphic design, have nevertheless included the </w:t>
      </w:r>
      <w:r>
        <w:t xml:space="preserve">various </w:t>
      </w:r>
      <w:r w:rsidRPr="001D2A74">
        <w:t>term</w:t>
      </w:r>
      <w:r>
        <w:t>s</w:t>
      </w:r>
      <w:r w:rsidRPr="001D2A74">
        <w:t xml:space="preserve"> in output narratives. </w:t>
      </w:r>
      <w:r w:rsidRPr="001D2A74">
        <w:lastRenderedPageBreak/>
        <w:t>Again, there appears to be no clear consensus about their use.</w:t>
      </w:r>
      <w:r>
        <w:t xml:space="preserve"> The analysis</w:t>
      </w:r>
      <w:r w:rsidRPr="00A32F62">
        <w:t xml:space="preserve"> </w:t>
      </w:r>
      <w:r>
        <w:t xml:space="preserve">repeatedly </w:t>
      </w:r>
      <w:r w:rsidRPr="00A32F62">
        <w:t>reveal</w:t>
      </w:r>
      <w:r>
        <w:t xml:space="preserve">ed significant variations </w:t>
      </w:r>
      <w:r w:rsidRPr="00A32F62">
        <w:t>in the interpretation and use of nomenclature, particularly around the terms graphic design</w:t>
      </w:r>
      <w:r>
        <w:t xml:space="preserve"> </w:t>
      </w:r>
      <w:r w:rsidRPr="00A32F62">
        <w:t>and communication design. Such variance was not surprising</w:t>
      </w:r>
      <w:r w:rsidR="00D356BA">
        <w:t>,</w:t>
      </w:r>
      <w:r w:rsidRPr="00A32F62">
        <w:t xml:space="preserve"> but reflected a widespread confusion</w:t>
      </w:r>
      <w:r w:rsidR="00D356BA">
        <w:t xml:space="preserve">, </w:t>
      </w:r>
      <w:r w:rsidRPr="00A32F62">
        <w:t>arguably linked to research performance</w:t>
      </w:r>
      <w:r>
        <w:t xml:space="preserve"> (Walker 2017)</w:t>
      </w:r>
      <w:r w:rsidRPr="00A32F62">
        <w:t>. For example, in the period of assessment for REF2014</w:t>
      </w:r>
      <w:r>
        <w:t>,</w:t>
      </w:r>
      <w:r w:rsidRPr="00A32F62">
        <w:t xml:space="preserve"> it had been noted that graphic design had been unable to frame a coherent and agreed history (Poynor 2011, Triggs 2011, 3), that it lacked any single unified theory to guide practice (Davis 2012), had no generally accepted overview of practice (</w:t>
      </w:r>
      <w:r>
        <w:t>v</w:t>
      </w:r>
      <w:r w:rsidRPr="00A32F62">
        <w:t>an der Waarde &amp; Vroombout 201</w:t>
      </w:r>
      <w:r>
        <w:t>2</w:t>
      </w:r>
      <w:r w:rsidRPr="00A32F62">
        <w:t xml:space="preserve">), and that </w:t>
      </w:r>
      <w:r>
        <w:t>practitioners</w:t>
      </w:r>
      <w:r w:rsidRPr="00A32F62">
        <w:t xml:space="preserve"> were operating under a variety of titles and without recourse to a body of established and reliable knowledge (</w:t>
      </w:r>
      <w:r>
        <w:t>v</w:t>
      </w:r>
      <w:r w:rsidRPr="00A32F62">
        <w:t>an der Waarde 2014).</w:t>
      </w:r>
    </w:p>
    <w:p w14:paraId="24F54305" w14:textId="7CC5DB34" w:rsidR="00A72D18" w:rsidRPr="00A32F62" w:rsidRDefault="006A7881" w:rsidP="00A72D18">
      <w:pPr>
        <w:pStyle w:val="Paragraph"/>
      </w:pPr>
      <w:r>
        <w:t>Such</w:t>
      </w:r>
      <w:r w:rsidR="00A72D18" w:rsidRPr="00A32F62">
        <w:t xml:space="preserve"> instability is clearly evident within the very environments making REF submissions, with institutions changing names for program</w:t>
      </w:r>
      <w:r w:rsidR="00A72D18">
        <w:t>me</w:t>
      </w:r>
      <w:r w:rsidR="00A72D18" w:rsidRPr="00A32F62">
        <w:t>s, departments and schools</w:t>
      </w:r>
      <w:r w:rsidR="00A72D18">
        <w:t>, often without clear rationale beyond personal preferences</w:t>
      </w:r>
      <w:r w:rsidR="00A72D18" w:rsidRPr="00A32F62">
        <w:t xml:space="preserve">. </w:t>
      </w:r>
      <w:r>
        <w:t>T</w:t>
      </w:r>
      <w:r w:rsidR="00A72D18" w:rsidRPr="00A32F62">
        <w:t xml:space="preserve">he most striking demonstration can be seen in the shifting identities of Icograda </w:t>
      </w:r>
      <w:r w:rsidR="00A72D18">
        <w:t>–</w:t>
      </w:r>
      <w:r w:rsidR="00A72D18" w:rsidRPr="00A32F62">
        <w:t xml:space="preserve"> ironically </w:t>
      </w:r>
      <w:r w:rsidR="00A72D18">
        <w:t xml:space="preserve">what was </w:t>
      </w:r>
      <w:r w:rsidR="00A72D18" w:rsidRPr="00A32F62">
        <w:t xml:space="preserve">the ‘International Council for Graphic Design Associations’ </w:t>
      </w:r>
      <w:r w:rsidR="00A72D18">
        <w:t>–</w:t>
      </w:r>
      <w:r w:rsidR="00A72D18" w:rsidRPr="00A32F62">
        <w:t xml:space="preserve"> whose Design Education Manifesto of 2000 announced that ‘The term graphic design has been ‘technologically undermined’ and that visual communication design would offer a more accurate description (Icograda 2000). Yet, by the time of the Manifesto update in 2011, visual communication had itself given way to communication design as an ‘intellectual, creative, strategic, managerial, and technical activity</w:t>
      </w:r>
      <w:r w:rsidR="00A72D18">
        <w:t>’</w:t>
      </w:r>
      <w:r w:rsidR="00A72D18" w:rsidRPr="00A32F62">
        <w:t>. It essentially involves the production of visual solutions to communication problems’ (Icograda 2011: 8)</w:t>
      </w:r>
      <w:r w:rsidR="00A72D18">
        <w:t>,</w:t>
      </w:r>
      <w:r w:rsidR="00A72D18" w:rsidRPr="00A32F62">
        <w:t xml:space="preserve"> which, some would argue, provides a conventional description of graphic design! In 2015, Icograda announced that it was formally changing name to ico-D to ‘better reflect its mission and activities’ (Ico-D 2014).</w:t>
      </w:r>
      <w:r w:rsidR="00A72D18">
        <w:t xml:space="preserve"> In essence, the manifesto </w:t>
      </w:r>
      <w:r w:rsidR="00A72D18">
        <w:rPr>
          <w:lang w:val="en-US"/>
        </w:rPr>
        <w:t xml:space="preserve">lacked any significant </w:t>
      </w:r>
      <w:r w:rsidR="00A72D18">
        <w:rPr>
          <w:lang w:val="en-US"/>
        </w:rPr>
        <w:lastRenderedPageBreak/>
        <w:t>alternative to contemporary descriptions of graphic design.</w:t>
      </w:r>
      <w:r w:rsidR="00A72D18" w:rsidRPr="00A32F62">
        <w:t xml:space="preserve"> </w:t>
      </w:r>
    </w:p>
    <w:p w14:paraId="7018DC0C" w14:textId="025A1475" w:rsidR="00A72D18" w:rsidRPr="00A32F62" w:rsidRDefault="00A72D18" w:rsidP="00A72D18">
      <w:pPr>
        <w:pStyle w:val="Paragraph"/>
      </w:pPr>
      <w:r>
        <w:t>T</w:t>
      </w:r>
      <w:r w:rsidRPr="00A32F62">
        <w:t xml:space="preserve">he Icograda </w:t>
      </w:r>
      <w:r>
        <w:t>approach</w:t>
      </w:r>
      <w:r w:rsidRPr="00A32F62">
        <w:t xml:space="preserve"> suggests a linear and progressive evolution from graphic design through visual communicatio</w:t>
      </w:r>
      <w:r>
        <w:t>n and onto communication design, consistent with the views of Buchanan (2001). However, this</w:t>
      </w:r>
      <w:r w:rsidRPr="00A32F62">
        <w:t xml:space="preserve"> </w:t>
      </w:r>
      <w:r>
        <w:t>approach is not</w:t>
      </w:r>
      <w:r w:rsidRPr="00A32F62">
        <w:t xml:space="preserve"> shared by key historians such as Mar</w:t>
      </w:r>
      <w:r>
        <w:t xml:space="preserve">golin (1994) and Hollis </w:t>
      </w:r>
      <w:r w:rsidRPr="00A32F62">
        <w:t>(1994)</w:t>
      </w:r>
      <w:r>
        <w:t>;</w:t>
      </w:r>
      <w:r w:rsidRPr="00A32F62">
        <w:t xml:space="preserve"> </w:t>
      </w:r>
      <w:r>
        <w:t>they</w:t>
      </w:r>
      <w:r w:rsidRPr="00A32F62">
        <w:t xml:space="preserve"> both distinguish between the specific professional practice of graphic design, which emerged in the twentieth century, and the broader human activity of visual communication, which reaches back to Lascaux cave paintings, and which Margolin (1994: 238–9) described as being ‘inherently sociological and does not exclude anyone on professional grounds.’</w:t>
      </w:r>
      <w:r>
        <w:t xml:space="preserve"> </w:t>
      </w:r>
    </w:p>
    <w:p w14:paraId="04BEB246" w14:textId="027A7B8E" w:rsidR="00A72D18" w:rsidRPr="00A32F62" w:rsidRDefault="00A72D18" w:rsidP="00A72D18">
      <w:pPr>
        <w:pStyle w:val="Paragraph"/>
      </w:pPr>
      <w:r w:rsidRPr="00A32F62">
        <w:t>Yet critically, these observations remain far from consensual. Reflecting upon the findings of the REF2014, UoA34 panel member Walker (2017</w:t>
      </w:r>
      <w:r>
        <w:t>:550</w:t>
      </w:r>
      <w:r w:rsidRPr="00A32F62">
        <w:t xml:space="preserve">) noted that graphic design and communication design were often used interchangeably. She did not confirm whether the panel had relied upon, or been able to establish any clear definitions or boundaries for their purposes; only that she preferred the term communication design. While acknowledging the possible negative impact of ‘nomenclature issues’ upon graphic design research, </w:t>
      </w:r>
      <w:r w:rsidR="009B028E">
        <w:t>Walker</w:t>
      </w:r>
      <w:r w:rsidRPr="00A32F62">
        <w:t xml:space="preserve"> </w:t>
      </w:r>
      <w:r>
        <w:t xml:space="preserve">also </w:t>
      </w:r>
      <w:r w:rsidRPr="00A32F62">
        <w:t>stated a preference for a more inclusive definition, to inc</w:t>
      </w:r>
      <w:r>
        <w:t>orporate</w:t>
      </w:r>
      <w:r w:rsidRPr="00A32F62">
        <w:t xml:space="preserve"> what she described as the sub-disciplines, of illustration, interaction, exhibition, branding and corporate identity. Having also, in the same paper, recognised that graphic designers work with ‘illustrators, </w:t>
      </w:r>
      <w:r w:rsidRPr="0059194F">
        <w:t>photographers, coders, editors, writers, and others involved in the graphic presentation of language’ (Walker 2017: 549) it would</w:t>
      </w:r>
      <w:r w:rsidRPr="00A32F62">
        <w:t xml:space="preserve"> follow that </w:t>
      </w:r>
      <w:r>
        <w:t xml:space="preserve">the field of </w:t>
      </w:r>
      <w:r w:rsidRPr="00A32F62">
        <w:t xml:space="preserve">graphic design </w:t>
      </w:r>
      <w:r>
        <w:t>must first and foremost be acknowledged for its integrative nature, and not be confused with communication design. Q</w:t>
      </w:r>
      <w:r w:rsidRPr="00A32F62">
        <w:t xml:space="preserve">uestions </w:t>
      </w:r>
      <w:r>
        <w:t>arise</w:t>
      </w:r>
      <w:r w:rsidRPr="00A32F62">
        <w:t xml:space="preserve"> as to whether the various collaborators – illustrators, type designers and coders in particular </w:t>
      </w:r>
      <w:r>
        <w:t>–</w:t>
      </w:r>
      <w:r w:rsidRPr="00A32F62">
        <w:t xml:space="preserve"> would be comfortable describing their practice as </w:t>
      </w:r>
      <w:r>
        <w:t xml:space="preserve">a sub-discipline of either; we suspect not. </w:t>
      </w:r>
      <w:r w:rsidRPr="00A32F62">
        <w:t xml:space="preserve">This clearly has a major impact upon the findings, with a high </w:t>
      </w:r>
      <w:r w:rsidRPr="00A32F62">
        <w:lastRenderedPageBreak/>
        <w:t xml:space="preserve">percentage of those outputs reviewed coming from the sub-disciplines or sub-sets of illustration, typeface design and typography. </w:t>
      </w:r>
    </w:p>
    <w:p w14:paraId="322DE6FE" w14:textId="77777777" w:rsidR="00A72D18" w:rsidRPr="00A32F62" w:rsidRDefault="00A72D18" w:rsidP="00A72D18">
      <w:pPr>
        <w:pStyle w:val="Heading2"/>
        <w:rPr>
          <w:rFonts w:ascii="MS Mincho" w:eastAsia="MS Mincho" w:hAnsi="MS Mincho" w:cs="MS Mincho"/>
        </w:rPr>
      </w:pPr>
      <w:r>
        <w:t>Limitations of this Study</w:t>
      </w:r>
    </w:p>
    <w:p w14:paraId="26036F46" w14:textId="4D21C6E8" w:rsidR="00A72D18" w:rsidRDefault="00A72D18" w:rsidP="00A72D18">
      <w:pPr>
        <w:pStyle w:val="Paragraph"/>
      </w:pPr>
      <w:r w:rsidRPr="00AF35C4">
        <w:t xml:space="preserve">In the absence of a stable, consensual definition of graphic design, </w:t>
      </w:r>
      <w:r>
        <w:t>we</w:t>
      </w:r>
      <w:r w:rsidRPr="00AF35C4">
        <w:t xml:space="preserve"> relied upon case-</w:t>
      </w:r>
      <w:r>
        <w:t xml:space="preserve">by-case analysis and discussion to establish the suitability of the outcome. </w:t>
      </w:r>
      <w:r w:rsidRPr="00AF35C4">
        <w:t xml:space="preserve">Balancing elasticity and specificity continued to prove a challenge, and </w:t>
      </w:r>
      <w:r>
        <w:t>different researchers may well have identified a different set of outcomes. Yet</w:t>
      </w:r>
      <w:r w:rsidR="00D528F8">
        <w:t>,</w:t>
      </w:r>
      <w:r>
        <w:t xml:space="preserve"> </w:t>
      </w:r>
      <w:r w:rsidRPr="00AF35C4">
        <w:t>whil</w:t>
      </w:r>
      <w:r>
        <w:t>e</w:t>
      </w:r>
      <w:r w:rsidRPr="00AF35C4">
        <w:t xml:space="preserve"> this may be considered a weakness in the research, the 190 graphic design </w:t>
      </w:r>
      <w:r>
        <w:t>outputs submitted</w:t>
      </w:r>
      <w:r w:rsidRPr="00AF35C4">
        <w:t xml:space="preserve"> present</w:t>
      </w:r>
      <w:r>
        <w:t>ed</w:t>
      </w:r>
      <w:r w:rsidRPr="00AF35C4">
        <w:t xml:space="preserve"> a </w:t>
      </w:r>
      <w:r>
        <w:t>workable</w:t>
      </w:r>
      <w:r w:rsidRPr="00AF35C4">
        <w:t xml:space="preserve"> </w:t>
      </w:r>
      <w:r>
        <w:t>sample to analyse and make some recommendations</w:t>
      </w:r>
      <w:r w:rsidRPr="00AF35C4">
        <w:t>.</w:t>
      </w:r>
    </w:p>
    <w:p w14:paraId="1869758C" w14:textId="641761F2" w:rsidR="00A72D18" w:rsidRPr="00703CAD" w:rsidRDefault="00A72D18" w:rsidP="00A72D18">
      <w:pPr>
        <w:pStyle w:val="Heading1"/>
      </w:pPr>
      <w:r w:rsidRPr="00703CAD">
        <w:t>CONCLUSION</w:t>
      </w:r>
    </w:p>
    <w:p w14:paraId="20CF4451" w14:textId="331D4209" w:rsidR="00A72D18" w:rsidRPr="00AC4D5D" w:rsidRDefault="00A72D18" w:rsidP="00A72D18">
      <w:pPr>
        <w:pStyle w:val="Paragraph"/>
      </w:pPr>
      <w:r w:rsidRPr="001B79BC">
        <w:t>In this study, we have responded directly to criticisms of graphic design research following REF 2014</w:t>
      </w:r>
      <w:r w:rsidR="006A7881">
        <w:t xml:space="preserve"> and s</w:t>
      </w:r>
      <w:r w:rsidRPr="001B79BC">
        <w:t>pecifically, the claims of ‘generically weak’ intellectual and theoretical underpinning and the lack of improvement since the 2008 research audit. In respon</w:t>
      </w:r>
      <w:r w:rsidR="006A7881">
        <w:t>se</w:t>
      </w:r>
      <w:r w:rsidRPr="001B79BC">
        <w:t>, we set out to examine the veracity of these criticisms</w:t>
      </w:r>
      <w:r w:rsidR="006A7881">
        <w:t xml:space="preserve"> – a</w:t>
      </w:r>
      <w:r w:rsidRPr="001B79BC">
        <w:t xml:space="preserve">lthough the focus of this study has been </w:t>
      </w:r>
      <w:r w:rsidR="00D24588">
        <w:t>upon a</w:t>
      </w:r>
      <w:r w:rsidRPr="001B79BC">
        <w:t xml:space="preserve"> UK research audit</w:t>
      </w:r>
      <w:r w:rsidR="00D24588">
        <w:t xml:space="preserve">, </w:t>
      </w:r>
      <w:r w:rsidRPr="001B79BC">
        <w:t>the issues remain pertinent to emerging debates on graphic design research in US contexts and further afield. The</w:t>
      </w:r>
      <w:r w:rsidRPr="00AC4D5D">
        <w:t xml:space="preserve"> need to respond is given added impetus because of the </w:t>
      </w:r>
      <w:r w:rsidR="00D24588">
        <w:t>comparative growth,</w:t>
      </w:r>
      <w:r w:rsidRPr="00AC4D5D">
        <w:t xml:space="preserve"> over the past twenty years</w:t>
      </w:r>
      <w:r w:rsidR="00D356BA">
        <w:t>,</w:t>
      </w:r>
      <w:r w:rsidRPr="00AC4D5D">
        <w:t xml:space="preserve"> in </w:t>
      </w:r>
      <w:r w:rsidR="00D24588">
        <w:t xml:space="preserve">the </w:t>
      </w:r>
      <w:r w:rsidRPr="00AC4D5D">
        <w:t xml:space="preserve">research cultures </w:t>
      </w:r>
      <w:r w:rsidR="00D24588">
        <w:t>of</w:t>
      </w:r>
      <w:r w:rsidRPr="00AC4D5D">
        <w:t xml:space="preserve"> other art and design </w:t>
      </w:r>
      <w:r w:rsidR="00D24588" w:rsidRPr="00AC4D5D">
        <w:t>disciplines</w:t>
      </w:r>
      <w:r w:rsidR="00D24588">
        <w:t>. During this period</w:t>
      </w:r>
      <w:r w:rsidRPr="00AC4D5D">
        <w:t xml:space="preserve"> graphic design has continued to be the largest art and design </w:t>
      </w:r>
      <w:r w:rsidR="00D24588">
        <w:t xml:space="preserve">subject in UK </w:t>
      </w:r>
      <w:r w:rsidRPr="00AC4D5D">
        <w:t>higher education</w:t>
      </w:r>
      <w:r w:rsidR="00D24588">
        <w:t>.</w:t>
      </w:r>
    </w:p>
    <w:p w14:paraId="4A7CA3B4" w14:textId="0766DA3C" w:rsidR="00A72D18" w:rsidRPr="006E0B6D" w:rsidRDefault="009B028E" w:rsidP="00A72D18">
      <w:pPr>
        <w:pStyle w:val="Paragraph"/>
      </w:pPr>
      <w:r>
        <w:t>G</w:t>
      </w:r>
      <w:r w:rsidR="00A72D18" w:rsidRPr="00AC4D5D">
        <w:t xml:space="preserve">raphic design </w:t>
      </w:r>
      <w:r>
        <w:t>accounted for</w:t>
      </w:r>
      <w:r w:rsidR="00A72D18" w:rsidRPr="00966CAA">
        <w:t xml:space="preserve"> 3% of research submitted to REF 2014. Such a low figure, when put in context of the size of the subject, clearly suggests graphic design academics – through choice or institutional decision making – are not engaging, or </w:t>
      </w:r>
      <w:r w:rsidR="00A72D18" w:rsidRPr="00966CAA">
        <w:lastRenderedPageBreak/>
        <w:t xml:space="preserve">meeting expected standards of research as measured through the REF. </w:t>
      </w:r>
    </w:p>
    <w:p w14:paraId="2AA106C9" w14:textId="69EAA245" w:rsidR="00A72D18" w:rsidRPr="007C068D" w:rsidRDefault="00A72D18" w:rsidP="00A72D18">
      <w:pPr>
        <w:pStyle w:val="Paragraph"/>
      </w:pPr>
      <w:r w:rsidRPr="006E0B6D">
        <w:t xml:space="preserve">Where research was successfully submitted, our findings show 63.7% of graphic design outputs submitted to REF2014 were in ‘traditional’ written forms compared with 57% in UoA34 as a whole. </w:t>
      </w:r>
      <w:r w:rsidR="00D24588">
        <w:t xml:space="preserve">Clearly, </w:t>
      </w:r>
      <w:r w:rsidR="006B6791">
        <w:t xml:space="preserve">submitted </w:t>
      </w:r>
      <w:r w:rsidR="00D24588">
        <w:t xml:space="preserve">graphic design research demonstrates the ability to undertake </w:t>
      </w:r>
      <w:r w:rsidR="00D356BA">
        <w:t>and disseminate credible research</w:t>
      </w:r>
      <w:r w:rsidR="00D24588">
        <w:t>. Furthermore, this provides a good foundation for exploring the potential for so-called practice-based and practice-led approaches</w:t>
      </w:r>
    </w:p>
    <w:p w14:paraId="7E8E110D" w14:textId="5E99AF1C" w:rsidR="00A72D18" w:rsidRPr="004C404D" w:rsidRDefault="00A72D18" w:rsidP="00A72D18">
      <w:pPr>
        <w:pStyle w:val="Paragraph"/>
      </w:pPr>
      <w:r w:rsidRPr="00966CAA">
        <w:t xml:space="preserve">Our findings also raise concerns about where graphic design research is emanating from. The analysis revealed only 36 of </w:t>
      </w:r>
      <w:r w:rsidR="005738D5">
        <w:t xml:space="preserve">the </w:t>
      </w:r>
      <w:r w:rsidRPr="00966CAA">
        <w:t>81</w:t>
      </w:r>
      <w:r w:rsidR="005738D5" w:rsidRPr="00966CAA">
        <w:t xml:space="preserve"> institutions</w:t>
      </w:r>
      <w:r w:rsidRPr="00966CAA">
        <w:t xml:space="preserve"> submitting to UoA34 had graphic design outputs. Of equal concern was the fact that almost half of the</w:t>
      </w:r>
      <w:r w:rsidR="00D24588">
        <w:t xml:space="preserve">se </w:t>
      </w:r>
      <w:r w:rsidRPr="00966CAA">
        <w:t>submi</w:t>
      </w:r>
      <w:r w:rsidR="00D24588">
        <w:t>ssions</w:t>
      </w:r>
      <w:r w:rsidRPr="00966CAA">
        <w:t xml:space="preserve"> came from four institutions</w:t>
      </w:r>
      <w:r>
        <w:t>,</w:t>
      </w:r>
      <w:r w:rsidRPr="004C404D">
        <w:t xml:space="preserve"> </w:t>
      </w:r>
      <w:r>
        <w:t>r</w:t>
      </w:r>
      <w:r w:rsidRPr="004C404D">
        <w:t>aising fears of uneven distribution of research and the funding and esteem that follows REF success.</w:t>
      </w:r>
    </w:p>
    <w:p w14:paraId="2B311D3B" w14:textId="49BD7773" w:rsidR="00A72D18" w:rsidRPr="006E0B6D" w:rsidRDefault="00A72D18" w:rsidP="00A72D18">
      <w:pPr>
        <w:pStyle w:val="Paragraph"/>
      </w:pPr>
      <w:r w:rsidRPr="00966CAA">
        <w:t xml:space="preserve">We found responding to the criticism of ‘generically weak’ intellectual and theoretical underpinning of graphic design research less straightforward. However, analysis of additional information fields revealed an absence of research questions and, despite certain commonalities of theme, a lack of collaboration. </w:t>
      </w:r>
    </w:p>
    <w:p w14:paraId="74E792C2" w14:textId="49A9DC4F" w:rsidR="00A72D18" w:rsidRPr="00EF14DA" w:rsidRDefault="00A72D18" w:rsidP="00A72D18">
      <w:pPr>
        <w:pStyle w:val="Paragraph"/>
        <w:rPr>
          <w:strike/>
        </w:rPr>
      </w:pPr>
      <w:r w:rsidRPr="006E0B6D">
        <w:t xml:space="preserve">Based on our analysis of submissions to REF 2014, we </w:t>
      </w:r>
      <w:r>
        <w:t>confirm that</w:t>
      </w:r>
      <w:r w:rsidRPr="004C404D">
        <w:t xml:space="preserve"> graphic design is yet to establish a</w:t>
      </w:r>
      <w:r>
        <w:t xml:space="preserve"> comprehensive</w:t>
      </w:r>
      <w:r w:rsidRPr="004C404D">
        <w:t xml:space="preserve"> academic research culture in the UK that accords with its widespread standing in higher education. Among the contributing factors, we note a lack of confidence with regards to the nature and value of practice-based graphic design research, the uncertainty of the expectations of the REF, lack of venues for dissemination, heavy teaching loads and a lack of exemplars and established career pathways for research. In addition, we would suggest that the absence of stable and consensual nomenclature has hindered both the articulation and the assessment of </w:t>
      </w:r>
      <w:r w:rsidRPr="004C404D">
        <w:lastRenderedPageBreak/>
        <w:t>submissions. In order for graphic design academics and institutions to begin to address this situation, we make the following recommendations.</w:t>
      </w:r>
    </w:p>
    <w:p w14:paraId="3FFA715D" w14:textId="77777777" w:rsidR="00374D67" w:rsidRPr="00374D67" w:rsidRDefault="00374D67" w:rsidP="00C16E11">
      <w:pPr>
        <w:pStyle w:val="Heading2"/>
        <w:rPr>
          <w:lang w:eastAsia="en-US"/>
        </w:rPr>
      </w:pPr>
      <w:r w:rsidRPr="00374D67">
        <w:rPr>
          <w:lang w:eastAsia="en-US"/>
        </w:rPr>
        <w:t> </w:t>
      </w:r>
    </w:p>
    <w:p w14:paraId="0F85591C" w14:textId="77777777" w:rsidR="00C16E11" w:rsidRPr="00DB6457" w:rsidRDefault="00C16E11" w:rsidP="00C16E11">
      <w:pPr>
        <w:pStyle w:val="Heading2"/>
      </w:pPr>
      <w:r w:rsidRPr="00DB6457">
        <w:t>Recommendations</w:t>
      </w:r>
    </w:p>
    <w:p w14:paraId="2E062295" w14:textId="74DA0120" w:rsidR="00C16E11" w:rsidRPr="00C16E11" w:rsidRDefault="00C16E11" w:rsidP="00C16E11">
      <w:pPr>
        <w:pStyle w:val="Heading3"/>
      </w:pPr>
      <w:r w:rsidRPr="00C16E11">
        <w:t>For Academics</w:t>
      </w:r>
    </w:p>
    <w:p w14:paraId="3C697BD5" w14:textId="44B94B41" w:rsidR="00C16E11" w:rsidRPr="00DB6457" w:rsidRDefault="00C16E11" w:rsidP="00C16E11">
      <w:pPr>
        <w:pStyle w:val="ListBullet2"/>
      </w:pPr>
      <w:r w:rsidRPr="00DB6457">
        <w:t xml:space="preserve">Deeper reflection upon the research dimensions and opportunities within their </w:t>
      </w:r>
      <w:r>
        <w:t xml:space="preserve">current </w:t>
      </w:r>
      <w:r w:rsidRPr="00DB6457">
        <w:t>practice</w:t>
      </w:r>
    </w:p>
    <w:p w14:paraId="35C05BB8" w14:textId="0DBA0D7F" w:rsidR="00C16E11" w:rsidRPr="00DB6457" w:rsidRDefault="00C16E11" w:rsidP="00C16E11">
      <w:pPr>
        <w:pStyle w:val="ListBullet2"/>
      </w:pPr>
      <w:r w:rsidRPr="00DB6457">
        <w:t>Pursuit of formalised research training. This might be in the form of a part-time PgCert in research methods within creative practices, or bespoke, localised staff development offering, for example, access to appropriate MRes modules</w:t>
      </w:r>
    </w:p>
    <w:p w14:paraId="2F8B644E" w14:textId="30669F63" w:rsidR="00C16E11" w:rsidRPr="00DB6457" w:rsidRDefault="00C16E11" w:rsidP="00C16E11">
      <w:pPr>
        <w:pStyle w:val="ListBullet2"/>
      </w:pPr>
      <w:r w:rsidRPr="00DB6457">
        <w:t xml:space="preserve">Negotiation of adequate research and research training time during workload planning </w:t>
      </w:r>
    </w:p>
    <w:p w14:paraId="1193E299" w14:textId="73D12A06" w:rsidR="00C16E11" w:rsidRPr="00DB6457" w:rsidRDefault="00C16E11" w:rsidP="00C16E11">
      <w:pPr>
        <w:pStyle w:val="ListBullet2"/>
      </w:pPr>
      <w:r w:rsidRPr="00DB6457">
        <w:t xml:space="preserve">Confidence identifying and articulating their work as graphic design research. </w:t>
      </w:r>
    </w:p>
    <w:p w14:paraId="7168CE63" w14:textId="2FDB911C" w:rsidR="00C16E11" w:rsidRPr="00DB6457" w:rsidRDefault="00C16E11" w:rsidP="00C16E11">
      <w:pPr>
        <w:pStyle w:val="ListBullet2"/>
      </w:pPr>
      <w:r w:rsidRPr="00DB6457">
        <w:t>Clearer focus upon identifying and addressing specific research questions.</w:t>
      </w:r>
    </w:p>
    <w:p w14:paraId="5CC29EC1" w14:textId="5242333D" w:rsidR="00C16E11" w:rsidRPr="00DB6457" w:rsidRDefault="00C16E11" w:rsidP="00C16E11">
      <w:pPr>
        <w:pStyle w:val="ListBullet2"/>
      </w:pPr>
      <w:r w:rsidRPr="00DB6457">
        <w:t>Locating their research within its particular field.</w:t>
      </w:r>
    </w:p>
    <w:p w14:paraId="13A26F36" w14:textId="0557C649" w:rsidR="00C16E11" w:rsidRPr="00DB6457" w:rsidRDefault="00C16E11" w:rsidP="00C16E11">
      <w:pPr>
        <w:pStyle w:val="ListBullet2"/>
      </w:pPr>
      <w:r w:rsidRPr="00DB6457">
        <w:t>Clarity and confidence when defining and articulating their interdisciplinary and multidisciplinary credentials and roles within research projects.</w:t>
      </w:r>
    </w:p>
    <w:p w14:paraId="2EF193C1" w14:textId="135E9D50" w:rsidR="00C16E11" w:rsidRPr="00DB6457" w:rsidRDefault="00C16E11" w:rsidP="00C16E11">
      <w:pPr>
        <w:pStyle w:val="Paragraph"/>
      </w:pPr>
      <w:r w:rsidRPr="00DB6457">
        <w:t>In offering a set of recommendations to graphic design academics, we emphasize, with Townsend and Armstrong (2017: 67), that graphic design research does not emerge simply from the minds of academics, but rather as a consequence of “the conditions, contexts, and values of our discipline, programs, and faculty”. Therefore, we address these recommendations to research leaders and heads of departments:</w:t>
      </w:r>
    </w:p>
    <w:p w14:paraId="04BE2490" w14:textId="77777777" w:rsidR="00C16E11" w:rsidRPr="00DB6457" w:rsidRDefault="00C16E11" w:rsidP="00C16E11">
      <w:pPr>
        <w:pStyle w:val="Heading3"/>
      </w:pPr>
      <w:r w:rsidRPr="00DB6457">
        <w:t>For Institutions</w:t>
      </w:r>
    </w:p>
    <w:p w14:paraId="0D8D6CCD" w14:textId="0D66D179" w:rsidR="00C16E11" w:rsidRPr="00C16E11" w:rsidRDefault="00C16E11" w:rsidP="00C16E11">
      <w:pPr>
        <w:pStyle w:val="ListBullet2"/>
      </w:pPr>
      <w:r w:rsidRPr="00C16E11">
        <w:t>Provision of formal research training for suitable staff (see above)</w:t>
      </w:r>
    </w:p>
    <w:p w14:paraId="0593A8B4" w14:textId="3C7ED7B7" w:rsidR="00C16E11" w:rsidRPr="00C16E11" w:rsidRDefault="00C16E11" w:rsidP="00C16E11">
      <w:pPr>
        <w:pStyle w:val="ListBullet2"/>
      </w:pPr>
      <w:r w:rsidRPr="00C16E11">
        <w:lastRenderedPageBreak/>
        <w:t>Provision and protection of adequate research time during workload planning</w:t>
      </w:r>
    </w:p>
    <w:p w14:paraId="0CBBA5A9" w14:textId="69264944" w:rsidR="00C16E11" w:rsidRPr="00C16E11" w:rsidRDefault="00C16E11" w:rsidP="00C16E11">
      <w:pPr>
        <w:pStyle w:val="ListBullet2"/>
      </w:pPr>
      <w:r w:rsidRPr="00C16E11">
        <w:t>Clear pathways, with developmental support, for graphic design academics to progress to Readers and to Professors.</w:t>
      </w:r>
    </w:p>
    <w:p w14:paraId="15CEF494" w14:textId="7CD5A1F9" w:rsidR="00C16E11" w:rsidRPr="00C16E11" w:rsidRDefault="00C16E11" w:rsidP="00C16E11">
      <w:pPr>
        <w:pStyle w:val="ListBullet2"/>
      </w:pPr>
      <w:r w:rsidRPr="00C16E11">
        <w:t>Provision of opportunities for cross-institution research projects to help create an academic research culture in graphic design.</w:t>
      </w:r>
    </w:p>
    <w:p w14:paraId="3F897D60" w14:textId="2AB3B95B" w:rsidR="00C16E11" w:rsidRPr="00C16E11" w:rsidRDefault="00C16E11" w:rsidP="00C16E11">
      <w:pPr>
        <w:pStyle w:val="ListBullet2"/>
      </w:pPr>
      <w:r w:rsidRPr="00C16E11">
        <w:t>Consideration as to how incomes generated by numbers of students studying on graphic design programmes may be re-invested into building a research cultures to support and enrich the delivery.</w:t>
      </w:r>
    </w:p>
    <w:p w14:paraId="248D8209" w14:textId="470F2542" w:rsidR="00C16E11" w:rsidRPr="00DB6457" w:rsidRDefault="00C16E11" w:rsidP="00C16E11">
      <w:pPr>
        <w:pStyle w:val="ListBullet2"/>
      </w:pPr>
      <w:r w:rsidRPr="00C16E11">
        <w:t xml:space="preserve">Further research into the balance and allocation of research time across varying cohorts and institutions </w:t>
      </w:r>
    </w:p>
    <w:p w14:paraId="63C26085" w14:textId="77777777" w:rsidR="00C16E11" w:rsidRPr="00DB6457" w:rsidRDefault="00C16E11" w:rsidP="00C16E11">
      <w:pPr>
        <w:pStyle w:val="Heading3"/>
      </w:pPr>
      <w:r w:rsidRPr="00DB6457">
        <w:t>Other</w:t>
      </w:r>
    </w:p>
    <w:p w14:paraId="32FDB292" w14:textId="2B15303E" w:rsidR="00C16E11" w:rsidRPr="00DB6457" w:rsidRDefault="00C16E11" w:rsidP="00C16E11">
      <w:pPr>
        <w:pStyle w:val="ListBullet2"/>
      </w:pPr>
      <w:r w:rsidRPr="00DB6457">
        <w:t xml:space="preserve">Clearer articulation regarding the centrality of research to education and practice </w:t>
      </w:r>
    </w:p>
    <w:p w14:paraId="49B8663A" w14:textId="66E87723" w:rsidR="00C16E11" w:rsidRPr="00DB6457" w:rsidRDefault="00C16E11" w:rsidP="00C16E11">
      <w:pPr>
        <w:pStyle w:val="ListBullet2"/>
      </w:pPr>
      <w:r w:rsidRPr="00DB6457">
        <w:t>The pursuit of a stable, shared nomenclature between submitting institutions and future REF review panel members</w:t>
      </w:r>
    </w:p>
    <w:p w14:paraId="42369B15" w14:textId="7F2F77E4" w:rsidR="00C16E11" w:rsidRPr="00DB6457" w:rsidRDefault="00C16E11" w:rsidP="00C16E11">
      <w:pPr>
        <w:pStyle w:val="ListBullet2"/>
      </w:pPr>
      <w:r w:rsidRPr="00DB6457">
        <w:t>A sharable Database of REF 2014 outputs</w:t>
      </w:r>
    </w:p>
    <w:p w14:paraId="43E85091" w14:textId="5B176189" w:rsidR="00C16E11" w:rsidRPr="00DB6457" w:rsidRDefault="00C16E11" w:rsidP="00C16E11">
      <w:pPr>
        <w:pStyle w:val="ListBullet2"/>
      </w:pPr>
      <w:r w:rsidRPr="00DB6457">
        <w:t>Access to a collection of graphic design research exemplars</w:t>
      </w:r>
    </w:p>
    <w:p w14:paraId="42679FA5" w14:textId="2B059A6A" w:rsidR="00C16E11" w:rsidRPr="00DB6457" w:rsidRDefault="00C16E11" w:rsidP="00C16E11">
      <w:pPr>
        <w:pStyle w:val="ListBullet2"/>
      </w:pPr>
      <w:r w:rsidRPr="00DB6457">
        <w:rPr>
          <w:lang w:val="en-US"/>
        </w:rPr>
        <w:t>Production of a guide tailored to help graphic design academics prepare future REF submissions</w:t>
      </w:r>
    </w:p>
    <w:p w14:paraId="474B0B45" w14:textId="77777777" w:rsidR="00A72D18" w:rsidRPr="00F173C5" w:rsidRDefault="00A72D18" w:rsidP="00C16E11">
      <w:pPr>
        <w:pStyle w:val="Paragraph"/>
        <w:rPr>
          <w:rFonts w:eastAsiaTheme="minorHAnsi"/>
        </w:rPr>
      </w:pPr>
    </w:p>
    <w:p w14:paraId="454EFDA0" w14:textId="77777777" w:rsidR="001D2A74" w:rsidRDefault="001D2A74" w:rsidP="001D2A74">
      <w:pPr>
        <w:pStyle w:val="Acknowledgements"/>
      </w:pPr>
    </w:p>
    <w:p w14:paraId="614EEC25" w14:textId="54A22796" w:rsidR="001D2A74" w:rsidRPr="00975BA8" w:rsidRDefault="001D2A74" w:rsidP="003565D4">
      <w:pPr>
        <w:pStyle w:val="Tabletitle"/>
        <w:rPr>
          <w:strike/>
        </w:rPr>
      </w:pPr>
    </w:p>
    <w:p w14:paraId="2BC63ECE" w14:textId="77777777" w:rsidR="001D2A74" w:rsidRDefault="001D2A74" w:rsidP="001D2A74">
      <w:pPr>
        <w:pStyle w:val="Heading1"/>
        <w:spacing w:before="0"/>
        <w:ind w:left="432" w:hanging="432"/>
        <w:rPr>
          <w:rFonts w:ascii="Arial" w:hAnsi="Arial"/>
          <w:sz w:val="22"/>
          <w:szCs w:val="22"/>
        </w:rPr>
      </w:pPr>
    </w:p>
    <w:p w14:paraId="3C8DDC67" w14:textId="77777777" w:rsidR="0047617A" w:rsidRDefault="0047617A">
      <w:pPr>
        <w:spacing w:line="240" w:lineRule="auto"/>
        <w:rPr>
          <w:rFonts w:cs="Arial"/>
          <w:b/>
          <w:bCs/>
          <w:kern w:val="32"/>
          <w:szCs w:val="32"/>
        </w:rPr>
      </w:pPr>
      <w:r>
        <w:br w:type="page"/>
      </w:r>
    </w:p>
    <w:p w14:paraId="718CF879" w14:textId="37330D31" w:rsidR="0047617A" w:rsidRPr="0050681D" w:rsidRDefault="0047617A" w:rsidP="0047617A">
      <w:pPr>
        <w:pStyle w:val="Heading1"/>
      </w:pPr>
      <w:r w:rsidRPr="00F3380B">
        <w:lastRenderedPageBreak/>
        <w:t>REFERENCE LIST</w:t>
      </w:r>
    </w:p>
    <w:p w14:paraId="48251DE9" w14:textId="77777777" w:rsidR="0047617A" w:rsidRDefault="0047617A" w:rsidP="0047617A">
      <w:pPr>
        <w:pStyle w:val="References"/>
        <w:ind w:left="0" w:firstLine="0"/>
        <w:rPr>
          <w:lang w:val="en-US"/>
        </w:rPr>
      </w:pPr>
    </w:p>
    <w:p w14:paraId="52F95979" w14:textId="77777777" w:rsidR="0047617A" w:rsidRPr="00DE07A3" w:rsidRDefault="0047617A" w:rsidP="0047617A">
      <w:pPr>
        <w:pStyle w:val="References"/>
        <w:rPr>
          <w:i/>
        </w:rPr>
      </w:pPr>
      <w:r w:rsidRPr="00DE07A3">
        <w:t>Breen</w:t>
      </w:r>
      <w:r>
        <w:t>, R.</w:t>
      </w:r>
      <w:r w:rsidRPr="00DE07A3">
        <w:t xml:space="preserve"> (2006) </w:t>
      </w:r>
      <w:r>
        <w:t>‘</w:t>
      </w:r>
      <w:r w:rsidRPr="00DE07A3">
        <w:t>A Practical Guide to Focus-Group Research</w:t>
      </w:r>
      <w:r>
        <w:t>’</w:t>
      </w:r>
      <w:r w:rsidRPr="00DE07A3">
        <w:t xml:space="preserve">, </w:t>
      </w:r>
      <w:r w:rsidRPr="00DE07A3">
        <w:rPr>
          <w:i/>
        </w:rPr>
        <w:t>Journal</w:t>
      </w:r>
    </w:p>
    <w:p w14:paraId="42EA4B07" w14:textId="77777777" w:rsidR="0047617A" w:rsidRPr="000C2503" w:rsidRDefault="0047617A" w:rsidP="0047617A">
      <w:pPr>
        <w:pStyle w:val="References"/>
      </w:pPr>
      <w:r w:rsidRPr="00DE07A3">
        <w:rPr>
          <w:i/>
        </w:rPr>
        <w:t>of Geography in Higher Education</w:t>
      </w:r>
      <w:r w:rsidRPr="00DE07A3">
        <w:t xml:space="preserve">, </w:t>
      </w:r>
      <w:r>
        <w:t>Vol.</w:t>
      </w:r>
      <w:r w:rsidRPr="00DE07A3">
        <w:t>30</w:t>
      </w:r>
      <w:r>
        <w:t>(</w:t>
      </w:r>
      <w:r w:rsidRPr="00DE07A3">
        <w:t>3</w:t>
      </w:r>
      <w:r>
        <w:t>)</w:t>
      </w:r>
      <w:r w:rsidRPr="00DE07A3">
        <w:t xml:space="preserve">, </w:t>
      </w:r>
      <w:r>
        <w:t>pp.</w:t>
      </w:r>
      <w:r w:rsidRPr="00DE07A3">
        <w:t>463</w:t>
      </w:r>
      <w:r>
        <w:t>—</w:t>
      </w:r>
      <w:r w:rsidRPr="00DE07A3">
        <w:t>475</w:t>
      </w:r>
    </w:p>
    <w:p w14:paraId="314D1DBE" w14:textId="77777777" w:rsidR="0047617A" w:rsidRDefault="0047617A" w:rsidP="0047617A">
      <w:pPr>
        <w:pStyle w:val="References"/>
        <w:rPr>
          <w:lang w:val="en-US"/>
        </w:rPr>
      </w:pPr>
    </w:p>
    <w:p w14:paraId="767ABF76" w14:textId="77777777" w:rsidR="0047617A" w:rsidRPr="00F173C5" w:rsidRDefault="0047617A" w:rsidP="0047617A">
      <w:pPr>
        <w:pStyle w:val="References"/>
      </w:pPr>
      <w:r w:rsidRPr="00F173C5">
        <w:rPr>
          <w:lang w:val="en-US"/>
        </w:rPr>
        <w:t xml:space="preserve">Buchanan, R. (2001) </w:t>
      </w:r>
      <w:r>
        <w:rPr>
          <w:lang w:val="en-US"/>
        </w:rPr>
        <w:t>‘</w:t>
      </w:r>
      <w:r w:rsidRPr="00F173C5">
        <w:rPr>
          <w:lang w:val="en-US"/>
        </w:rPr>
        <w:t>Design Research and the New Learning.</w:t>
      </w:r>
      <w:r>
        <w:rPr>
          <w:lang w:val="en-US"/>
        </w:rPr>
        <w:t>’</w:t>
      </w:r>
      <w:r w:rsidRPr="00F173C5">
        <w:rPr>
          <w:lang w:val="en-US"/>
        </w:rPr>
        <w:t xml:space="preserve"> </w:t>
      </w:r>
      <w:r w:rsidRPr="00F173C5">
        <w:rPr>
          <w:i/>
          <w:iCs/>
          <w:lang w:val="en-US"/>
        </w:rPr>
        <w:t>Design Issues</w:t>
      </w:r>
      <w:r w:rsidRPr="00F173C5">
        <w:rPr>
          <w:lang w:val="en-US"/>
        </w:rPr>
        <w:t xml:space="preserve">, </w:t>
      </w:r>
      <w:r>
        <w:rPr>
          <w:lang w:val="en-US"/>
        </w:rPr>
        <w:t>Vo.</w:t>
      </w:r>
      <w:r w:rsidRPr="00F173C5">
        <w:rPr>
          <w:lang w:val="en-US"/>
        </w:rPr>
        <w:t>17(4), pp.3–23</w:t>
      </w:r>
      <w:r w:rsidRPr="00F173C5">
        <w:rPr>
          <w:lang w:val="en-US"/>
        </w:rPr>
        <w:br/>
      </w:r>
    </w:p>
    <w:p w14:paraId="5E100FF8" w14:textId="77777777" w:rsidR="0047617A" w:rsidRPr="00F173C5" w:rsidRDefault="0047617A" w:rsidP="0047617A">
      <w:pPr>
        <w:pStyle w:val="References"/>
        <w:rPr>
          <w:lang w:val="en-US"/>
        </w:rPr>
      </w:pPr>
      <w:r w:rsidRPr="00F173C5">
        <w:rPr>
          <w:rFonts w:eastAsiaTheme="minorHAnsi"/>
        </w:rPr>
        <w:t xml:space="preserve">Cabianca, D. (2016) ‘A Case for the Sublime Uselessness of Graphic Design.’ </w:t>
      </w:r>
      <w:r w:rsidRPr="00F173C5">
        <w:rPr>
          <w:rFonts w:eastAsiaTheme="minorHAnsi"/>
          <w:i/>
        </w:rPr>
        <w:t xml:space="preserve">Design and Culture </w:t>
      </w:r>
      <w:r w:rsidRPr="00F173C5">
        <w:rPr>
          <w:rFonts w:eastAsiaTheme="minorHAnsi"/>
        </w:rPr>
        <w:t>Vol.8(1), pp.103–122</w:t>
      </w:r>
      <w:r w:rsidRPr="00F173C5">
        <w:rPr>
          <w:lang w:val="en-US"/>
        </w:rPr>
        <w:br/>
      </w:r>
    </w:p>
    <w:p w14:paraId="294191E9" w14:textId="77777777" w:rsidR="0047617A" w:rsidRPr="00F173C5" w:rsidRDefault="0047617A" w:rsidP="0047617A">
      <w:pPr>
        <w:pStyle w:val="References"/>
        <w:rPr>
          <w:lang w:val="en-US"/>
        </w:rPr>
      </w:pPr>
      <w:r w:rsidRPr="00F173C5">
        <w:t xml:space="preserve">Davis, M. </w:t>
      </w:r>
      <w:r w:rsidRPr="00F173C5">
        <w:rPr>
          <w:rFonts w:eastAsiaTheme="minorHAnsi"/>
        </w:rPr>
        <w:t xml:space="preserve">(2016) ‘Tenure and Design Research: A Disappointingly Familiar Discussion’ </w:t>
      </w:r>
      <w:r w:rsidRPr="00F173C5">
        <w:rPr>
          <w:rFonts w:eastAsiaTheme="minorHAnsi"/>
          <w:i/>
        </w:rPr>
        <w:t xml:space="preserve">Design and Culture </w:t>
      </w:r>
      <w:r w:rsidRPr="00F173C5">
        <w:rPr>
          <w:rFonts w:eastAsiaTheme="minorHAnsi"/>
        </w:rPr>
        <w:t>Vol.8(1): pp.123–131</w:t>
      </w:r>
      <w:r w:rsidRPr="00F173C5">
        <w:rPr>
          <w:lang w:val="en-US"/>
        </w:rPr>
        <w:br/>
      </w:r>
    </w:p>
    <w:p w14:paraId="538751F0" w14:textId="77777777" w:rsidR="0047617A" w:rsidRDefault="0047617A" w:rsidP="0047617A">
      <w:pPr>
        <w:pStyle w:val="References"/>
      </w:pPr>
      <w:r w:rsidRPr="00F173C5">
        <w:t xml:space="preserve">Davis, M. (2012), </w:t>
      </w:r>
      <w:r w:rsidRPr="00F173C5">
        <w:rPr>
          <w:i/>
        </w:rPr>
        <w:t>Graphic Design Theory</w:t>
      </w:r>
      <w:r w:rsidRPr="00F173C5">
        <w:t>, London: Thames &amp; Hudson</w:t>
      </w:r>
    </w:p>
    <w:p w14:paraId="095F4A2B" w14:textId="77777777" w:rsidR="0047617A" w:rsidRDefault="0047617A" w:rsidP="0047617A">
      <w:pPr>
        <w:pStyle w:val="References"/>
        <w:rPr>
          <w:lang w:val="en-US"/>
        </w:rPr>
      </w:pPr>
    </w:p>
    <w:p w14:paraId="27AD0F44" w14:textId="77777777" w:rsidR="0047617A" w:rsidRPr="00DE07A3" w:rsidRDefault="0047617A" w:rsidP="0047617A">
      <w:pPr>
        <w:pStyle w:val="References"/>
      </w:pPr>
      <w:r w:rsidRPr="00DE07A3">
        <w:t xml:space="preserve">Denscombe, M. (2007) </w:t>
      </w:r>
      <w:r w:rsidRPr="00DE07A3">
        <w:rPr>
          <w:i/>
        </w:rPr>
        <w:t>The Good Research Guide: for small-scale social research projects</w:t>
      </w:r>
      <w:r w:rsidRPr="00DE07A3">
        <w:t xml:space="preserve"> (3rd edition) Maidenhead: Open University Press </w:t>
      </w:r>
    </w:p>
    <w:p w14:paraId="497FCF36" w14:textId="294D3FD3" w:rsidR="001D2A74" w:rsidRDefault="001D2A74" w:rsidP="00D24588">
      <w:pPr>
        <w:pStyle w:val="References"/>
        <w:rPr>
          <w:lang w:val="en-US"/>
        </w:rPr>
      </w:pPr>
    </w:p>
    <w:p w14:paraId="473D280D" w14:textId="2130E5D9" w:rsidR="001D2A74" w:rsidRDefault="001D2A74" w:rsidP="001D2A74">
      <w:pPr>
        <w:pStyle w:val="References"/>
        <w:rPr>
          <w:color w:val="333333"/>
          <w:shd w:val="clear" w:color="auto" w:fill="FFFFFF"/>
          <w:lang w:val="en-US"/>
        </w:rPr>
      </w:pPr>
      <w:r w:rsidRPr="0050681D">
        <w:t xml:space="preserve">Hollis, R (1994) </w:t>
      </w:r>
      <w:r w:rsidRPr="0050681D">
        <w:rPr>
          <w:i/>
          <w:color w:val="333333"/>
          <w:shd w:val="clear" w:color="auto" w:fill="FFFFFF"/>
          <w:lang w:val="en-US"/>
        </w:rPr>
        <w:t>Graphic Design: A Concise History.</w:t>
      </w:r>
      <w:r w:rsidRPr="0050681D">
        <w:rPr>
          <w:color w:val="333333"/>
          <w:shd w:val="clear" w:color="auto" w:fill="FFFFFF"/>
          <w:lang w:val="en-US"/>
        </w:rPr>
        <w:t xml:space="preserve"> London: Thames &amp; Hudson</w:t>
      </w:r>
    </w:p>
    <w:p w14:paraId="6BEE7239" w14:textId="52FCAAB5" w:rsidR="00014B16" w:rsidRDefault="00014B16" w:rsidP="001D2A74">
      <w:pPr>
        <w:pStyle w:val="References"/>
        <w:rPr>
          <w:color w:val="333333"/>
          <w:shd w:val="clear" w:color="auto" w:fill="FFFFFF"/>
          <w:lang w:val="en-US"/>
        </w:rPr>
      </w:pPr>
    </w:p>
    <w:p w14:paraId="422DD6A4" w14:textId="7312C5CF" w:rsidR="00014B16" w:rsidRPr="0050681D" w:rsidRDefault="00014B16" w:rsidP="00014B16">
      <w:pPr>
        <w:pStyle w:val="References"/>
        <w:rPr>
          <w:color w:val="333333"/>
          <w:shd w:val="clear" w:color="auto" w:fill="FFFFFF"/>
          <w:lang w:val="en-US"/>
        </w:rPr>
      </w:pPr>
      <w:r w:rsidRPr="0050681D">
        <w:t xml:space="preserve">ico-D (2014) </w:t>
      </w:r>
      <w:r w:rsidRPr="00F3380B">
        <w:rPr>
          <w:i/>
          <w:color w:val="231F20"/>
        </w:rPr>
        <w:t>Icograda announces name change to ico-D</w:t>
      </w:r>
      <w:r w:rsidRPr="0050681D">
        <w:rPr>
          <w:color w:val="231F20"/>
        </w:rPr>
        <w:t xml:space="preserve"> </w:t>
      </w:r>
      <w:hyperlink r:id="rId10" w:history="1">
        <w:r w:rsidRPr="00AF633C">
          <w:t>http://www.ico-d.org/connect/index/post/1961.php</w:t>
        </w:r>
      </w:hyperlink>
      <w:r>
        <w:t xml:space="preserve"> </w:t>
      </w:r>
      <w:r w:rsidRPr="0050681D">
        <w:t>(accessed 14.11.18)</w:t>
      </w:r>
    </w:p>
    <w:p w14:paraId="103667F9" w14:textId="77777777" w:rsidR="001D2A74" w:rsidRPr="0050681D" w:rsidRDefault="001D2A74" w:rsidP="00014B16">
      <w:pPr>
        <w:pStyle w:val="References"/>
        <w:ind w:left="0" w:firstLine="0"/>
        <w:rPr>
          <w:lang w:val="en-US"/>
        </w:rPr>
      </w:pPr>
    </w:p>
    <w:p w14:paraId="123F687E" w14:textId="77777777" w:rsidR="001D2A74" w:rsidRDefault="001D2A74" w:rsidP="001D2A74">
      <w:pPr>
        <w:pStyle w:val="References"/>
        <w:rPr>
          <w:iCs/>
        </w:rPr>
      </w:pPr>
      <w:r w:rsidRPr="0050681D">
        <w:t xml:space="preserve">ICOGRADA. (2011), </w:t>
      </w:r>
      <w:r w:rsidRPr="0050681D">
        <w:rPr>
          <w:i/>
        </w:rPr>
        <w:t>Icograda Design Education Manifesto 2011.</w:t>
      </w:r>
      <w:r w:rsidRPr="00F3380B">
        <w:t xml:space="preserve"> Available at:</w:t>
      </w:r>
      <w:r>
        <w:br/>
      </w:r>
      <w:hyperlink r:id="rId11" w:history="1">
        <w:r w:rsidRPr="00975BA8">
          <w:rPr>
            <w:rStyle w:val="Hyperlink"/>
            <w:iCs/>
            <w:color w:val="000000" w:themeColor="text1"/>
          </w:rPr>
          <w:t>http://www.ico-d.org/database/files/library/IcogradaEducationManifesto_2011.pdf</w:t>
        </w:r>
      </w:hyperlink>
      <w:r w:rsidRPr="005815F6">
        <w:rPr>
          <w:iCs/>
        </w:rPr>
        <w:t>.</w:t>
      </w:r>
      <w:r w:rsidRPr="00F3380B">
        <w:rPr>
          <w:iCs/>
        </w:rPr>
        <w:t xml:space="preserve"> (accessed 14.11.18)</w:t>
      </w:r>
      <w:r>
        <w:rPr>
          <w:iCs/>
        </w:rPr>
        <w:br/>
      </w:r>
    </w:p>
    <w:p w14:paraId="2598639F" w14:textId="3CBD3900" w:rsidR="001D2A74" w:rsidRDefault="001D2A74" w:rsidP="001D2A74">
      <w:pPr>
        <w:pStyle w:val="References"/>
        <w:rPr>
          <w:iCs/>
        </w:rPr>
      </w:pPr>
      <w:r>
        <w:t>ICOGRADA. (2000)</w:t>
      </w:r>
      <w:r w:rsidRPr="0050681D">
        <w:t xml:space="preserve"> </w:t>
      </w:r>
      <w:r w:rsidRPr="0050681D">
        <w:rPr>
          <w:i/>
        </w:rPr>
        <w:t xml:space="preserve">Icograda Design Education Manifesto 2000. </w:t>
      </w:r>
      <w:r w:rsidRPr="00F3380B">
        <w:t xml:space="preserve">Available at: </w:t>
      </w:r>
      <w:hyperlink r:id="rId12" w:history="1">
        <w:r w:rsidRPr="00AF633C">
          <w:t>http://www.ico-d.org/database/files/library/IcogradaEducationManifesto.pdf</w:t>
        </w:r>
      </w:hyperlink>
      <w:r w:rsidRPr="00F3380B">
        <w:rPr>
          <w:iCs/>
        </w:rPr>
        <w:t xml:space="preserve"> (accessed 14.11.18)</w:t>
      </w:r>
    </w:p>
    <w:p w14:paraId="476F2CD4" w14:textId="77777777" w:rsidR="001D2A74" w:rsidRPr="00F173C5" w:rsidRDefault="001D2A74" w:rsidP="001D2A74">
      <w:pPr>
        <w:pStyle w:val="References"/>
        <w:rPr>
          <w:iCs/>
        </w:rPr>
      </w:pPr>
    </w:p>
    <w:p w14:paraId="0F17AF17" w14:textId="77777777" w:rsidR="001D2A74" w:rsidRPr="0050681D" w:rsidRDefault="001D2A74" w:rsidP="001D2A74">
      <w:pPr>
        <w:pStyle w:val="References"/>
        <w:rPr>
          <w:noProof/>
        </w:rPr>
      </w:pPr>
      <w:r w:rsidRPr="0050681D">
        <w:lastRenderedPageBreak/>
        <w:fldChar w:fldCharType="begin"/>
      </w:r>
      <w:r w:rsidRPr="0050681D">
        <w:instrText xml:space="preserve"> ADDIN EN.REFLIST </w:instrText>
      </w:r>
      <w:r w:rsidRPr="0050681D">
        <w:fldChar w:fldCharType="separate"/>
      </w:r>
      <w:r>
        <w:rPr>
          <w:noProof/>
        </w:rPr>
        <w:t>Julier, G. (2014)</w:t>
      </w:r>
      <w:r w:rsidRPr="0050681D">
        <w:rPr>
          <w:noProof/>
        </w:rPr>
        <w:t xml:space="preserve"> </w:t>
      </w:r>
      <w:r w:rsidRPr="0050681D">
        <w:rPr>
          <w:i/>
          <w:noProof/>
        </w:rPr>
        <w:t>The Culture of Design</w:t>
      </w:r>
      <w:r w:rsidRPr="0050681D">
        <w:rPr>
          <w:noProof/>
        </w:rPr>
        <w:t>, London: Sage Publications Ltd.</w:t>
      </w:r>
    </w:p>
    <w:p w14:paraId="1AA4B251" w14:textId="77777777" w:rsidR="001D2A74" w:rsidRPr="0050681D" w:rsidRDefault="001D2A74" w:rsidP="001D2A74">
      <w:pPr>
        <w:pStyle w:val="References"/>
        <w:rPr>
          <w:i/>
          <w:iCs/>
        </w:rPr>
      </w:pPr>
      <w:r w:rsidRPr="0050681D">
        <w:fldChar w:fldCharType="end"/>
      </w:r>
    </w:p>
    <w:p w14:paraId="3B59804D" w14:textId="34E557DA" w:rsidR="001D2A74" w:rsidRPr="00CE3979" w:rsidRDefault="001D2A74" w:rsidP="001D2A74">
      <w:pPr>
        <w:pStyle w:val="References"/>
      </w:pPr>
      <w:r w:rsidRPr="0050681D">
        <w:t>Margolin, V. (1994)</w:t>
      </w:r>
      <w:r>
        <w:t xml:space="preserve"> ‘</w:t>
      </w:r>
      <w:r w:rsidRPr="00F3380B">
        <w:t>Narrative Problems of Graphic Design History’</w:t>
      </w:r>
      <w:r w:rsidRPr="0050681D">
        <w:t xml:space="preserve"> </w:t>
      </w:r>
      <w:r w:rsidRPr="00F3380B">
        <w:rPr>
          <w:i/>
        </w:rPr>
        <w:t>Visible Language</w:t>
      </w:r>
      <w:r w:rsidRPr="0050681D">
        <w:t xml:space="preserve">, </w:t>
      </w:r>
      <w:r w:rsidRPr="00CE3979">
        <w:t>Vol.28(3</w:t>
      </w:r>
      <w:r w:rsidRPr="00E66909">
        <w:t>)</w:t>
      </w:r>
      <w:r w:rsidR="00014B16">
        <w:t xml:space="preserve"> </w:t>
      </w:r>
      <w:r w:rsidRPr="00E66909">
        <w:t>pp.233–43</w:t>
      </w:r>
      <w:r w:rsidRPr="00CE3979">
        <w:t xml:space="preserve"> </w:t>
      </w:r>
    </w:p>
    <w:p w14:paraId="63A3B690" w14:textId="77777777" w:rsidR="001D2A74" w:rsidRPr="00CE3979" w:rsidRDefault="001D2A74" w:rsidP="00D04968">
      <w:pPr>
        <w:pStyle w:val="References"/>
        <w:ind w:left="0" w:firstLine="0"/>
      </w:pPr>
    </w:p>
    <w:p w14:paraId="1A9FA135" w14:textId="77777777" w:rsidR="001D2A74" w:rsidRPr="001E23AC" w:rsidRDefault="001D2A74" w:rsidP="001D2A74">
      <w:pPr>
        <w:pStyle w:val="References"/>
      </w:pPr>
      <w:r w:rsidRPr="001E23AC">
        <w:t xml:space="preserve">Poyner, R. (2009) ‘Borderline’ </w:t>
      </w:r>
      <w:r w:rsidRPr="00AB66D0">
        <w:rPr>
          <w:i/>
        </w:rPr>
        <w:t>Eye</w:t>
      </w:r>
      <w:r w:rsidRPr="001E23AC">
        <w:t xml:space="preserve"> 71 (18), </w:t>
      </w:r>
      <w:hyperlink r:id="rId13" w:history="1">
        <w:r w:rsidRPr="00AF633C">
          <w:rPr>
            <w:rFonts w:eastAsiaTheme="minorHAnsi"/>
          </w:rPr>
          <w:t>http://www</w:t>
        </w:r>
      </w:hyperlink>
      <w:r w:rsidRPr="00AF633C">
        <w:t>.eyemagazine.com/feature/article/borderline</w:t>
      </w:r>
      <w:r w:rsidRPr="00AB66D0">
        <w:rPr>
          <w:color w:val="2F2A2B"/>
        </w:rPr>
        <w:t xml:space="preserve"> </w:t>
      </w:r>
      <w:r w:rsidRPr="001E23AC">
        <w:t>(accessed 31.12.18)</w:t>
      </w:r>
    </w:p>
    <w:p w14:paraId="78F8417F" w14:textId="77777777" w:rsidR="001D2A74" w:rsidRDefault="001D2A74" w:rsidP="001D2A74">
      <w:pPr>
        <w:pStyle w:val="References"/>
        <w:rPr>
          <w:rFonts w:eastAsiaTheme="minorEastAsia"/>
        </w:rPr>
      </w:pPr>
    </w:p>
    <w:p w14:paraId="66F59DC5" w14:textId="6B6C13E5" w:rsidR="001D2A74" w:rsidRPr="00FA5077" w:rsidRDefault="001D2A74" w:rsidP="001D2A74">
      <w:pPr>
        <w:pStyle w:val="References"/>
      </w:pPr>
      <w:r w:rsidRPr="00FA5077">
        <w:rPr>
          <w:rFonts w:eastAsiaTheme="minorHAnsi"/>
        </w:rPr>
        <w:t>Research Excellence Framework (2015) ‘Research Excellence Framework 2014: Overview Report by Main Panel D and Sub-Panels 27 to 36</w:t>
      </w:r>
      <w:r w:rsidR="009662E5">
        <w:rPr>
          <w:rFonts w:eastAsiaTheme="minorHAnsi"/>
        </w:rPr>
        <w:t>’</w:t>
      </w:r>
      <w:r w:rsidRPr="00FA5077">
        <w:rPr>
          <w:rFonts w:eastAsiaTheme="minorHAnsi"/>
        </w:rPr>
        <w:t xml:space="preserve"> Research Excellence Framework. </w:t>
      </w:r>
      <w:hyperlink r:id="rId14" w:history="1">
        <w:r w:rsidRPr="00144D83">
          <w:rPr>
            <w:rStyle w:val="Hyperlink"/>
            <w:rFonts w:eastAsiaTheme="minorHAnsi"/>
          </w:rPr>
          <w:t>https://www</w:t>
        </w:r>
      </w:hyperlink>
      <w:r w:rsidRPr="00FA5077">
        <w:rPr>
          <w:rFonts w:eastAsiaTheme="minorHAnsi"/>
          <w:color w:val="011994"/>
        </w:rPr>
        <w:t>.</w:t>
      </w:r>
      <w:r>
        <w:rPr>
          <w:rFonts w:eastAsiaTheme="minorHAnsi"/>
        </w:rPr>
        <w:t xml:space="preserve"> </w:t>
      </w:r>
      <w:r w:rsidRPr="00FA5077">
        <w:rPr>
          <w:rFonts w:eastAsiaTheme="minorHAnsi"/>
          <w:color w:val="011994"/>
        </w:rPr>
        <w:t>ref.ac.uk/2014/panels/</w:t>
      </w:r>
      <w:r>
        <w:rPr>
          <w:rFonts w:eastAsiaTheme="minorHAnsi"/>
          <w:color w:val="011994"/>
        </w:rPr>
        <w:t xml:space="preserve"> </w:t>
      </w:r>
      <w:r w:rsidRPr="00FA5077">
        <w:rPr>
          <w:rFonts w:eastAsiaTheme="minorHAnsi"/>
          <w:color w:val="011994"/>
        </w:rPr>
        <w:t>paneloverviewreports/</w:t>
      </w:r>
      <w:r w:rsidRPr="00FA5077">
        <w:rPr>
          <w:rFonts w:eastAsiaTheme="minorHAnsi"/>
          <w:color w:val="2F2A2B"/>
        </w:rPr>
        <w:t xml:space="preserve"> </w:t>
      </w:r>
      <w:r w:rsidRPr="00FA5077">
        <w:t>(accessed 17.10.17)</w:t>
      </w:r>
    </w:p>
    <w:p w14:paraId="2C4B9DC1" w14:textId="77777777" w:rsidR="001D2A74" w:rsidRPr="00FA5077" w:rsidRDefault="001D2A74" w:rsidP="00B91C50">
      <w:pPr>
        <w:pStyle w:val="References"/>
        <w:ind w:left="0" w:firstLine="0"/>
        <w:rPr>
          <w:rFonts w:eastAsiaTheme="minorHAnsi"/>
        </w:rPr>
      </w:pPr>
    </w:p>
    <w:p w14:paraId="24C4D672" w14:textId="77777777" w:rsidR="00DE07A3" w:rsidRDefault="001D2A74" w:rsidP="00D04968">
      <w:pPr>
        <w:pStyle w:val="References"/>
        <w:rPr>
          <w:rFonts w:eastAsiaTheme="minorHAnsi"/>
          <w:i/>
        </w:rPr>
      </w:pPr>
      <w:r w:rsidRPr="00FA5077">
        <w:rPr>
          <w:rFonts w:eastAsiaTheme="minorHAnsi"/>
        </w:rPr>
        <w:t xml:space="preserve">Ross, R. (2018) ‘Producing Knowledge with Billboards: Graphic Design &amp; Research’ </w:t>
      </w:r>
      <w:r w:rsidRPr="00FA5077">
        <w:rPr>
          <w:rFonts w:eastAsiaTheme="minorHAnsi"/>
          <w:i/>
        </w:rPr>
        <w:t xml:space="preserve">Design and Culture </w:t>
      </w:r>
    </w:p>
    <w:p w14:paraId="3D3D335A" w14:textId="77777777" w:rsidR="00DE07A3" w:rsidRDefault="00DE07A3" w:rsidP="00D04968">
      <w:pPr>
        <w:pStyle w:val="References"/>
      </w:pPr>
    </w:p>
    <w:p w14:paraId="55844986" w14:textId="3A296A76" w:rsidR="00DE07A3" w:rsidRPr="00DE07A3" w:rsidRDefault="00DE07A3" w:rsidP="00DE07A3">
      <w:pPr>
        <w:spacing w:line="240" w:lineRule="auto"/>
        <w:rPr>
          <w:lang w:eastAsia="en-US"/>
        </w:rPr>
      </w:pPr>
      <w:r w:rsidRPr="00DE07A3">
        <w:rPr>
          <w:lang w:eastAsia="en-US"/>
        </w:rPr>
        <w:t xml:space="preserve">Strauss, A. and Corbin, </w:t>
      </w:r>
      <w:r>
        <w:rPr>
          <w:lang w:eastAsia="en-US"/>
        </w:rPr>
        <w:t>J.</w:t>
      </w:r>
      <w:r w:rsidRPr="00DE07A3">
        <w:rPr>
          <w:lang w:eastAsia="en-US"/>
        </w:rPr>
        <w:t xml:space="preserve"> (1990). </w:t>
      </w:r>
      <w:r w:rsidRPr="00DE07A3">
        <w:rPr>
          <w:i/>
          <w:lang w:eastAsia="en-US"/>
        </w:rPr>
        <w:t>Basics of Grounded Theory Methods</w:t>
      </w:r>
      <w:r w:rsidRPr="00DE07A3">
        <w:rPr>
          <w:lang w:eastAsia="en-US"/>
        </w:rPr>
        <w:t>. Beverly Hills, CA: Sage</w:t>
      </w:r>
    </w:p>
    <w:p w14:paraId="128F3470" w14:textId="20CD47DE" w:rsidR="001D2A74" w:rsidRPr="00D04968" w:rsidRDefault="001D2A74" w:rsidP="00D04968">
      <w:pPr>
        <w:pStyle w:val="References"/>
        <w:rPr>
          <w:rFonts w:eastAsiaTheme="minorHAnsi"/>
        </w:rPr>
      </w:pPr>
    </w:p>
    <w:p w14:paraId="1ADB6C3B" w14:textId="77777777" w:rsidR="001D2A74" w:rsidRDefault="001D2A74" w:rsidP="001D2A74">
      <w:pPr>
        <w:pStyle w:val="References"/>
      </w:pPr>
      <w:r w:rsidRPr="00DF66A7">
        <w:t>Townsend, S. &amp; Armstrong, H. (2017) ‘</w:t>
      </w:r>
      <w:hyperlink r:id="rId15" w:history="1">
        <w:r w:rsidRPr="00DF66A7">
          <w:t>Introduction: The Value of Design in an Academic Context</w:t>
        </w:r>
      </w:hyperlink>
      <w:r w:rsidRPr="00DF66A7">
        <w:t xml:space="preserve">’ </w:t>
      </w:r>
      <w:hyperlink r:id="rId16" w:history="1">
        <w:r w:rsidRPr="00DF66A7">
          <w:rPr>
            <w:i/>
          </w:rPr>
          <w:t>Design and Culture</w:t>
        </w:r>
      </w:hyperlink>
      <w:r w:rsidRPr="00DF66A7">
        <w:t>, </w:t>
      </w:r>
      <w:hyperlink r:id="rId17" w:history="1">
        <w:r w:rsidRPr="00DF66A7">
          <w:t>Vol. 9(1</w:t>
        </w:r>
      </w:hyperlink>
      <w:r w:rsidRPr="00DF66A7">
        <w:t>) pp.67–68</w:t>
      </w:r>
      <w:r>
        <w:br/>
      </w:r>
    </w:p>
    <w:p w14:paraId="6ED3C81B" w14:textId="4F6A5717" w:rsidR="001D2A74" w:rsidRDefault="001D2A74" w:rsidP="001D2A74">
      <w:pPr>
        <w:pStyle w:val="References"/>
      </w:pPr>
      <w:r w:rsidRPr="00DF66A7">
        <w:t>Triggs, T. (2011) ‘</w:t>
      </w:r>
      <w:r w:rsidRPr="00DF66A7">
        <w:rPr>
          <w:bCs/>
        </w:rPr>
        <w:t xml:space="preserve">Graphic Design History: Past, Present, and Future’ </w:t>
      </w:r>
      <w:r w:rsidRPr="00DF66A7">
        <w:rPr>
          <w:i/>
        </w:rPr>
        <w:t>Design Issues</w:t>
      </w:r>
      <w:r w:rsidRPr="00DF66A7">
        <w:t>: Vol.27(1) pp.3–6</w:t>
      </w:r>
      <w:r>
        <w:br/>
      </w:r>
    </w:p>
    <w:p w14:paraId="4DB0A83F" w14:textId="7EF89AEF" w:rsidR="001D2A74" w:rsidRDefault="001D2A74" w:rsidP="001D2A74">
      <w:pPr>
        <w:pStyle w:val="References"/>
      </w:pPr>
      <w:r w:rsidRPr="00E66909">
        <w:t xml:space="preserve">Universities UK (2015) </w:t>
      </w:r>
      <w:r w:rsidRPr="00E66909">
        <w:rPr>
          <w:i/>
        </w:rPr>
        <w:t>Patterns and Trends in UK Higher Education</w:t>
      </w:r>
      <w:r w:rsidRPr="00E66909">
        <w:t xml:space="preserve"> </w:t>
      </w:r>
      <w:hyperlink r:id="rId18" w:history="1">
        <w:r w:rsidRPr="00B13304">
          <w:t>https://www.universitiesuk.ac.uk/policy-and-analysis/reports/Documents/2015/patterns-and-trends-2015.pdf</w:t>
        </w:r>
      </w:hyperlink>
      <w:r w:rsidRPr="00E66909">
        <w:t xml:space="preserve"> </w:t>
      </w:r>
      <w:r w:rsidRPr="00C62319">
        <w:rPr>
          <w:iCs/>
        </w:rPr>
        <w:t>(accessed 5.12.18)</w:t>
      </w:r>
      <w:r>
        <w:br/>
      </w:r>
    </w:p>
    <w:p w14:paraId="0D335D38" w14:textId="31958AB7" w:rsidR="001D2A74" w:rsidRDefault="001D2A74" w:rsidP="001D2A74">
      <w:pPr>
        <w:pStyle w:val="References"/>
        <w:rPr>
          <w:lang w:val="en-US"/>
        </w:rPr>
      </w:pPr>
      <w:r w:rsidRPr="00AB66D0">
        <w:rPr>
          <w:lang w:val="en-US"/>
        </w:rPr>
        <w:t>v</w:t>
      </w:r>
      <w:r w:rsidRPr="00AB66D0">
        <w:t xml:space="preserve">an der </w:t>
      </w:r>
      <w:r w:rsidRPr="003179F3">
        <w:t xml:space="preserve">Waarde, K. (2009) </w:t>
      </w:r>
      <w:r w:rsidRPr="003179F3">
        <w:rPr>
          <w:i/>
        </w:rPr>
        <w:t>On graphic design: listening</w:t>
      </w:r>
      <w:r w:rsidRPr="003179F3">
        <w:rPr>
          <w:i/>
          <w:lang w:val="en-US"/>
        </w:rPr>
        <w:t xml:space="preserve"> to the reader</w:t>
      </w:r>
      <w:r w:rsidRPr="003179F3">
        <w:rPr>
          <w:lang w:val="en-US"/>
        </w:rPr>
        <w:t>, Avans Hogeschool Research Group Visual Rhetoric AKV</w:t>
      </w:r>
      <w:r w:rsidR="009662E5">
        <w:rPr>
          <w:lang w:val="en-US"/>
        </w:rPr>
        <w:t>,</w:t>
      </w:r>
      <w:r w:rsidRPr="003179F3">
        <w:rPr>
          <w:lang w:val="en-US"/>
        </w:rPr>
        <w:t xml:space="preserve"> St. Joost</w:t>
      </w:r>
      <w:r>
        <w:rPr>
          <w:lang w:val="en-US"/>
        </w:rPr>
        <w:br/>
      </w:r>
    </w:p>
    <w:p w14:paraId="068BE924" w14:textId="79528603" w:rsidR="001D2A74" w:rsidRDefault="001D2A74" w:rsidP="001D2A74">
      <w:pPr>
        <w:pStyle w:val="References"/>
        <w:rPr>
          <w:lang w:val="en-US"/>
        </w:rPr>
      </w:pPr>
      <w:r>
        <w:rPr>
          <w:lang w:val="en-US"/>
        </w:rPr>
        <w:lastRenderedPageBreak/>
        <w:t xml:space="preserve">van der </w:t>
      </w:r>
      <w:r w:rsidRPr="0050681D">
        <w:rPr>
          <w:lang w:val="en-US"/>
        </w:rPr>
        <w:t>Waarde, K. &amp; Vroombout, M. (201</w:t>
      </w:r>
      <w:r w:rsidR="00D04968">
        <w:rPr>
          <w:lang w:val="en-US"/>
        </w:rPr>
        <w:t>2</w:t>
      </w:r>
      <w:r w:rsidRPr="0050681D">
        <w:rPr>
          <w:lang w:val="en-US"/>
        </w:rPr>
        <w:t>)</w:t>
      </w:r>
      <w:r>
        <w:rPr>
          <w:lang w:val="en-US"/>
        </w:rPr>
        <w:t xml:space="preserve"> ‘</w:t>
      </w:r>
      <w:r w:rsidRPr="00F3380B">
        <w:rPr>
          <w:lang w:val="en-US"/>
        </w:rPr>
        <w:t>Communication Design Education: could nine reflections be sufficient?’</w:t>
      </w:r>
      <w:r>
        <w:rPr>
          <w:lang w:val="en-US"/>
        </w:rPr>
        <w:t xml:space="preserve">, </w:t>
      </w:r>
      <w:r w:rsidRPr="00F3380B">
        <w:rPr>
          <w:i/>
          <w:lang w:val="en-US"/>
        </w:rPr>
        <w:t xml:space="preserve">Visible </w:t>
      </w:r>
      <w:r w:rsidR="007E50A9">
        <w:rPr>
          <w:i/>
          <w:lang w:val="en-US"/>
        </w:rPr>
        <w:t>L</w:t>
      </w:r>
      <w:r w:rsidRPr="00F3380B">
        <w:rPr>
          <w:i/>
          <w:lang w:val="en-US"/>
        </w:rPr>
        <w:t>anguage</w:t>
      </w:r>
      <w:r w:rsidRPr="0050681D">
        <w:rPr>
          <w:lang w:val="en-US"/>
        </w:rPr>
        <w:t xml:space="preserve"> </w:t>
      </w:r>
      <w:r>
        <w:rPr>
          <w:lang w:val="en-US"/>
        </w:rPr>
        <w:t>Vol.46(1–2), pp.</w:t>
      </w:r>
      <w:r w:rsidRPr="0050681D">
        <w:rPr>
          <w:lang w:val="en-US"/>
        </w:rPr>
        <w:t>8–35</w:t>
      </w:r>
      <w:r>
        <w:rPr>
          <w:lang w:val="en-US"/>
        </w:rPr>
        <w:br/>
      </w:r>
    </w:p>
    <w:p w14:paraId="407BBB9B" w14:textId="18ECD29D" w:rsidR="001D2A74" w:rsidRDefault="001D2A74" w:rsidP="001D2A74">
      <w:pPr>
        <w:pStyle w:val="References"/>
      </w:pPr>
      <w:r>
        <w:rPr>
          <w:lang w:val="en-US"/>
        </w:rPr>
        <w:t xml:space="preserve">van der </w:t>
      </w:r>
      <w:r w:rsidRPr="0050681D">
        <w:rPr>
          <w:lang w:val="en-US"/>
        </w:rPr>
        <w:t xml:space="preserve">Waarde, K. (2014) ‘Graphic design: focus on nine professional reflections?’ </w:t>
      </w:r>
      <w:r w:rsidRPr="0050681D">
        <w:rPr>
          <w:i/>
          <w:lang w:val="en-US"/>
        </w:rPr>
        <w:t>Design Research Society Conference</w:t>
      </w:r>
      <w:r w:rsidRPr="0050681D">
        <w:rPr>
          <w:lang w:val="en-US"/>
        </w:rPr>
        <w:t xml:space="preserve"> Umea</w:t>
      </w:r>
      <w:r>
        <w:br/>
      </w:r>
    </w:p>
    <w:p w14:paraId="65D9059E" w14:textId="575F7C1E" w:rsidR="001D2A74" w:rsidRPr="0050681D" w:rsidRDefault="001D2A74" w:rsidP="001D2A74">
      <w:pPr>
        <w:pStyle w:val="References"/>
      </w:pPr>
      <w:r w:rsidRPr="0050681D">
        <w:t xml:space="preserve">Walker, S., (2017) </w:t>
      </w:r>
      <w:r>
        <w:t>‘</w:t>
      </w:r>
      <w:r w:rsidRPr="0050681D">
        <w:t>Research in Graphic Design</w:t>
      </w:r>
      <w:r>
        <w:t>’</w:t>
      </w:r>
      <w:r w:rsidRPr="0050681D">
        <w:t xml:space="preserve"> </w:t>
      </w:r>
      <w:r w:rsidRPr="00F3380B">
        <w:rPr>
          <w:i/>
        </w:rPr>
        <w:t>The Design Journal</w:t>
      </w:r>
      <w:r>
        <w:t xml:space="preserve"> Vol.20(</w:t>
      </w:r>
      <w:r w:rsidRPr="0050681D">
        <w:t>5</w:t>
      </w:r>
      <w:r>
        <w:t>), pp.549–</w:t>
      </w:r>
      <w:r w:rsidRPr="0050681D">
        <w:t>559</w:t>
      </w:r>
    </w:p>
    <w:p w14:paraId="51B97635" w14:textId="77777777" w:rsidR="001D2A74" w:rsidRPr="00FB5B89" w:rsidRDefault="001D2A74" w:rsidP="001D2A74">
      <w:pPr>
        <w:pStyle w:val="References"/>
        <w:rPr>
          <w:rStyle w:val="Hyperlink"/>
        </w:rPr>
      </w:pPr>
    </w:p>
    <w:p w14:paraId="793FEDE5" w14:textId="4384D9A6" w:rsidR="00FE4713" w:rsidRDefault="001D2A74" w:rsidP="00975BA8">
      <w:pPr>
        <w:pStyle w:val="References"/>
      </w:pPr>
      <w:r w:rsidRPr="00FB5B89">
        <w:t>Wikipedia (2018,) ‘Universities in the U</w:t>
      </w:r>
      <w:r>
        <w:t>nited Kingdom’</w:t>
      </w:r>
      <w:r w:rsidRPr="00FB5B89">
        <w:t xml:space="preserve"> </w:t>
      </w:r>
      <w:hyperlink r:id="rId19" w:anchor="Categorisation" w:history="1">
        <w:r w:rsidRPr="00B13304">
          <w:t>https://en.wikipedia.org/wiki/Universities_in_the_United_Kingdom#Categorisation</w:t>
        </w:r>
      </w:hyperlink>
      <w:r>
        <w:t xml:space="preserve"> (accessed 8.12.18)</w:t>
      </w:r>
    </w:p>
    <w:sectPr w:rsidR="00FE4713" w:rsidSect="00165A2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8C1CF" w14:textId="77777777" w:rsidR="005F3C6F" w:rsidRDefault="005F3C6F" w:rsidP="00AF2C92">
      <w:r>
        <w:separator/>
      </w:r>
    </w:p>
  </w:endnote>
  <w:endnote w:type="continuationSeparator" w:id="0">
    <w:p w14:paraId="28ABE6AD" w14:textId="77777777" w:rsidR="005F3C6F" w:rsidRDefault="005F3C6F"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panose1 w:val="02040503050306020203"/>
    <w:charset w:val="4D"/>
    <w:family w:val="auto"/>
    <w:notTrueType/>
    <w:pitch w:val="default"/>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21890" w14:textId="77777777" w:rsidR="005F3C6F" w:rsidRDefault="005F3C6F" w:rsidP="00AF2C92">
      <w:r>
        <w:separator/>
      </w:r>
    </w:p>
  </w:footnote>
  <w:footnote w:type="continuationSeparator" w:id="0">
    <w:p w14:paraId="7329C271" w14:textId="77777777" w:rsidR="005F3C6F" w:rsidRDefault="005F3C6F"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F1644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BC0B64"/>
    <w:lvl w:ilvl="0">
      <w:start w:val="1"/>
      <w:numFmt w:val="decimal"/>
      <w:lvlText w:val="%1."/>
      <w:lvlJc w:val="left"/>
      <w:pPr>
        <w:tabs>
          <w:tab w:val="num" w:pos="1209"/>
        </w:tabs>
        <w:ind w:left="1209" w:hanging="360"/>
      </w:pPr>
    </w:lvl>
  </w:abstractNum>
  <w:abstractNum w:abstractNumId="3" w15:restartNumberingAfterBreak="0">
    <w:nsid w:val="FFFFFF7E"/>
    <w:multiLevelType w:val="multilevel"/>
    <w:tmpl w:val="BA6AEF24"/>
    <w:lvl w:ilvl="0">
      <w:start w:val="1"/>
      <w:numFmt w:val="decimal"/>
      <w:pStyle w:val="ListNumber3"/>
      <w:lvlText w:val="%1."/>
      <w:lvlJc w:val="left"/>
      <w:pPr>
        <w:tabs>
          <w:tab w:val="num" w:pos="926"/>
        </w:tabs>
        <w:ind w:left="926" w:hanging="360"/>
      </w:pPr>
    </w:lvl>
    <w:lvl w:ilvl="1">
      <w:start w:val="3"/>
      <w:numFmt w:val="decimal"/>
      <w:isLgl/>
      <w:lvlText w:val="%1.%2"/>
      <w:lvlJc w:val="left"/>
      <w:pPr>
        <w:ind w:left="926" w:hanging="360"/>
      </w:pPr>
      <w:rPr>
        <w:rFonts w:cs="Arial" w:hint="default"/>
        <w:b/>
        <w:i/>
      </w:rPr>
    </w:lvl>
    <w:lvl w:ilvl="2">
      <w:start w:val="1"/>
      <w:numFmt w:val="decimal"/>
      <w:isLgl/>
      <w:lvlText w:val="%1.%2.%3"/>
      <w:lvlJc w:val="left"/>
      <w:pPr>
        <w:ind w:left="1286" w:hanging="720"/>
      </w:pPr>
      <w:rPr>
        <w:rFonts w:cs="Arial" w:hint="default"/>
        <w:b/>
        <w:i/>
      </w:rPr>
    </w:lvl>
    <w:lvl w:ilvl="3">
      <w:start w:val="1"/>
      <w:numFmt w:val="decimal"/>
      <w:isLgl/>
      <w:lvlText w:val="%1.%2.%3.%4"/>
      <w:lvlJc w:val="left"/>
      <w:pPr>
        <w:ind w:left="1286" w:hanging="720"/>
      </w:pPr>
      <w:rPr>
        <w:rFonts w:cs="Arial" w:hint="default"/>
        <w:b/>
        <w:i/>
      </w:rPr>
    </w:lvl>
    <w:lvl w:ilvl="4">
      <w:start w:val="1"/>
      <w:numFmt w:val="decimal"/>
      <w:isLgl/>
      <w:lvlText w:val="%1.%2.%3.%4.%5"/>
      <w:lvlJc w:val="left"/>
      <w:pPr>
        <w:ind w:left="1646" w:hanging="1080"/>
      </w:pPr>
      <w:rPr>
        <w:rFonts w:cs="Arial" w:hint="default"/>
        <w:b/>
        <w:i/>
      </w:rPr>
    </w:lvl>
    <w:lvl w:ilvl="5">
      <w:start w:val="1"/>
      <w:numFmt w:val="decimal"/>
      <w:isLgl/>
      <w:lvlText w:val="%1.%2.%3.%4.%5.%6"/>
      <w:lvlJc w:val="left"/>
      <w:pPr>
        <w:ind w:left="1646" w:hanging="1080"/>
      </w:pPr>
      <w:rPr>
        <w:rFonts w:cs="Arial" w:hint="default"/>
        <w:b/>
        <w:i/>
      </w:rPr>
    </w:lvl>
    <w:lvl w:ilvl="6">
      <w:start w:val="1"/>
      <w:numFmt w:val="decimal"/>
      <w:isLgl/>
      <w:lvlText w:val="%1.%2.%3.%4.%5.%6.%7"/>
      <w:lvlJc w:val="left"/>
      <w:pPr>
        <w:ind w:left="2006" w:hanging="1440"/>
      </w:pPr>
      <w:rPr>
        <w:rFonts w:cs="Arial" w:hint="default"/>
        <w:b/>
        <w:i/>
      </w:rPr>
    </w:lvl>
    <w:lvl w:ilvl="7">
      <w:start w:val="1"/>
      <w:numFmt w:val="decimal"/>
      <w:isLgl/>
      <w:lvlText w:val="%1.%2.%3.%4.%5.%6.%7.%8"/>
      <w:lvlJc w:val="left"/>
      <w:pPr>
        <w:ind w:left="2006" w:hanging="1440"/>
      </w:pPr>
      <w:rPr>
        <w:rFonts w:cs="Arial" w:hint="default"/>
        <w:b/>
        <w:i/>
      </w:rPr>
    </w:lvl>
    <w:lvl w:ilvl="8">
      <w:start w:val="1"/>
      <w:numFmt w:val="decimal"/>
      <w:isLgl/>
      <w:lvlText w:val="%1.%2.%3.%4.%5.%6.%7.%8.%9"/>
      <w:lvlJc w:val="left"/>
      <w:pPr>
        <w:ind w:left="2366" w:hanging="1800"/>
      </w:pPr>
      <w:rPr>
        <w:rFonts w:cs="Arial" w:hint="default"/>
        <w:b/>
        <w:i/>
      </w:rPr>
    </w:lvl>
  </w:abstractNum>
  <w:abstractNum w:abstractNumId="4" w15:restartNumberingAfterBreak="0">
    <w:nsid w:val="FFFFFF7F"/>
    <w:multiLevelType w:val="singleLevel"/>
    <w:tmpl w:val="7D8012AC"/>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8B54B3A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2AC51E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598B13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7F82F44"/>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F07D71"/>
    <w:multiLevelType w:val="multilevel"/>
    <w:tmpl w:val="3326A22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1E9874E1"/>
    <w:multiLevelType w:val="multilevel"/>
    <w:tmpl w:val="614AA82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pStyle w:val="xHeading3"/>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8384B35"/>
    <w:multiLevelType w:val="multilevel"/>
    <w:tmpl w:val="D9B8E5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5B14F7"/>
    <w:multiLevelType w:val="multilevel"/>
    <w:tmpl w:val="C90ECE1A"/>
    <w:lvl w:ilvl="0">
      <w:start w:val="1"/>
      <w:numFmt w:val="decimal"/>
      <w:lvlText w:val="%1"/>
      <w:lvlJc w:val="left"/>
      <w:pPr>
        <w:ind w:left="432" w:hanging="432"/>
      </w:pPr>
      <w:rPr>
        <w:rFonts w:hint="default"/>
        <w:sz w:val="28"/>
      </w:rPr>
    </w:lvl>
    <w:lvl w:ilvl="1">
      <w:start w:val="1"/>
      <w:numFmt w:val="decimal"/>
      <w:lvlText w:val="%1.%2"/>
      <w:lvlJc w:val="left"/>
      <w:pPr>
        <w:ind w:left="576" w:hanging="576"/>
      </w:pPr>
      <w:rPr>
        <w:rFonts w:hint="default"/>
        <w:b/>
        <w:sz w:val="24"/>
      </w:rPr>
    </w:lvl>
    <w:lvl w:ilvl="2">
      <w:start w:val="1"/>
      <w:numFmt w:val="decimal"/>
      <w:lvlText w:val="%1.%2.%3"/>
      <w:lvlJc w:val="left"/>
      <w:pPr>
        <w:ind w:left="720" w:hanging="720"/>
      </w:pPr>
      <w:rPr>
        <w:rFonts w:hint="default"/>
        <w:i/>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08306F"/>
    <w:multiLevelType w:val="multilevel"/>
    <w:tmpl w:val="8B3275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8540C3B"/>
    <w:multiLevelType w:val="hybridMultilevel"/>
    <w:tmpl w:val="688C26DA"/>
    <w:lvl w:ilvl="0" w:tplc="2A94CE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3"/>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4"/>
  </w:num>
  <w:num w:numId="15">
    <w:abstractNumId w:val="16"/>
  </w:num>
  <w:num w:numId="16">
    <w:abstractNumId w:val="18"/>
  </w:num>
  <w:num w:numId="17">
    <w:abstractNumId w:val="11"/>
  </w:num>
  <w:num w:numId="18">
    <w:abstractNumId w:val="0"/>
  </w:num>
  <w:num w:numId="19">
    <w:abstractNumId w:val="12"/>
  </w:num>
  <w:num w:numId="20">
    <w:abstractNumId w:val="24"/>
  </w:num>
  <w:num w:numId="21">
    <w:abstractNumId w:val="24"/>
  </w:num>
  <w:num w:numId="22">
    <w:abstractNumId w:val="24"/>
  </w:num>
  <w:num w:numId="23">
    <w:abstractNumId w:val="24"/>
  </w:num>
  <w:num w:numId="24">
    <w:abstractNumId w:val="19"/>
  </w:num>
  <w:num w:numId="25">
    <w:abstractNumId w:val="20"/>
  </w:num>
  <w:num w:numId="26">
    <w:abstractNumId w:val="25"/>
  </w:num>
  <w:num w:numId="27">
    <w:abstractNumId w:val="26"/>
  </w:num>
  <w:num w:numId="28">
    <w:abstractNumId w:val="24"/>
  </w:num>
  <w:num w:numId="29">
    <w:abstractNumId w:val="15"/>
  </w:num>
  <w:num w:numId="30">
    <w:abstractNumId w:val="27"/>
  </w:num>
  <w:num w:numId="31">
    <w:abstractNumId w:val="13"/>
  </w:num>
  <w:num w:numId="32">
    <w:abstractNumId w:val="22"/>
  </w:num>
  <w:num w:numId="33">
    <w:abstractNumId w:val="14"/>
  </w:num>
  <w:num w:numId="34">
    <w:abstractNumId w:val="21"/>
  </w:num>
  <w:num w:numId="35">
    <w:abstractNumId w:val="29"/>
  </w:num>
  <w:num w:numId="36">
    <w:abstractNumId w:val="28"/>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hideSpellingErrors/>
  <w:hideGrammaticalErrors/>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A5"/>
    <w:rsid w:val="00001612"/>
    <w:rsid w:val="00001899"/>
    <w:rsid w:val="000041D6"/>
    <w:rsid w:val="000049AD"/>
    <w:rsid w:val="0001135E"/>
    <w:rsid w:val="000133C0"/>
    <w:rsid w:val="00014B16"/>
    <w:rsid w:val="00014C4E"/>
    <w:rsid w:val="00017107"/>
    <w:rsid w:val="000202E2"/>
    <w:rsid w:val="00020D6F"/>
    <w:rsid w:val="00022441"/>
    <w:rsid w:val="0002261E"/>
    <w:rsid w:val="00024839"/>
    <w:rsid w:val="00026871"/>
    <w:rsid w:val="00037A98"/>
    <w:rsid w:val="00037C1E"/>
    <w:rsid w:val="00040EE4"/>
    <w:rsid w:val="000427FB"/>
    <w:rsid w:val="0004455E"/>
    <w:rsid w:val="00047CB5"/>
    <w:rsid w:val="00051FAA"/>
    <w:rsid w:val="00052440"/>
    <w:rsid w:val="000572A9"/>
    <w:rsid w:val="00061325"/>
    <w:rsid w:val="000733AC"/>
    <w:rsid w:val="00074D22"/>
    <w:rsid w:val="00075081"/>
    <w:rsid w:val="0007528A"/>
    <w:rsid w:val="000811AB"/>
    <w:rsid w:val="00081D78"/>
    <w:rsid w:val="00083C5F"/>
    <w:rsid w:val="00087408"/>
    <w:rsid w:val="0009172C"/>
    <w:rsid w:val="000930EC"/>
    <w:rsid w:val="00095E61"/>
    <w:rsid w:val="00096566"/>
    <w:rsid w:val="000966C1"/>
    <w:rsid w:val="000970AC"/>
    <w:rsid w:val="000A1167"/>
    <w:rsid w:val="000A4428"/>
    <w:rsid w:val="000A6CE7"/>
    <w:rsid w:val="000A6D40"/>
    <w:rsid w:val="000A7BC3"/>
    <w:rsid w:val="000B1661"/>
    <w:rsid w:val="000B2E88"/>
    <w:rsid w:val="000B4603"/>
    <w:rsid w:val="000C09BE"/>
    <w:rsid w:val="000C1380"/>
    <w:rsid w:val="000C3C55"/>
    <w:rsid w:val="000C554F"/>
    <w:rsid w:val="000D0DC5"/>
    <w:rsid w:val="000D15FF"/>
    <w:rsid w:val="000D28DF"/>
    <w:rsid w:val="000D488B"/>
    <w:rsid w:val="000D68DF"/>
    <w:rsid w:val="000D6CA9"/>
    <w:rsid w:val="000E138D"/>
    <w:rsid w:val="000E187A"/>
    <w:rsid w:val="000E2D61"/>
    <w:rsid w:val="000E450E"/>
    <w:rsid w:val="000E6259"/>
    <w:rsid w:val="000E6927"/>
    <w:rsid w:val="000F4677"/>
    <w:rsid w:val="000F4A1F"/>
    <w:rsid w:val="000F5BE0"/>
    <w:rsid w:val="000F6AD0"/>
    <w:rsid w:val="00100587"/>
    <w:rsid w:val="00100B31"/>
    <w:rsid w:val="00100C2A"/>
    <w:rsid w:val="0010284E"/>
    <w:rsid w:val="00103122"/>
    <w:rsid w:val="0010336A"/>
    <w:rsid w:val="001050F1"/>
    <w:rsid w:val="00105AEA"/>
    <w:rsid w:val="00106DAF"/>
    <w:rsid w:val="00113083"/>
    <w:rsid w:val="0011375E"/>
    <w:rsid w:val="00113DC8"/>
    <w:rsid w:val="00114105"/>
    <w:rsid w:val="00116023"/>
    <w:rsid w:val="0012553E"/>
    <w:rsid w:val="0013131D"/>
    <w:rsid w:val="00134A0B"/>
    <w:rsid w:val="00134A51"/>
    <w:rsid w:val="00140727"/>
    <w:rsid w:val="001462CA"/>
    <w:rsid w:val="001532CF"/>
    <w:rsid w:val="00153E58"/>
    <w:rsid w:val="00155595"/>
    <w:rsid w:val="00160628"/>
    <w:rsid w:val="00161344"/>
    <w:rsid w:val="00162195"/>
    <w:rsid w:val="0016322A"/>
    <w:rsid w:val="00165A21"/>
    <w:rsid w:val="001672B5"/>
    <w:rsid w:val="001705CE"/>
    <w:rsid w:val="00172195"/>
    <w:rsid w:val="00173C88"/>
    <w:rsid w:val="0017714B"/>
    <w:rsid w:val="001804DF"/>
    <w:rsid w:val="00181571"/>
    <w:rsid w:val="00181BDC"/>
    <w:rsid w:val="00181C67"/>
    <w:rsid w:val="00181DB0"/>
    <w:rsid w:val="00182894"/>
    <w:rsid w:val="001829E3"/>
    <w:rsid w:val="00193394"/>
    <w:rsid w:val="0019515F"/>
    <w:rsid w:val="0019731E"/>
    <w:rsid w:val="001A09FE"/>
    <w:rsid w:val="001A1D22"/>
    <w:rsid w:val="001A5292"/>
    <w:rsid w:val="001A67C9"/>
    <w:rsid w:val="001A69DE"/>
    <w:rsid w:val="001B1AF2"/>
    <w:rsid w:val="001B1C7C"/>
    <w:rsid w:val="001B398F"/>
    <w:rsid w:val="001B3DC7"/>
    <w:rsid w:val="001B46C6"/>
    <w:rsid w:val="001B4B48"/>
    <w:rsid w:val="001B4D1F"/>
    <w:rsid w:val="001B7681"/>
    <w:rsid w:val="001B7CAE"/>
    <w:rsid w:val="001C0772"/>
    <w:rsid w:val="001C0D4F"/>
    <w:rsid w:val="001C1DEC"/>
    <w:rsid w:val="001C4935"/>
    <w:rsid w:val="001C5736"/>
    <w:rsid w:val="001C6970"/>
    <w:rsid w:val="001D2A74"/>
    <w:rsid w:val="001D4A49"/>
    <w:rsid w:val="001D4A79"/>
    <w:rsid w:val="001E0572"/>
    <w:rsid w:val="001E0620"/>
    <w:rsid w:val="001E0A67"/>
    <w:rsid w:val="001E0EB1"/>
    <w:rsid w:val="001E1028"/>
    <w:rsid w:val="001E14E2"/>
    <w:rsid w:val="001E312D"/>
    <w:rsid w:val="001E6302"/>
    <w:rsid w:val="001E7DCB"/>
    <w:rsid w:val="001F13C8"/>
    <w:rsid w:val="001F3411"/>
    <w:rsid w:val="001F4287"/>
    <w:rsid w:val="001F4DBA"/>
    <w:rsid w:val="0020415E"/>
    <w:rsid w:val="00204FF4"/>
    <w:rsid w:val="0020639C"/>
    <w:rsid w:val="00210028"/>
    <w:rsid w:val="0021056E"/>
    <w:rsid w:val="0021075D"/>
    <w:rsid w:val="0021165A"/>
    <w:rsid w:val="00211BC9"/>
    <w:rsid w:val="00212E5C"/>
    <w:rsid w:val="0021620C"/>
    <w:rsid w:val="00216E78"/>
    <w:rsid w:val="00217275"/>
    <w:rsid w:val="002176A7"/>
    <w:rsid w:val="00222D70"/>
    <w:rsid w:val="00231BB0"/>
    <w:rsid w:val="00231C68"/>
    <w:rsid w:val="00236F4B"/>
    <w:rsid w:val="00242B0D"/>
    <w:rsid w:val="0024337E"/>
    <w:rsid w:val="002467C6"/>
    <w:rsid w:val="0024692A"/>
    <w:rsid w:val="0025196B"/>
    <w:rsid w:val="00252BBA"/>
    <w:rsid w:val="00253123"/>
    <w:rsid w:val="00264001"/>
    <w:rsid w:val="00266354"/>
    <w:rsid w:val="00267A18"/>
    <w:rsid w:val="002729C7"/>
    <w:rsid w:val="00273462"/>
    <w:rsid w:val="0027395B"/>
    <w:rsid w:val="00275533"/>
    <w:rsid w:val="00275854"/>
    <w:rsid w:val="00283B41"/>
    <w:rsid w:val="00285F28"/>
    <w:rsid w:val="00286398"/>
    <w:rsid w:val="00287DE7"/>
    <w:rsid w:val="002A3C42"/>
    <w:rsid w:val="002A5D75"/>
    <w:rsid w:val="002B1B1A"/>
    <w:rsid w:val="002B5336"/>
    <w:rsid w:val="002B7228"/>
    <w:rsid w:val="002C4823"/>
    <w:rsid w:val="002C53EE"/>
    <w:rsid w:val="002C5F7B"/>
    <w:rsid w:val="002D24F7"/>
    <w:rsid w:val="002D2799"/>
    <w:rsid w:val="002D2CD7"/>
    <w:rsid w:val="002D4DDC"/>
    <w:rsid w:val="002D4F75"/>
    <w:rsid w:val="002D6493"/>
    <w:rsid w:val="002D7AB6"/>
    <w:rsid w:val="002E06D0"/>
    <w:rsid w:val="002E3C27"/>
    <w:rsid w:val="002E403A"/>
    <w:rsid w:val="002E6551"/>
    <w:rsid w:val="002E7F3A"/>
    <w:rsid w:val="002F32D5"/>
    <w:rsid w:val="002F4EDB"/>
    <w:rsid w:val="002F6054"/>
    <w:rsid w:val="00304AD3"/>
    <w:rsid w:val="00306917"/>
    <w:rsid w:val="00306ADF"/>
    <w:rsid w:val="003141FC"/>
    <w:rsid w:val="00314D07"/>
    <w:rsid w:val="00315713"/>
    <w:rsid w:val="00316059"/>
    <w:rsid w:val="0031686C"/>
    <w:rsid w:val="00316FE0"/>
    <w:rsid w:val="003204D2"/>
    <w:rsid w:val="0032605E"/>
    <w:rsid w:val="003275D1"/>
    <w:rsid w:val="00330B2A"/>
    <w:rsid w:val="00331E17"/>
    <w:rsid w:val="00333063"/>
    <w:rsid w:val="00337142"/>
    <w:rsid w:val="003408E3"/>
    <w:rsid w:val="00341468"/>
    <w:rsid w:val="00343480"/>
    <w:rsid w:val="00345E89"/>
    <w:rsid w:val="00346126"/>
    <w:rsid w:val="003522A1"/>
    <w:rsid w:val="0035254B"/>
    <w:rsid w:val="00353555"/>
    <w:rsid w:val="003565D4"/>
    <w:rsid w:val="00356F39"/>
    <w:rsid w:val="003607FB"/>
    <w:rsid w:val="00360FD5"/>
    <w:rsid w:val="003634A5"/>
    <w:rsid w:val="00364E43"/>
    <w:rsid w:val="00365D98"/>
    <w:rsid w:val="00366868"/>
    <w:rsid w:val="00367506"/>
    <w:rsid w:val="00370085"/>
    <w:rsid w:val="003744A7"/>
    <w:rsid w:val="00374D67"/>
    <w:rsid w:val="00376235"/>
    <w:rsid w:val="00381FB6"/>
    <w:rsid w:val="003823D8"/>
    <w:rsid w:val="003836D3"/>
    <w:rsid w:val="00383A52"/>
    <w:rsid w:val="00383E5F"/>
    <w:rsid w:val="00391652"/>
    <w:rsid w:val="0039507F"/>
    <w:rsid w:val="003A1260"/>
    <w:rsid w:val="003A295F"/>
    <w:rsid w:val="003A2FCD"/>
    <w:rsid w:val="003A41DD"/>
    <w:rsid w:val="003A7033"/>
    <w:rsid w:val="003B47FE"/>
    <w:rsid w:val="003B5673"/>
    <w:rsid w:val="003B62C9"/>
    <w:rsid w:val="003B78BE"/>
    <w:rsid w:val="003C4A0D"/>
    <w:rsid w:val="003C7176"/>
    <w:rsid w:val="003C7787"/>
    <w:rsid w:val="003D0929"/>
    <w:rsid w:val="003D4729"/>
    <w:rsid w:val="003D7DD6"/>
    <w:rsid w:val="003E1A0A"/>
    <w:rsid w:val="003E5AAF"/>
    <w:rsid w:val="003E600D"/>
    <w:rsid w:val="003E64DF"/>
    <w:rsid w:val="003E6A5D"/>
    <w:rsid w:val="003E7B5D"/>
    <w:rsid w:val="003F193A"/>
    <w:rsid w:val="003F4207"/>
    <w:rsid w:val="003F5C46"/>
    <w:rsid w:val="003F7A33"/>
    <w:rsid w:val="003F7CBB"/>
    <w:rsid w:val="003F7D34"/>
    <w:rsid w:val="00401FC3"/>
    <w:rsid w:val="00405DF0"/>
    <w:rsid w:val="004124DE"/>
    <w:rsid w:val="00412C8E"/>
    <w:rsid w:val="0041518D"/>
    <w:rsid w:val="00415424"/>
    <w:rsid w:val="004203BC"/>
    <w:rsid w:val="0042221D"/>
    <w:rsid w:val="00424DD3"/>
    <w:rsid w:val="004269C5"/>
    <w:rsid w:val="00435939"/>
    <w:rsid w:val="00437CC7"/>
    <w:rsid w:val="00440C2B"/>
    <w:rsid w:val="00442B9C"/>
    <w:rsid w:val="00442EF1"/>
    <w:rsid w:val="004467C1"/>
    <w:rsid w:val="0044703E"/>
    <w:rsid w:val="0044738A"/>
    <w:rsid w:val="004473D3"/>
    <w:rsid w:val="00450B72"/>
    <w:rsid w:val="00452231"/>
    <w:rsid w:val="00460C13"/>
    <w:rsid w:val="00461E4B"/>
    <w:rsid w:val="00463228"/>
    <w:rsid w:val="00463782"/>
    <w:rsid w:val="004667E0"/>
    <w:rsid w:val="0046760E"/>
    <w:rsid w:val="00467E76"/>
    <w:rsid w:val="00470E10"/>
    <w:rsid w:val="00473368"/>
    <w:rsid w:val="0047444A"/>
    <w:rsid w:val="0047617A"/>
    <w:rsid w:val="00477A97"/>
    <w:rsid w:val="00481343"/>
    <w:rsid w:val="00483796"/>
    <w:rsid w:val="0048549E"/>
    <w:rsid w:val="00493347"/>
    <w:rsid w:val="00495943"/>
    <w:rsid w:val="00496092"/>
    <w:rsid w:val="00496C78"/>
    <w:rsid w:val="004A08DB"/>
    <w:rsid w:val="004A25D0"/>
    <w:rsid w:val="004A37E8"/>
    <w:rsid w:val="004A7549"/>
    <w:rsid w:val="004B09D4"/>
    <w:rsid w:val="004B2BDB"/>
    <w:rsid w:val="004B330A"/>
    <w:rsid w:val="004B381A"/>
    <w:rsid w:val="004B7C8E"/>
    <w:rsid w:val="004C3E98"/>
    <w:rsid w:val="004C5847"/>
    <w:rsid w:val="004D0EDC"/>
    <w:rsid w:val="004D1220"/>
    <w:rsid w:val="004D14B3"/>
    <w:rsid w:val="004D1529"/>
    <w:rsid w:val="004D2253"/>
    <w:rsid w:val="004D5514"/>
    <w:rsid w:val="004D56C3"/>
    <w:rsid w:val="004E0338"/>
    <w:rsid w:val="004E4FF3"/>
    <w:rsid w:val="004E56A8"/>
    <w:rsid w:val="004F3B55"/>
    <w:rsid w:val="004F4E46"/>
    <w:rsid w:val="004F6B7D"/>
    <w:rsid w:val="005015F6"/>
    <w:rsid w:val="005030C4"/>
    <w:rsid w:val="005031C5"/>
    <w:rsid w:val="00504FDC"/>
    <w:rsid w:val="00505FD5"/>
    <w:rsid w:val="00507CD4"/>
    <w:rsid w:val="00510A4B"/>
    <w:rsid w:val="005120CC"/>
    <w:rsid w:val="00512B7B"/>
    <w:rsid w:val="00514EA1"/>
    <w:rsid w:val="00516AAB"/>
    <w:rsid w:val="0051798B"/>
    <w:rsid w:val="005214F7"/>
    <w:rsid w:val="00521F5A"/>
    <w:rsid w:val="00525E06"/>
    <w:rsid w:val="00526454"/>
    <w:rsid w:val="00531823"/>
    <w:rsid w:val="00534ECC"/>
    <w:rsid w:val="0053720D"/>
    <w:rsid w:val="00540EF5"/>
    <w:rsid w:val="00541BF3"/>
    <w:rsid w:val="00541CD3"/>
    <w:rsid w:val="00546A27"/>
    <w:rsid w:val="005476FA"/>
    <w:rsid w:val="005507DD"/>
    <w:rsid w:val="0055347A"/>
    <w:rsid w:val="0055595E"/>
    <w:rsid w:val="00556546"/>
    <w:rsid w:val="00557988"/>
    <w:rsid w:val="00562C49"/>
    <w:rsid w:val="00562DEF"/>
    <w:rsid w:val="00563A35"/>
    <w:rsid w:val="00563D23"/>
    <w:rsid w:val="00566596"/>
    <w:rsid w:val="00567FA4"/>
    <w:rsid w:val="00570166"/>
    <w:rsid w:val="005734D0"/>
    <w:rsid w:val="005738D5"/>
    <w:rsid w:val="005741E9"/>
    <w:rsid w:val="005748CF"/>
    <w:rsid w:val="005815F6"/>
    <w:rsid w:val="00584270"/>
    <w:rsid w:val="00584738"/>
    <w:rsid w:val="00590B7E"/>
    <w:rsid w:val="005920B0"/>
    <w:rsid w:val="0059229B"/>
    <w:rsid w:val="0059380D"/>
    <w:rsid w:val="00595A8F"/>
    <w:rsid w:val="00596A81"/>
    <w:rsid w:val="00597BF2"/>
    <w:rsid w:val="005A2020"/>
    <w:rsid w:val="005A766C"/>
    <w:rsid w:val="005B134E"/>
    <w:rsid w:val="005B2039"/>
    <w:rsid w:val="005B305B"/>
    <w:rsid w:val="005B344F"/>
    <w:rsid w:val="005B3FBA"/>
    <w:rsid w:val="005B4A1D"/>
    <w:rsid w:val="005B674D"/>
    <w:rsid w:val="005C0CBE"/>
    <w:rsid w:val="005C1FCF"/>
    <w:rsid w:val="005C600E"/>
    <w:rsid w:val="005D1885"/>
    <w:rsid w:val="005D4A38"/>
    <w:rsid w:val="005E2EEA"/>
    <w:rsid w:val="005E3708"/>
    <w:rsid w:val="005E3CCD"/>
    <w:rsid w:val="005E3D6B"/>
    <w:rsid w:val="005E5E4A"/>
    <w:rsid w:val="005E693D"/>
    <w:rsid w:val="005E75BF"/>
    <w:rsid w:val="005F3C6F"/>
    <w:rsid w:val="005F57BA"/>
    <w:rsid w:val="005F61E6"/>
    <w:rsid w:val="005F6C45"/>
    <w:rsid w:val="00605A69"/>
    <w:rsid w:val="00606C54"/>
    <w:rsid w:val="0061153D"/>
    <w:rsid w:val="00614375"/>
    <w:rsid w:val="00614456"/>
    <w:rsid w:val="00615B0A"/>
    <w:rsid w:val="006168CF"/>
    <w:rsid w:val="0062011B"/>
    <w:rsid w:val="00622698"/>
    <w:rsid w:val="00624E45"/>
    <w:rsid w:val="00625956"/>
    <w:rsid w:val="00626DE0"/>
    <w:rsid w:val="00630901"/>
    <w:rsid w:val="00631F8E"/>
    <w:rsid w:val="006350DC"/>
    <w:rsid w:val="00636EE9"/>
    <w:rsid w:val="00640950"/>
    <w:rsid w:val="00641AE7"/>
    <w:rsid w:val="00641C76"/>
    <w:rsid w:val="00642629"/>
    <w:rsid w:val="00644852"/>
    <w:rsid w:val="00645203"/>
    <w:rsid w:val="0065293D"/>
    <w:rsid w:val="0065366D"/>
    <w:rsid w:val="00653EFC"/>
    <w:rsid w:val="00654021"/>
    <w:rsid w:val="00661045"/>
    <w:rsid w:val="006648D6"/>
    <w:rsid w:val="00666DA8"/>
    <w:rsid w:val="00671057"/>
    <w:rsid w:val="00672462"/>
    <w:rsid w:val="00674739"/>
    <w:rsid w:val="00675AAF"/>
    <w:rsid w:val="0068031A"/>
    <w:rsid w:val="00681B2F"/>
    <w:rsid w:val="0068335F"/>
    <w:rsid w:val="00693302"/>
    <w:rsid w:val="006951C5"/>
    <w:rsid w:val="0069640B"/>
    <w:rsid w:val="00697F71"/>
    <w:rsid w:val="006A0A21"/>
    <w:rsid w:val="006A1B83"/>
    <w:rsid w:val="006A1E5A"/>
    <w:rsid w:val="006A21CD"/>
    <w:rsid w:val="006A27C9"/>
    <w:rsid w:val="006A5918"/>
    <w:rsid w:val="006A5D39"/>
    <w:rsid w:val="006A7881"/>
    <w:rsid w:val="006B21B2"/>
    <w:rsid w:val="006B4A4A"/>
    <w:rsid w:val="006B5499"/>
    <w:rsid w:val="006B6791"/>
    <w:rsid w:val="006C19B2"/>
    <w:rsid w:val="006C1A84"/>
    <w:rsid w:val="006C5BB8"/>
    <w:rsid w:val="006C6936"/>
    <w:rsid w:val="006C7B01"/>
    <w:rsid w:val="006C7D67"/>
    <w:rsid w:val="006D0FE8"/>
    <w:rsid w:val="006D300D"/>
    <w:rsid w:val="006D4B2B"/>
    <w:rsid w:val="006D4F3C"/>
    <w:rsid w:val="006D5C66"/>
    <w:rsid w:val="006E1B3C"/>
    <w:rsid w:val="006E23FB"/>
    <w:rsid w:val="006E325A"/>
    <w:rsid w:val="006E33EC"/>
    <w:rsid w:val="006E3802"/>
    <w:rsid w:val="006E6C02"/>
    <w:rsid w:val="006F231A"/>
    <w:rsid w:val="006F5471"/>
    <w:rsid w:val="006F59BA"/>
    <w:rsid w:val="006F788D"/>
    <w:rsid w:val="006F78E1"/>
    <w:rsid w:val="006F7DBC"/>
    <w:rsid w:val="00701072"/>
    <w:rsid w:val="00702054"/>
    <w:rsid w:val="007035A4"/>
    <w:rsid w:val="00705811"/>
    <w:rsid w:val="00711799"/>
    <w:rsid w:val="00712B78"/>
    <w:rsid w:val="0071393B"/>
    <w:rsid w:val="00713EE2"/>
    <w:rsid w:val="00715BB2"/>
    <w:rsid w:val="007177FC"/>
    <w:rsid w:val="00720C5E"/>
    <w:rsid w:val="00721701"/>
    <w:rsid w:val="00724CE9"/>
    <w:rsid w:val="00725EE0"/>
    <w:rsid w:val="00730345"/>
    <w:rsid w:val="00730714"/>
    <w:rsid w:val="00731835"/>
    <w:rsid w:val="00733ABA"/>
    <w:rsid w:val="007341F8"/>
    <w:rsid w:val="00734372"/>
    <w:rsid w:val="00734EB8"/>
    <w:rsid w:val="00735F8B"/>
    <w:rsid w:val="00742BCC"/>
    <w:rsid w:val="00742D1F"/>
    <w:rsid w:val="0074323D"/>
    <w:rsid w:val="007439EC"/>
    <w:rsid w:val="00743EBA"/>
    <w:rsid w:val="00744C8E"/>
    <w:rsid w:val="00746BCC"/>
    <w:rsid w:val="0074707E"/>
    <w:rsid w:val="007516DC"/>
    <w:rsid w:val="007537B7"/>
    <w:rsid w:val="00754B80"/>
    <w:rsid w:val="00761918"/>
    <w:rsid w:val="00762F03"/>
    <w:rsid w:val="00763E9C"/>
    <w:rsid w:val="0076406C"/>
    <w:rsid w:val="0076413B"/>
    <w:rsid w:val="007648AE"/>
    <w:rsid w:val="00764916"/>
    <w:rsid w:val="00764BF8"/>
    <w:rsid w:val="0076514D"/>
    <w:rsid w:val="00772326"/>
    <w:rsid w:val="00772802"/>
    <w:rsid w:val="00773D59"/>
    <w:rsid w:val="00781003"/>
    <w:rsid w:val="007839F5"/>
    <w:rsid w:val="00790B81"/>
    <w:rsid w:val="007911FD"/>
    <w:rsid w:val="00791ACC"/>
    <w:rsid w:val="00792C05"/>
    <w:rsid w:val="00793930"/>
    <w:rsid w:val="00793CA7"/>
    <w:rsid w:val="00793DD1"/>
    <w:rsid w:val="00794FEC"/>
    <w:rsid w:val="00797F99"/>
    <w:rsid w:val="007A003E"/>
    <w:rsid w:val="007A1965"/>
    <w:rsid w:val="007A2ED1"/>
    <w:rsid w:val="007A4BE6"/>
    <w:rsid w:val="007A5403"/>
    <w:rsid w:val="007B0DC6"/>
    <w:rsid w:val="007B1094"/>
    <w:rsid w:val="007B1762"/>
    <w:rsid w:val="007B3320"/>
    <w:rsid w:val="007C301F"/>
    <w:rsid w:val="007C4540"/>
    <w:rsid w:val="007C4A93"/>
    <w:rsid w:val="007C51EE"/>
    <w:rsid w:val="007C65AF"/>
    <w:rsid w:val="007D107D"/>
    <w:rsid w:val="007D135D"/>
    <w:rsid w:val="007D5E3A"/>
    <w:rsid w:val="007D730F"/>
    <w:rsid w:val="007D7B5D"/>
    <w:rsid w:val="007D7CD8"/>
    <w:rsid w:val="007E071D"/>
    <w:rsid w:val="007E3AA7"/>
    <w:rsid w:val="007E50A9"/>
    <w:rsid w:val="007F27EA"/>
    <w:rsid w:val="007F737D"/>
    <w:rsid w:val="0080308E"/>
    <w:rsid w:val="00806705"/>
    <w:rsid w:val="00806738"/>
    <w:rsid w:val="008216D5"/>
    <w:rsid w:val="008249CE"/>
    <w:rsid w:val="00826166"/>
    <w:rsid w:val="00831A50"/>
    <w:rsid w:val="00831B3C"/>
    <w:rsid w:val="00831C89"/>
    <w:rsid w:val="00832114"/>
    <w:rsid w:val="00834C46"/>
    <w:rsid w:val="0084093E"/>
    <w:rsid w:val="00841CE1"/>
    <w:rsid w:val="008452FC"/>
    <w:rsid w:val="008473D8"/>
    <w:rsid w:val="008528DC"/>
    <w:rsid w:val="00852B8C"/>
    <w:rsid w:val="00854981"/>
    <w:rsid w:val="00863378"/>
    <w:rsid w:val="00864468"/>
    <w:rsid w:val="00864B2E"/>
    <w:rsid w:val="008652DE"/>
    <w:rsid w:val="00865963"/>
    <w:rsid w:val="00867D01"/>
    <w:rsid w:val="0087119C"/>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4DC2"/>
    <w:rsid w:val="008A6285"/>
    <w:rsid w:val="008A63B2"/>
    <w:rsid w:val="008B345D"/>
    <w:rsid w:val="008C1E2E"/>
    <w:rsid w:val="008C1FC2"/>
    <w:rsid w:val="008C24F8"/>
    <w:rsid w:val="008C2980"/>
    <w:rsid w:val="008C5AFB"/>
    <w:rsid w:val="008C6978"/>
    <w:rsid w:val="008D07FB"/>
    <w:rsid w:val="008D0C02"/>
    <w:rsid w:val="008D0D78"/>
    <w:rsid w:val="008D357D"/>
    <w:rsid w:val="008D5BFE"/>
    <w:rsid w:val="008D6B77"/>
    <w:rsid w:val="008E246D"/>
    <w:rsid w:val="008E387B"/>
    <w:rsid w:val="008E6087"/>
    <w:rsid w:val="008E758D"/>
    <w:rsid w:val="008F10A7"/>
    <w:rsid w:val="008F755D"/>
    <w:rsid w:val="008F7A39"/>
    <w:rsid w:val="009021E8"/>
    <w:rsid w:val="00911440"/>
    <w:rsid w:val="00911712"/>
    <w:rsid w:val="00911B27"/>
    <w:rsid w:val="009170BE"/>
    <w:rsid w:val="00920B55"/>
    <w:rsid w:val="00922806"/>
    <w:rsid w:val="009231F2"/>
    <w:rsid w:val="0092329C"/>
    <w:rsid w:val="009262C9"/>
    <w:rsid w:val="00930EB9"/>
    <w:rsid w:val="00933DC7"/>
    <w:rsid w:val="009418F4"/>
    <w:rsid w:val="00942BBC"/>
    <w:rsid w:val="00944180"/>
    <w:rsid w:val="00944AA0"/>
    <w:rsid w:val="00947DA2"/>
    <w:rsid w:val="00951177"/>
    <w:rsid w:val="00961DF4"/>
    <w:rsid w:val="009662E5"/>
    <w:rsid w:val="00966A48"/>
    <w:rsid w:val="009673E8"/>
    <w:rsid w:val="00967E9F"/>
    <w:rsid w:val="00974DB8"/>
    <w:rsid w:val="00975BA8"/>
    <w:rsid w:val="00976AD7"/>
    <w:rsid w:val="00980661"/>
    <w:rsid w:val="0098093B"/>
    <w:rsid w:val="00981584"/>
    <w:rsid w:val="009876D4"/>
    <w:rsid w:val="009914A5"/>
    <w:rsid w:val="00992890"/>
    <w:rsid w:val="0099548E"/>
    <w:rsid w:val="00995C7B"/>
    <w:rsid w:val="00996456"/>
    <w:rsid w:val="00996A12"/>
    <w:rsid w:val="00997B0F"/>
    <w:rsid w:val="009A1CAD"/>
    <w:rsid w:val="009A3440"/>
    <w:rsid w:val="009A5832"/>
    <w:rsid w:val="009A6838"/>
    <w:rsid w:val="009A7163"/>
    <w:rsid w:val="009B028E"/>
    <w:rsid w:val="009B21A9"/>
    <w:rsid w:val="009B24B5"/>
    <w:rsid w:val="009B4830"/>
    <w:rsid w:val="009B49F1"/>
    <w:rsid w:val="009B4EBC"/>
    <w:rsid w:val="009B5ABB"/>
    <w:rsid w:val="009B6D56"/>
    <w:rsid w:val="009B73CE"/>
    <w:rsid w:val="009C2461"/>
    <w:rsid w:val="009C6FE2"/>
    <w:rsid w:val="009C7674"/>
    <w:rsid w:val="009D004A"/>
    <w:rsid w:val="009D49B3"/>
    <w:rsid w:val="009D5880"/>
    <w:rsid w:val="009E13B3"/>
    <w:rsid w:val="009E2695"/>
    <w:rsid w:val="009E2CAF"/>
    <w:rsid w:val="009E2E2F"/>
    <w:rsid w:val="009E3B07"/>
    <w:rsid w:val="009E4064"/>
    <w:rsid w:val="009E51D1"/>
    <w:rsid w:val="009E5531"/>
    <w:rsid w:val="009F029A"/>
    <w:rsid w:val="009F171E"/>
    <w:rsid w:val="009F3D2F"/>
    <w:rsid w:val="009F5D5E"/>
    <w:rsid w:val="009F61D2"/>
    <w:rsid w:val="009F63A5"/>
    <w:rsid w:val="009F7052"/>
    <w:rsid w:val="00A02093"/>
    <w:rsid w:val="00A02668"/>
    <w:rsid w:val="00A02801"/>
    <w:rsid w:val="00A06A39"/>
    <w:rsid w:val="00A07F58"/>
    <w:rsid w:val="00A131CB"/>
    <w:rsid w:val="00A14847"/>
    <w:rsid w:val="00A16D6D"/>
    <w:rsid w:val="00A21383"/>
    <w:rsid w:val="00A2199F"/>
    <w:rsid w:val="00A21B31"/>
    <w:rsid w:val="00A2360E"/>
    <w:rsid w:val="00A26E0C"/>
    <w:rsid w:val="00A27355"/>
    <w:rsid w:val="00A32AE8"/>
    <w:rsid w:val="00A32FCB"/>
    <w:rsid w:val="00A34C25"/>
    <w:rsid w:val="00A3507D"/>
    <w:rsid w:val="00A3717A"/>
    <w:rsid w:val="00A4088C"/>
    <w:rsid w:val="00A40F91"/>
    <w:rsid w:val="00A42A85"/>
    <w:rsid w:val="00A4456B"/>
    <w:rsid w:val="00A448D4"/>
    <w:rsid w:val="00A452E0"/>
    <w:rsid w:val="00A455A3"/>
    <w:rsid w:val="00A51EA5"/>
    <w:rsid w:val="00A53742"/>
    <w:rsid w:val="00A557A1"/>
    <w:rsid w:val="00A57AA9"/>
    <w:rsid w:val="00A6052F"/>
    <w:rsid w:val="00A63059"/>
    <w:rsid w:val="00A63AE3"/>
    <w:rsid w:val="00A651A4"/>
    <w:rsid w:val="00A71361"/>
    <w:rsid w:val="00A72D18"/>
    <w:rsid w:val="00A746E2"/>
    <w:rsid w:val="00A81FF2"/>
    <w:rsid w:val="00A83904"/>
    <w:rsid w:val="00A859A9"/>
    <w:rsid w:val="00A90A79"/>
    <w:rsid w:val="00A96B30"/>
    <w:rsid w:val="00AA512C"/>
    <w:rsid w:val="00AA59B5"/>
    <w:rsid w:val="00AA6BB1"/>
    <w:rsid w:val="00AA7777"/>
    <w:rsid w:val="00AA7B84"/>
    <w:rsid w:val="00AC017F"/>
    <w:rsid w:val="00AC0B4C"/>
    <w:rsid w:val="00AC1164"/>
    <w:rsid w:val="00AC1319"/>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633C"/>
    <w:rsid w:val="00AF7E86"/>
    <w:rsid w:val="00B0125A"/>
    <w:rsid w:val="00B024B9"/>
    <w:rsid w:val="00B03618"/>
    <w:rsid w:val="00B077FA"/>
    <w:rsid w:val="00B127D7"/>
    <w:rsid w:val="00B13304"/>
    <w:rsid w:val="00B13B0C"/>
    <w:rsid w:val="00B1453A"/>
    <w:rsid w:val="00B16D23"/>
    <w:rsid w:val="00B20F82"/>
    <w:rsid w:val="00B25BD5"/>
    <w:rsid w:val="00B32A69"/>
    <w:rsid w:val="00B34079"/>
    <w:rsid w:val="00B3793A"/>
    <w:rsid w:val="00B401BA"/>
    <w:rsid w:val="00B407E4"/>
    <w:rsid w:val="00B425B6"/>
    <w:rsid w:val="00B42A72"/>
    <w:rsid w:val="00B441AE"/>
    <w:rsid w:val="00B45F33"/>
    <w:rsid w:val="00B46D50"/>
    <w:rsid w:val="00B53170"/>
    <w:rsid w:val="00B5541F"/>
    <w:rsid w:val="00B62999"/>
    <w:rsid w:val="00B63BE3"/>
    <w:rsid w:val="00B64885"/>
    <w:rsid w:val="00B66810"/>
    <w:rsid w:val="00B71320"/>
    <w:rsid w:val="00B72BE3"/>
    <w:rsid w:val="00B73B80"/>
    <w:rsid w:val="00B770C7"/>
    <w:rsid w:val="00B80F26"/>
    <w:rsid w:val="00B822BD"/>
    <w:rsid w:val="00B842F4"/>
    <w:rsid w:val="00B84D36"/>
    <w:rsid w:val="00B916A7"/>
    <w:rsid w:val="00B91A7B"/>
    <w:rsid w:val="00B91C50"/>
    <w:rsid w:val="00B92509"/>
    <w:rsid w:val="00B929DD"/>
    <w:rsid w:val="00B95405"/>
    <w:rsid w:val="00B963F1"/>
    <w:rsid w:val="00BA020A"/>
    <w:rsid w:val="00BA71AE"/>
    <w:rsid w:val="00BB02A4"/>
    <w:rsid w:val="00BB0318"/>
    <w:rsid w:val="00BB1270"/>
    <w:rsid w:val="00BB1E44"/>
    <w:rsid w:val="00BB4259"/>
    <w:rsid w:val="00BB5267"/>
    <w:rsid w:val="00BB52B8"/>
    <w:rsid w:val="00BB59D8"/>
    <w:rsid w:val="00BB7E69"/>
    <w:rsid w:val="00BC2CBA"/>
    <w:rsid w:val="00BC3C1F"/>
    <w:rsid w:val="00BC6752"/>
    <w:rsid w:val="00BC7CE7"/>
    <w:rsid w:val="00BD295E"/>
    <w:rsid w:val="00BD38F5"/>
    <w:rsid w:val="00BD4664"/>
    <w:rsid w:val="00BE1193"/>
    <w:rsid w:val="00BE4604"/>
    <w:rsid w:val="00BF29FC"/>
    <w:rsid w:val="00BF4849"/>
    <w:rsid w:val="00BF4EA7"/>
    <w:rsid w:val="00C00EDB"/>
    <w:rsid w:val="00C02863"/>
    <w:rsid w:val="00C0383A"/>
    <w:rsid w:val="00C067FF"/>
    <w:rsid w:val="00C12862"/>
    <w:rsid w:val="00C13D28"/>
    <w:rsid w:val="00C14585"/>
    <w:rsid w:val="00C14861"/>
    <w:rsid w:val="00C165A0"/>
    <w:rsid w:val="00C16E11"/>
    <w:rsid w:val="00C17559"/>
    <w:rsid w:val="00C216CE"/>
    <w:rsid w:val="00C2184F"/>
    <w:rsid w:val="00C22A78"/>
    <w:rsid w:val="00C23C7E"/>
    <w:rsid w:val="00C246C5"/>
    <w:rsid w:val="00C25A82"/>
    <w:rsid w:val="00C30A2A"/>
    <w:rsid w:val="00C33993"/>
    <w:rsid w:val="00C36C91"/>
    <w:rsid w:val="00C4069E"/>
    <w:rsid w:val="00C41ADC"/>
    <w:rsid w:val="00C44149"/>
    <w:rsid w:val="00C44410"/>
    <w:rsid w:val="00C44A15"/>
    <w:rsid w:val="00C4630A"/>
    <w:rsid w:val="00C523F0"/>
    <w:rsid w:val="00C526D2"/>
    <w:rsid w:val="00C55BC1"/>
    <w:rsid w:val="00C5794E"/>
    <w:rsid w:val="00C60968"/>
    <w:rsid w:val="00C614AD"/>
    <w:rsid w:val="00C62319"/>
    <w:rsid w:val="00C63D39"/>
    <w:rsid w:val="00C63EDD"/>
    <w:rsid w:val="00C65B36"/>
    <w:rsid w:val="00C67556"/>
    <w:rsid w:val="00C7292E"/>
    <w:rsid w:val="00C74531"/>
    <w:rsid w:val="00C74CA7"/>
    <w:rsid w:val="00C74E88"/>
    <w:rsid w:val="00C76A5C"/>
    <w:rsid w:val="00C80924"/>
    <w:rsid w:val="00C8286B"/>
    <w:rsid w:val="00C83C68"/>
    <w:rsid w:val="00C947F8"/>
    <w:rsid w:val="00C9515F"/>
    <w:rsid w:val="00C963C5"/>
    <w:rsid w:val="00CA030C"/>
    <w:rsid w:val="00CA1F41"/>
    <w:rsid w:val="00CA32EE"/>
    <w:rsid w:val="00CA38A2"/>
    <w:rsid w:val="00CA6A1A"/>
    <w:rsid w:val="00CC1E75"/>
    <w:rsid w:val="00CC2E0E"/>
    <w:rsid w:val="00CC361C"/>
    <w:rsid w:val="00CC41F0"/>
    <w:rsid w:val="00CC474B"/>
    <w:rsid w:val="00CC658C"/>
    <w:rsid w:val="00CC67BF"/>
    <w:rsid w:val="00CD0843"/>
    <w:rsid w:val="00CD30B5"/>
    <w:rsid w:val="00CD49C3"/>
    <w:rsid w:val="00CD5A78"/>
    <w:rsid w:val="00CD5BD8"/>
    <w:rsid w:val="00CD7345"/>
    <w:rsid w:val="00CE372E"/>
    <w:rsid w:val="00CE6537"/>
    <w:rsid w:val="00CE72EB"/>
    <w:rsid w:val="00CE7F67"/>
    <w:rsid w:val="00CF0A1B"/>
    <w:rsid w:val="00CF19F6"/>
    <w:rsid w:val="00CF1DAD"/>
    <w:rsid w:val="00CF2F4F"/>
    <w:rsid w:val="00CF3415"/>
    <w:rsid w:val="00CF536D"/>
    <w:rsid w:val="00D046FF"/>
    <w:rsid w:val="00D04968"/>
    <w:rsid w:val="00D10CB8"/>
    <w:rsid w:val="00D12806"/>
    <w:rsid w:val="00D12D44"/>
    <w:rsid w:val="00D15018"/>
    <w:rsid w:val="00D153A9"/>
    <w:rsid w:val="00D158AC"/>
    <w:rsid w:val="00D1694C"/>
    <w:rsid w:val="00D20F5E"/>
    <w:rsid w:val="00D23B76"/>
    <w:rsid w:val="00D24588"/>
    <w:rsid w:val="00D356BA"/>
    <w:rsid w:val="00D379A3"/>
    <w:rsid w:val="00D43272"/>
    <w:rsid w:val="00D45FF3"/>
    <w:rsid w:val="00D512CF"/>
    <w:rsid w:val="00D528B9"/>
    <w:rsid w:val="00D528F8"/>
    <w:rsid w:val="00D53186"/>
    <w:rsid w:val="00D5487D"/>
    <w:rsid w:val="00D55966"/>
    <w:rsid w:val="00D60140"/>
    <w:rsid w:val="00D6024A"/>
    <w:rsid w:val="00D608B5"/>
    <w:rsid w:val="00D61B17"/>
    <w:rsid w:val="00D61D60"/>
    <w:rsid w:val="00D653DD"/>
    <w:rsid w:val="00D666F2"/>
    <w:rsid w:val="00D71529"/>
    <w:rsid w:val="00D71F99"/>
    <w:rsid w:val="00D731EE"/>
    <w:rsid w:val="00D73CA4"/>
    <w:rsid w:val="00D73D71"/>
    <w:rsid w:val="00D74396"/>
    <w:rsid w:val="00D80284"/>
    <w:rsid w:val="00D81F71"/>
    <w:rsid w:val="00D858D8"/>
    <w:rsid w:val="00D8642D"/>
    <w:rsid w:val="00D87898"/>
    <w:rsid w:val="00D9006E"/>
    <w:rsid w:val="00D90A5E"/>
    <w:rsid w:val="00D91A68"/>
    <w:rsid w:val="00D95A68"/>
    <w:rsid w:val="00DA17C7"/>
    <w:rsid w:val="00DA6A9A"/>
    <w:rsid w:val="00DB1EFD"/>
    <w:rsid w:val="00DB3EAF"/>
    <w:rsid w:val="00DB4863"/>
    <w:rsid w:val="00DB638F"/>
    <w:rsid w:val="00DC0591"/>
    <w:rsid w:val="00DC3203"/>
    <w:rsid w:val="00DC3C99"/>
    <w:rsid w:val="00DC52F5"/>
    <w:rsid w:val="00DC5B61"/>
    <w:rsid w:val="00DC5FD0"/>
    <w:rsid w:val="00DD0354"/>
    <w:rsid w:val="00DD27D7"/>
    <w:rsid w:val="00DD458C"/>
    <w:rsid w:val="00DD72E9"/>
    <w:rsid w:val="00DD7605"/>
    <w:rsid w:val="00DE07A3"/>
    <w:rsid w:val="00DE2020"/>
    <w:rsid w:val="00DE3476"/>
    <w:rsid w:val="00DE35CC"/>
    <w:rsid w:val="00DF039B"/>
    <w:rsid w:val="00DF21D5"/>
    <w:rsid w:val="00DF4F74"/>
    <w:rsid w:val="00DF5B84"/>
    <w:rsid w:val="00DF6D5B"/>
    <w:rsid w:val="00DF771B"/>
    <w:rsid w:val="00DF7EE2"/>
    <w:rsid w:val="00E00A25"/>
    <w:rsid w:val="00E01BAA"/>
    <w:rsid w:val="00E0282A"/>
    <w:rsid w:val="00E03863"/>
    <w:rsid w:val="00E07E14"/>
    <w:rsid w:val="00E115FC"/>
    <w:rsid w:val="00E14F94"/>
    <w:rsid w:val="00E16EF5"/>
    <w:rsid w:val="00E17336"/>
    <w:rsid w:val="00E17D15"/>
    <w:rsid w:val="00E22B95"/>
    <w:rsid w:val="00E24568"/>
    <w:rsid w:val="00E30331"/>
    <w:rsid w:val="00E30BB8"/>
    <w:rsid w:val="00E31F9C"/>
    <w:rsid w:val="00E32CE3"/>
    <w:rsid w:val="00E40488"/>
    <w:rsid w:val="00E41D17"/>
    <w:rsid w:val="00E442D0"/>
    <w:rsid w:val="00E50367"/>
    <w:rsid w:val="00E51A9E"/>
    <w:rsid w:val="00E51ABA"/>
    <w:rsid w:val="00E524CB"/>
    <w:rsid w:val="00E65456"/>
    <w:rsid w:val="00E65A91"/>
    <w:rsid w:val="00E66188"/>
    <w:rsid w:val="00E664FB"/>
    <w:rsid w:val="00E67B35"/>
    <w:rsid w:val="00E70373"/>
    <w:rsid w:val="00E72E40"/>
    <w:rsid w:val="00E73665"/>
    <w:rsid w:val="00E73999"/>
    <w:rsid w:val="00E73BDC"/>
    <w:rsid w:val="00E73E9E"/>
    <w:rsid w:val="00E77DB9"/>
    <w:rsid w:val="00E80988"/>
    <w:rsid w:val="00E81660"/>
    <w:rsid w:val="00E82CD9"/>
    <w:rsid w:val="00E854FE"/>
    <w:rsid w:val="00E906CC"/>
    <w:rsid w:val="00E939A0"/>
    <w:rsid w:val="00E9442D"/>
    <w:rsid w:val="00E94C26"/>
    <w:rsid w:val="00E97E4E"/>
    <w:rsid w:val="00EA1CC2"/>
    <w:rsid w:val="00EA2D76"/>
    <w:rsid w:val="00EA4644"/>
    <w:rsid w:val="00EA4E43"/>
    <w:rsid w:val="00EA758A"/>
    <w:rsid w:val="00EB199F"/>
    <w:rsid w:val="00EB27C4"/>
    <w:rsid w:val="00EB5387"/>
    <w:rsid w:val="00EB5502"/>
    <w:rsid w:val="00EB5C10"/>
    <w:rsid w:val="00EB7322"/>
    <w:rsid w:val="00EC0FE9"/>
    <w:rsid w:val="00EC1AAE"/>
    <w:rsid w:val="00EC387F"/>
    <w:rsid w:val="00EC415A"/>
    <w:rsid w:val="00EC426D"/>
    <w:rsid w:val="00EC571B"/>
    <w:rsid w:val="00EC57D7"/>
    <w:rsid w:val="00EC6385"/>
    <w:rsid w:val="00EC652F"/>
    <w:rsid w:val="00EC7B59"/>
    <w:rsid w:val="00ED1DE9"/>
    <w:rsid w:val="00ED23D4"/>
    <w:rsid w:val="00ED5E0B"/>
    <w:rsid w:val="00EE37B6"/>
    <w:rsid w:val="00EE4A6D"/>
    <w:rsid w:val="00EF0F45"/>
    <w:rsid w:val="00EF3852"/>
    <w:rsid w:val="00EF7463"/>
    <w:rsid w:val="00F002EF"/>
    <w:rsid w:val="00F01EE9"/>
    <w:rsid w:val="00F02F94"/>
    <w:rsid w:val="00F04900"/>
    <w:rsid w:val="00F065A4"/>
    <w:rsid w:val="00F07EB5"/>
    <w:rsid w:val="00F126B9"/>
    <w:rsid w:val="00F12715"/>
    <w:rsid w:val="00F144D5"/>
    <w:rsid w:val="00F146F0"/>
    <w:rsid w:val="00F15039"/>
    <w:rsid w:val="00F20FF3"/>
    <w:rsid w:val="00F2190B"/>
    <w:rsid w:val="00F228B5"/>
    <w:rsid w:val="00F2389C"/>
    <w:rsid w:val="00F24B9C"/>
    <w:rsid w:val="00F25C67"/>
    <w:rsid w:val="00F30DFF"/>
    <w:rsid w:val="00F32B80"/>
    <w:rsid w:val="00F340EB"/>
    <w:rsid w:val="00F35200"/>
    <w:rsid w:val="00F35285"/>
    <w:rsid w:val="00F3610C"/>
    <w:rsid w:val="00F43B9D"/>
    <w:rsid w:val="00F44D5E"/>
    <w:rsid w:val="00F53A35"/>
    <w:rsid w:val="00F55A3D"/>
    <w:rsid w:val="00F5744B"/>
    <w:rsid w:val="00F61209"/>
    <w:rsid w:val="00F6259E"/>
    <w:rsid w:val="00F65DD4"/>
    <w:rsid w:val="00F672B2"/>
    <w:rsid w:val="00F71E4E"/>
    <w:rsid w:val="00F83973"/>
    <w:rsid w:val="00F87E0A"/>
    <w:rsid w:val="00F87FA3"/>
    <w:rsid w:val="00F93D8C"/>
    <w:rsid w:val="00F96500"/>
    <w:rsid w:val="00FA3102"/>
    <w:rsid w:val="00FA48D4"/>
    <w:rsid w:val="00FA54FA"/>
    <w:rsid w:val="00FB227E"/>
    <w:rsid w:val="00FB3D61"/>
    <w:rsid w:val="00FB44CE"/>
    <w:rsid w:val="00FB5009"/>
    <w:rsid w:val="00FB76AB"/>
    <w:rsid w:val="00FD03FE"/>
    <w:rsid w:val="00FD126E"/>
    <w:rsid w:val="00FD3C36"/>
    <w:rsid w:val="00FD4118"/>
    <w:rsid w:val="00FD4D81"/>
    <w:rsid w:val="00FD7498"/>
    <w:rsid w:val="00FD7FB3"/>
    <w:rsid w:val="00FE4713"/>
    <w:rsid w:val="00FF1F44"/>
    <w:rsid w:val="00FF225E"/>
    <w:rsid w:val="00FF4CD0"/>
    <w:rsid w:val="00FF672C"/>
    <w:rsid w:val="00FF67E2"/>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C0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uiPriority w:val="9"/>
    <w:qFormat/>
    <w:rsid w:val="00F43B9D"/>
    <w:pPr>
      <w:spacing w:before="360"/>
      <w:outlineLvl w:val="3"/>
    </w:pPr>
    <w:rPr>
      <w:bCs/>
      <w:szCs w:val="28"/>
    </w:rPr>
  </w:style>
  <w:style w:type="paragraph" w:styleId="Heading5">
    <w:name w:val="heading 5"/>
    <w:basedOn w:val="Normal"/>
    <w:next w:val="Normal"/>
    <w:link w:val="Heading5Char"/>
    <w:uiPriority w:val="9"/>
    <w:semiHidden/>
    <w:unhideWhenUsed/>
    <w:qFormat/>
    <w:rsid w:val="00001612"/>
    <w:pPr>
      <w:keepNext/>
      <w:keepLines/>
      <w:spacing w:before="40" w:line="240" w:lineRule="auto"/>
      <w:ind w:left="1008" w:hanging="1008"/>
      <w:outlineLvl w:val="4"/>
    </w:pPr>
    <w:rPr>
      <w:rFonts w:ascii="Calibri Light" w:eastAsia="Yu Gothic Light" w:hAnsi="Calibri Light"/>
      <w:color w:val="2F5496"/>
      <w:sz w:val="22"/>
      <w:szCs w:val="22"/>
      <w:lang w:eastAsia="en-US"/>
    </w:rPr>
  </w:style>
  <w:style w:type="paragraph" w:styleId="Heading6">
    <w:name w:val="heading 6"/>
    <w:basedOn w:val="Normal"/>
    <w:next w:val="Normal"/>
    <w:link w:val="Heading6Char"/>
    <w:uiPriority w:val="9"/>
    <w:semiHidden/>
    <w:unhideWhenUsed/>
    <w:qFormat/>
    <w:rsid w:val="00001612"/>
    <w:pPr>
      <w:keepNext/>
      <w:keepLines/>
      <w:spacing w:before="40" w:line="240" w:lineRule="auto"/>
      <w:ind w:left="1152" w:hanging="1152"/>
      <w:outlineLvl w:val="5"/>
    </w:pPr>
    <w:rPr>
      <w:rFonts w:ascii="Calibri Light" w:eastAsia="Yu Gothic Light" w:hAnsi="Calibri Light"/>
      <w:color w:val="1F3763"/>
      <w:sz w:val="22"/>
      <w:szCs w:val="22"/>
      <w:lang w:eastAsia="en-US"/>
    </w:rPr>
  </w:style>
  <w:style w:type="paragraph" w:styleId="Heading7">
    <w:name w:val="heading 7"/>
    <w:basedOn w:val="Normal"/>
    <w:next w:val="Normal"/>
    <w:link w:val="Heading7Char"/>
    <w:uiPriority w:val="9"/>
    <w:semiHidden/>
    <w:unhideWhenUsed/>
    <w:qFormat/>
    <w:rsid w:val="00001612"/>
    <w:pPr>
      <w:keepNext/>
      <w:keepLines/>
      <w:spacing w:before="40" w:line="240" w:lineRule="auto"/>
      <w:ind w:left="1296" w:hanging="1296"/>
      <w:outlineLvl w:val="6"/>
    </w:pPr>
    <w:rPr>
      <w:rFonts w:ascii="Calibri Light" w:eastAsia="Yu Gothic Light" w:hAnsi="Calibri Light"/>
      <w:i/>
      <w:iCs/>
      <w:color w:val="1F3763"/>
      <w:sz w:val="22"/>
      <w:szCs w:val="22"/>
      <w:lang w:eastAsia="en-US"/>
    </w:rPr>
  </w:style>
  <w:style w:type="paragraph" w:styleId="Heading8">
    <w:name w:val="heading 8"/>
    <w:basedOn w:val="Normal"/>
    <w:next w:val="Normal"/>
    <w:link w:val="Heading8Char"/>
    <w:uiPriority w:val="9"/>
    <w:semiHidden/>
    <w:unhideWhenUsed/>
    <w:qFormat/>
    <w:rsid w:val="00001612"/>
    <w:pPr>
      <w:keepNext/>
      <w:keepLines/>
      <w:spacing w:before="40" w:line="240" w:lineRule="auto"/>
      <w:ind w:left="1440" w:hanging="1440"/>
      <w:outlineLvl w:val="7"/>
    </w:pPr>
    <w:rPr>
      <w:rFonts w:ascii="Calibri Light" w:eastAsia="Yu Gothic Light" w:hAnsi="Calibri Light"/>
      <w:color w:val="272727"/>
      <w:sz w:val="21"/>
      <w:szCs w:val="21"/>
      <w:lang w:eastAsia="en-US"/>
    </w:rPr>
  </w:style>
  <w:style w:type="paragraph" w:styleId="Heading9">
    <w:name w:val="heading 9"/>
    <w:basedOn w:val="Normal"/>
    <w:next w:val="Normal"/>
    <w:link w:val="Heading9Char"/>
    <w:uiPriority w:val="9"/>
    <w:semiHidden/>
    <w:unhideWhenUsed/>
    <w:qFormat/>
    <w:rsid w:val="00001612"/>
    <w:pPr>
      <w:keepNext/>
      <w:keepLines/>
      <w:spacing w:before="40" w:line="240" w:lineRule="auto"/>
      <w:ind w:left="1584" w:hanging="1584"/>
      <w:outlineLvl w:val="8"/>
    </w:pPr>
    <w:rPr>
      <w:rFonts w:ascii="Calibri Light" w:eastAsia="Yu Gothic Light" w:hAnsi="Calibri Light"/>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uiPriority w:val="9"/>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uiPriority w:val="9"/>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uiPriority w:val="99"/>
    <w:rsid w:val="006C19B2"/>
    <w:pPr>
      <w:ind w:left="284" w:hanging="284"/>
    </w:pPr>
    <w:rPr>
      <w:sz w:val="22"/>
      <w:szCs w:val="20"/>
    </w:rPr>
  </w:style>
  <w:style w:type="character" w:customStyle="1" w:styleId="EndnoteTextChar">
    <w:name w:val="Endnote Text Char"/>
    <w:basedOn w:val="DefaultParagraphFont"/>
    <w:link w:val="EndnoteText"/>
    <w:uiPriority w:val="99"/>
    <w:rsid w:val="006C19B2"/>
    <w:rPr>
      <w:sz w:val="22"/>
    </w:rPr>
  </w:style>
  <w:style w:type="character" w:styleId="EndnoteReference">
    <w:name w:val="endnote reference"/>
    <w:basedOn w:val="DefaultParagraphFont"/>
    <w:uiPriority w:val="99"/>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spacing w:line="240" w:lineRule="auto"/>
    </w:p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spacing w:line="240" w:lineRule="auto"/>
    </w:p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CommentText">
    <w:name w:val="annotation text"/>
    <w:basedOn w:val="Normal"/>
    <w:link w:val="CommentTextChar"/>
    <w:uiPriority w:val="99"/>
    <w:unhideWhenUsed/>
    <w:rsid w:val="00001612"/>
    <w:pPr>
      <w:spacing w:after="120" w:line="240" w:lineRule="auto"/>
    </w:pPr>
    <w:rPr>
      <w:rFonts w:ascii="Calibri" w:eastAsia="Calibri" w:hAnsi="Calibri"/>
      <w:lang w:eastAsia="en-US"/>
    </w:rPr>
  </w:style>
  <w:style w:type="character" w:customStyle="1" w:styleId="CommentTextChar">
    <w:name w:val="Comment Text Char"/>
    <w:basedOn w:val="DefaultParagraphFont"/>
    <w:link w:val="CommentText"/>
    <w:uiPriority w:val="99"/>
    <w:rsid w:val="00001612"/>
    <w:rPr>
      <w:rFonts w:ascii="Calibri" w:eastAsia="Calibri" w:hAnsi="Calibri"/>
      <w:sz w:val="24"/>
      <w:szCs w:val="24"/>
      <w:lang w:eastAsia="en-US"/>
    </w:rPr>
  </w:style>
  <w:style w:type="paragraph" w:customStyle="1" w:styleId="xParagraph">
    <w:name w:val="x Paragraph"/>
    <w:link w:val="xParagraphChar"/>
    <w:qFormat/>
    <w:rsid w:val="00001612"/>
    <w:pPr>
      <w:spacing w:after="120"/>
    </w:pPr>
    <w:rPr>
      <w:rFonts w:ascii="Calibri" w:eastAsia="Calibri" w:hAnsi="Calibri"/>
      <w:sz w:val="22"/>
      <w:szCs w:val="22"/>
      <w:lang w:eastAsia="en-US"/>
    </w:rPr>
  </w:style>
  <w:style w:type="character" w:customStyle="1" w:styleId="xParagraphChar">
    <w:name w:val="x Paragraph Char"/>
    <w:basedOn w:val="DefaultParagraphFont"/>
    <w:link w:val="xParagraph"/>
    <w:rsid w:val="00001612"/>
    <w:rPr>
      <w:rFonts w:ascii="Calibri" w:eastAsia="Calibri" w:hAnsi="Calibri"/>
      <w:sz w:val="22"/>
      <w:szCs w:val="22"/>
      <w:lang w:eastAsia="en-US"/>
    </w:rPr>
  </w:style>
  <w:style w:type="paragraph" w:customStyle="1" w:styleId="p1">
    <w:name w:val="p1"/>
    <w:basedOn w:val="Normal"/>
    <w:rsid w:val="00001612"/>
    <w:pPr>
      <w:spacing w:line="240" w:lineRule="auto"/>
    </w:pPr>
    <w:rPr>
      <w:rFonts w:ascii="Helvetica" w:eastAsiaTheme="minorHAnsi" w:hAnsi="Helvetica"/>
      <w:color w:val="FFFFFF"/>
      <w:sz w:val="90"/>
      <w:szCs w:val="90"/>
    </w:rPr>
  </w:style>
  <w:style w:type="character" w:styleId="Hyperlink">
    <w:name w:val="Hyperlink"/>
    <w:uiPriority w:val="99"/>
    <w:unhideWhenUsed/>
    <w:rsid w:val="00001612"/>
    <w:rPr>
      <w:color w:val="0563C1"/>
      <w:u w:val="single"/>
    </w:rPr>
  </w:style>
  <w:style w:type="paragraph" w:customStyle="1" w:styleId="xTableCaption">
    <w:name w:val="x Table Caption"/>
    <w:basedOn w:val="Normal"/>
    <w:next w:val="xParagraph"/>
    <w:qFormat/>
    <w:rsid w:val="00001612"/>
    <w:pPr>
      <w:spacing w:before="200" w:after="40" w:line="240" w:lineRule="auto"/>
    </w:pPr>
    <w:rPr>
      <w:rFonts w:ascii="Calibri" w:eastAsia="Calibri" w:hAnsi="Calibri"/>
      <w:i/>
      <w:iCs/>
      <w:sz w:val="20"/>
      <w:szCs w:val="18"/>
      <w:lang w:eastAsia="en-US"/>
    </w:rPr>
  </w:style>
  <w:style w:type="table" w:styleId="TableGrid">
    <w:name w:val="Table Grid"/>
    <w:basedOn w:val="TableNormal"/>
    <w:uiPriority w:val="39"/>
    <w:rsid w:val="0000161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TableText">
    <w:name w:val="x Table Text"/>
    <w:basedOn w:val="xParagraph"/>
    <w:qFormat/>
    <w:rsid w:val="00001612"/>
    <w:pPr>
      <w:spacing w:after="0"/>
      <w:contextualSpacing/>
    </w:pPr>
    <w:rPr>
      <w:sz w:val="20"/>
    </w:rPr>
  </w:style>
  <w:style w:type="character" w:customStyle="1" w:styleId="s3">
    <w:name w:val="s3"/>
    <w:basedOn w:val="DefaultParagraphFont"/>
    <w:rsid w:val="00001612"/>
    <w:rPr>
      <w:color w:val="D45954"/>
    </w:rPr>
  </w:style>
  <w:style w:type="character" w:customStyle="1" w:styleId="s1">
    <w:name w:val="s1"/>
    <w:basedOn w:val="DefaultParagraphFont"/>
    <w:rsid w:val="00001612"/>
  </w:style>
  <w:style w:type="character" w:customStyle="1" w:styleId="s2">
    <w:name w:val="s2"/>
    <w:basedOn w:val="DefaultParagraphFont"/>
    <w:rsid w:val="00001612"/>
  </w:style>
  <w:style w:type="paragraph" w:styleId="ListParagraph">
    <w:name w:val="List Paragraph"/>
    <w:basedOn w:val="Normal"/>
    <w:uiPriority w:val="34"/>
    <w:qFormat/>
    <w:rsid w:val="00001612"/>
    <w:pPr>
      <w:spacing w:line="240" w:lineRule="auto"/>
      <w:ind w:left="720"/>
      <w:contextualSpacing/>
    </w:pPr>
    <w:rPr>
      <w:rFonts w:asciiTheme="minorHAnsi" w:eastAsiaTheme="minorHAnsi" w:hAnsiTheme="minorHAnsi" w:cstheme="minorBidi"/>
      <w:lang w:eastAsia="en-US"/>
    </w:rPr>
  </w:style>
  <w:style w:type="character" w:customStyle="1" w:styleId="Heading5Char">
    <w:name w:val="Heading 5 Char"/>
    <w:basedOn w:val="DefaultParagraphFont"/>
    <w:link w:val="Heading5"/>
    <w:uiPriority w:val="9"/>
    <w:semiHidden/>
    <w:rsid w:val="00001612"/>
    <w:rPr>
      <w:rFonts w:ascii="Calibri Light" w:eastAsia="Yu Gothic Light" w:hAnsi="Calibri Light"/>
      <w:color w:val="2F5496"/>
      <w:sz w:val="22"/>
      <w:szCs w:val="22"/>
      <w:lang w:eastAsia="en-US"/>
    </w:rPr>
  </w:style>
  <w:style w:type="character" w:customStyle="1" w:styleId="Heading6Char">
    <w:name w:val="Heading 6 Char"/>
    <w:basedOn w:val="DefaultParagraphFont"/>
    <w:link w:val="Heading6"/>
    <w:uiPriority w:val="9"/>
    <w:semiHidden/>
    <w:rsid w:val="00001612"/>
    <w:rPr>
      <w:rFonts w:ascii="Calibri Light" w:eastAsia="Yu Gothic Light" w:hAnsi="Calibri Light"/>
      <w:color w:val="1F3763"/>
      <w:sz w:val="22"/>
      <w:szCs w:val="22"/>
      <w:lang w:eastAsia="en-US"/>
    </w:rPr>
  </w:style>
  <w:style w:type="character" w:customStyle="1" w:styleId="Heading7Char">
    <w:name w:val="Heading 7 Char"/>
    <w:basedOn w:val="DefaultParagraphFont"/>
    <w:link w:val="Heading7"/>
    <w:uiPriority w:val="9"/>
    <w:semiHidden/>
    <w:rsid w:val="00001612"/>
    <w:rPr>
      <w:rFonts w:ascii="Calibri Light" w:eastAsia="Yu Gothic Light" w:hAnsi="Calibri Light"/>
      <w:i/>
      <w:iCs/>
      <w:color w:val="1F3763"/>
      <w:sz w:val="22"/>
      <w:szCs w:val="22"/>
      <w:lang w:eastAsia="en-US"/>
    </w:rPr>
  </w:style>
  <w:style w:type="character" w:customStyle="1" w:styleId="Heading8Char">
    <w:name w:val="Heading 8 Char"/>
    <w:basedOn w:val="DefaultParagraphFont"/>
    <w:link w:val="Heading8"/>
    <w:uiPriority w:val="9"/>
    <w:semiHidden/>
    <w:rsid w:val="00001612"/>
    <w:rPr>
      <w:rFonts w:ascii="Calibri Light" w:eastAsia="Yu Gothic Light" w:hAnsi="Calibri Light"/>
      <w:color w:val="272727"/>
      <w:sz w:val="21"/>
      <w:szCs w:val="21"/>
      <w:lang w:eastAsia="en-US"/>
    </w:rPr>
  </w:style>
  <w:style w:type="character" w:customStyle="1" w:styleId="Heading9Char">
    <w:name w:val="Heading 9 Char"/>
    <w:basedOn w:val="DefaultParagraphFont"/>
    <w:link w:val="Heading9"/>
    <w:uiPriority w:val="9"/>
    <w:semiHidden/>
    <w:rsid w:val="00001612"/>
    <w:rPr>
      <w:rFonts w:ascii="Calibri Light" w:eastAsia="Yu Gothic Light" w:hAnsi="Calibri Light"/>
      <w:i/>
      <w:iCs/>
      <w:color w:val="272727"/>
      <w:sz w:val="21"/>
      <w:szCs w:val="21"/>
      <w:lang w:eastAsia="en-US"/>
    </w:rPr>
  </w:style>
  <w:style w:type="paragraph" w:customStyle="1" w:styleId="xHeading2">
    <w:name w:val="x Heading 2"/>
    <w:basedOn w:val="Heading2"/>
    <w:next w:val="xParagraph"/>
    <w:qFormat/>
    <w:rsid w:val="00001612"/>
    <w:pPr>
      <w:keepLines/>
      <w:numPr>
        <w:ilvl w:val="1"/>
      </w:numPr>
      <w:spacing w:before="40" w:after="0" w:line="240" w:lineRule="auto"/>
      <w:ind w:left="576" w:right="0" w:hanging="576"/>
      <w:contextualSpacing w:val="0"/>
    </w:pPr>
    <w:rPr>
      <w:rFonts w:ascii="Calibri" w:eastAsia="Yu Gothic Light" w:hAnsi="Calibri" w:cs="Times New Roman"/>
      <w:bCs w:val="0"/>
      <w:iCs w:val="0"/>
      <w:sz w:val="26"/>
      <w:szCs w:val="26"/>
      <w:lang w:eastAsia="en-US"/>
    </w:rPr>
  </w:style>
  <w:style w:type="paragraph" w:customStyle="1" w:styleId="xHeading3">
    <w:name w:val="x Heading 3"/>
    <w:basedOn w:val="Heading3"/>
    <w:next w:val="xParagraph"/>
    <w:qFormat/>
    <w:rsid w:val="00001612"/>
    <w:pPr>
      <w:keepLines/>
      <w:numPr>
        <w:ilvl w:val="2"/>
        <w:numId w:val="1"/>
      </w:numPr>
      <w:spacing w:before="40" w:after="0" w:line="240" w:lineRule="auto"/>
      <w:ind w:right="0"/>
      <w:contextualSpacing w:val="0"/>
    </w:pPr>
    <w:rPr>
      <w:rFonts w:ascii="Calibri" w:eastAsia="Yu Gothic Light" w:hAnsi="Calibri" w:cs="Times New Roman"/>
      <w:bCs w:val="0"/>
      <w:szCs w:val="24"/>
      <w:lang w:eastAsia="en-US"/>
    </w:rPr>
  </w:style>
  <w:style w:type="paragraph" w:styleId="ListNumber2">
    <w:name w:val="List Number 2"/>
    <w:basedOn w:val="Normal"/>
    <w:rsid w:val="00F24B9C"/>
    <w:pPr>
      <w:numPr>
        <w:numId w:val="6"/>
      </w:numPr>
      <w:contextualSpacing/>
    </w:pPr>
  </w:style>
  <w:style w:type="paragraph" w:styleId="NoSpacing">
    <w:name w:val="No Spacing"/>
    <w:uiPriority w:val="1"/>
    <w:qFormat/>
    <w:rsid w:val="00F24B9C"/>
    <w:rPr>
      <w:rFonts w:asciiTheme="minorHAnsi" w:eastAsiaTheme="minorEastAsia" w:hAnsiTheme="minorHAnsi" w:cstheme="minorBidi"/>
      <w:sz w:val="22"/>
      <w:szCs w:val="22"/>
      <w:lang w:eastAsia="ja-JP"/>
    </w:rPr>
  </w:style>
  <w:style w:type="character" w:styleId="CommentReference">
    <w:name w:val="annotation reference"/>
    <w:basedOn w:val="DefaultParagraphFont"/>
    <w:uiPriority w:val="99"/>
    <w:semiHidden/>
    <w:unhideWhenUsed/>
    <w:rsid w:val="00F24B9C"/>
    <w:rPr>
      <w:sz w:val="18"/>
      <w:szCs w:val="18"/>
    </w:rPr>
  </w:style>
  <w:style w:type="paragraph" w:styleId="BalloonText">
    <w:name w:val="Balloon Text"/>
    <w:basedOn w:val="Normal"/>
    <w:link w:val="BalloonTextChar"/>
    <w:semiHidden/>
    <w:unhideWhenUsed/>
    <w:rsid w:val="00F24B9C"/>
    <w:pPr>
      <w:spacing w:line="240" w:lineRule="auto"/>
    </w:pPr>
    <w:rPr>
      <w:sz w:val="18"/>
      <w:szCs w:val="18"/>
    </w:rPr>
  </w:style>
  <w:style w:type="character" w:customStyle="1" w:styleId="BalloonTextChar">
    <w:name w:val="Balloon Text Char"/>
    <w:basedOn w:val="DefaultParagraphFont"/>
    <w:link w:val="BalloonText"/>
    <w:semiHidden/>
    <w:rsid w:val="00F24B9C"/>
    <w:rPr>
      <w:sz w:val="18"/>
      <w:szCs w:val="18"/>
    </w:rPr>
  </w:style>
  <w:style w:type="paragraph" w:styleId="List">
    <w:name w:val="List"/>
    <w:basedOn w:val="Normal"/>
    <w:rsid w:val="001D2A74"/>
    <w:pPr>
      <w:ind w:left="360" w:hanging="360"/>
      <w:contextualSpacing/>
    </w:pPr>
  </w:style>
  <w:style w:type="paragraph" w:styleId="List2">
    <w:name w:val="List 2"/>
    <w:basedOn w:val="Normal"/>
    <w:rsid w:val="001D2A74"/>
    <w:pPr>
      <w:ind w:left="720" w:hanging="360"/>
      <w:contextualSpacing/>
    </w:pPr>
  </w:style>
  <w:style w:type="paragraph" w:styleId="List3">
    <w:name w:val="List 3"/>
    <w:basedOn w:val="Normal"/>
    <w:rsid w:val="001D2A74"/>
    <w:pPr>
      <w:ind w:left="1080" w:hanging="360"/>
      <w:contextualSpacing/>
    </w:pPr>
  </w:style>
  <w:style w:type="paragraph" w:styleId="ListBullet2">
    <w:name w:val="List Bullet 2"/>
    <w:basedOn w:val="Normal"/>
    <w:rsid w:val="001D2A74"/>
    <w:pPr>
      <w:numPr>
        <w:numId w:val="12"/>
      </w:numPr>
      <w:contextualSpacing/>
    </w:pPr>
  </w:style>
  <w:style w:type="paragraph" w:customStyle="1" w:styleId="BasicParagraph">
    <w:name w:val="[Basic Paragraph]"/>
    <w:basedOn w:val="Normal"/>
    <w:uiPriority w:val="99"/>
    <w:rsid w:val="001D2A74"/>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en-US"/>
    </w:rPr>
  </w:style>
  <w:style w:type="paragraph" w:styleId="NormalWeb">
    <w:name w:val="Normal (Web)"/>
    <w:basedOn w:val="Normal"/>
    <w:uiPriority w:val="99"/>
    <w:unhideWhenUsed/>
    <w:rsid w:val="001D2A74"/>
    <w:pPr>
      <w:spacing w:before="100" w:beforeAutospacing="1" w:after="100" w:afterAutospacing="1" w:line="240" w:lineRule="auto"/>
    </w:pPr>
    <w:rPr>
      <w:rFonts w:ascii="Times" w:eastAsiaTheme="minorEastAsia" w:hAnsi="Times"/>
      <w:sz w:val="20"/>
      <w:szCs w:val="20"/>
      <w:lang w:eastAsia="en-US"/>
    </w:rPr>
  </w:style>
  <w:style w:type="paragraph" w:customStyle="1" w:styleId="EndNoteBibliography">
    <w:name w:val="EndNote Bibliography"/>
    <w:basedOn w:val="Normal"/>
    <w:rsid w:val="001D2A74"/>
    <w:pPr>
      <w:spacing w:line="240" w:lineRule="auto"/>
    </w:pPr>
    <w:rPr>
      <w:rFonts w:ascii="Georgia" w:eastAsiaTheme="minorEastAsia" w:hAnsi="Georgia" w:cstheme="minorBidi"/>
      <w:szCs w:val="20"/>
      <w:lang w:eastAsia="ja-JP"/>
    </w:rPr>
  </w:style>
  <w:style w:type="character" w:styleId="FollowedHyperlink">
    <w:name w:val="FollowedHyperlink"/>
    <w:basedOn w:val="DefaultParagraphFont"/>
    <w:semiHidden/>
    <w:unhideWhenUsed/>
    <w:rsid w:val="001D2A74"/>
    <w:rPr>
      <w:color w:val="800080" w:themeColor="followedHyperlink"/>
      <w:u w:val="single"/>
    </w:rPr>
  </w:style>
  <w:style w:type="paragraph" w:styleId="ListNumber3">
    <w:name w:val="List Number 3"/>
    <w:basedOn w:val="Normal"/>
    <w:rsid w:val="00E94C26"/>
    <w:pPr>
      <w:numPr>
        <w:numId w:val="5"/>
      </w:numPr>
      <w:contextualSpacing/>
    </w:pPr>
  </w:style>
  <w:style w:type="paragraph" w:styleId="CommentSubject">
    <w:name w:val="annotation subject"/>
    <w:basedOn w:val="CommentText"/>
    <w:next w:val="CommentText"/>
    <w:link w:val="CommentSubjectChar"/>
    <w:semiHidden/>
    <w:unhideWhenUsed/>
    <w:rsid w:val="002C4823"/>
    <w:pPr>
      <w:spacing w:after="0"/>
    </w:pPr>
    <w:rPr>
      <w:rFonts w:ascii="Times New Roman" w:eastAsia="Times New Roman" w:hAnsi="Times New Roman"/>
      <w:b/>
      <w:bCs/>
      <w:sz w:val="20"/>
      <w:szCs w:val="20"/>
      <w:lang w:eastAsia="en-GB"/>
    </w:rPr>
  </w:style>
  <w:style w:type="character" w:customStyle="1" w:styleId="CommentSubjectChar">
    <w:name w:val="Comment Subject Char"/>
    <w:basedOn w:val="CommentTextChar"/>
    <w:link w:val="CommentSubject"/>
    <w:semiHidden/>
    <w:rsid w:val="002C4823"/>
    <w:rPr>
      <w:rFonts w:ascii="Calibri" w:eastAsia="Calibri" w:hAnsi="Calibri"/>
      <w:b/>
      <w:bCs/>
      <w:sz w:val="24"/>
      <w:szCs w:val="24"/>
      <w:lang w:eastAsia="en-US"/>
    </w:rPr>
  </w:style>
  <w:style w:type="character" w:customStyle="1" w:styleId="apple-converted-space">
    <w:name w:val="apple-converted-space"/>
    <w:basedOn w:val="DefaultParagraphFont"/>
    <w:rsid w:val="00FF4CD0"/>
  </w:style>
  <w:style w:type="paragraph" w:customStyle="1" w:styleId="p2">
    <w:name w:val="p2"/>
    <w:basedOn w:val="Normal"/>
    <w:rsid w:val="00705811"/>
    <w:pPr>
      <w:spacing w:line="122" w:lineRule="atLeast"/>
    </w:pPr>
    <w:rPr>
      <w:rFonts w:ascii="Helvetica" w:hAnsi="Helvetica"/>
      <w:color w:val="2D2829"/>
      <w:sz w:val="12"/>
      <w:szCs w:val="12"/>
    </w:rPr>
  </w:style>
  <w:style w:type="paragraph" w:styleId="Revision">
    <w:name w:val="Revision"/>
    <w:hidden/>
    <w:semiHidden/>
    <w:rsid w:val="00304A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50591">
      <w:bodyDiv w:val="1"/>
      <w:marLeft w:val="0"/>
      <w:marRight w:val="0"/>
      <w:marTop w:val="0"/>
      <w:marBottom w:val="0"/>
      <w:divBdr>
        <w:top w:val="none" w:sz="0" w:space="0" w:color="auto"/>
        <w:left w:val="none" w:sz="0" w:space="0" w:color="auto"/>
        <w:bottom w:val="none" w:sz="0" w:space="0" w:color="auto"/>
        <w:right w:val="none" w:sz="0" w:space="0" w:color="auto"/>
      </w:divBdr>
    </w:div>
    <w:div w:id="345405270">
      <w:bodyDiv w:val="1"/>
      <w:marLeft w:val="0"/>
      <w:marRight w:val="0"/>
      <w:marTop w:val="0"/>
      <w:marBottom w:val="0"/>
      <w:divBdr>
        <w:top w:val="none" w:sz="0" w:space="0" w:color="auto"/>
        <w:left w:val="none" w:sz="0" w:space="0" w:color="auto"/>
        <w:bottom w:val="none" w:sz="0" w:space="0" w:color="auto"/>
        <w:right w:val="none" w:sz="0" w:space="0" w:color="auto"/>
      </w:divBdr>
    </w:div>
    <w:div w:id="368724404">
      <w:bodyDiv w:val="1"/>
      <w:marLeft w:val="0"/>
      <w:marRight w:val="0"/>
      <w:marTop w:val="0"/>
      <w:marBottom w:val="0"/>
      <w:divBdr>
        <w:top w:val="none" w:sz="0" w:space="0" w:color="auto"/>
        <w:left w:val="none" w:sz="0" w:space="0" w:color="auto"/>
        <w:bottom w:val="none" w:sz="0" w:space="0" w:color="auto"/>
        <w:right w:val="none" w:sz="0" w:space="0" w:color="auto"/>
      </w:divBdr>
    </w:div>
    <w:div w:id="417557917">
      <w:bodyDiv w:val="1"/>
      <w:marLeft w:val="0"/>
      <w:marRight w:val="0"/>
      <w:marTop w:val="0"/>
      <w:marBottom w:val="0"/>
      <w:divBdr>
        <w:top w:val="none" w:sz="0" w:space="0" w:color="auto"/>
        <w:left w:val="none" w:sz="0" w:space="0" w:color="auto"/>
        <w:bottom w:val="none" w:sz="0" w:space="0" w:color="auto"/>
        <w:right w:val="none" w:sz="0" w:space="0" w:color="auto"/>
      </w:divBdr>
    </w:div>
    <w:div w:id="673534730">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469475697">
      <w:bodyDiv w:val="1"/>
      <w:marLeft w:val="0"/>
      <w:marRight w:val="0"/>
      <w:marTop w:val="0"/>
      <w:marBottom w:val="0"/>
      <w:divBdr>
        <w:top w:val="none" w:sz="0" w:space="0" w:color="auto"/>
        <w:left w:val="none" w:sz="0" w:space="0" w:color="auto"/>
        <w:bottom w:val="none" w:sz="0" w:space="0" w:color="auto"/>
        <w:right w:val="none" w:sz="0" w:space="0" w:color="auto"/>
      </w:divBdr>
    </w:div>
    <w:div w:id="1681656588">
      <w:bodyDiv w:val="1"/>
      <w:marLeft w:val="0"/>
      <w:marRight w:val="0"/>
      <w:marTop w:val="0"/>
      <w:marBottom w:val="0"/>
      <w:divBdr>
        <w:top w:val="none" w:sz="0" w:space="0" w:color="auto"/>
        <w:left w:val="none" w:sz="0" w:space="0" w:color="auto"/>
        <w:bottom w:val="none" w:sz="0" w:space="0" w:color="auto"/>
        <w:right w:val="none" w:sz="0" w:space="0" w:color="auto"/>
      </w:divBdr>
    </w:div>
    <w:div w:id="1681855585">
      <w:bodyDiv w:val="1"/>
      <w:marLeft w:val="0"/>
      <w:marRight w:val="0"/>
      <w:marTop w:val="0"/>
      <w:marBottom w:val="0"/>
      <w:divBdr>
        <w:top w:val="none" w:sz="0" w:space="0" w:color="auto"/>
        <w:left w:val="none" w:sz="0" w:space="0" w:color="auto"/>
        <w:bottom w:val="none" w:sz="0" w:space="0" w:color="auto"/>
        <w:right w:val="none" w:sz="0" w:space="0" w:color="auto"/>
      </w:divBdr>
    </w:div>
    <w:div w:id="172290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orazzo@shu.ac.uk" TargetMode="External"/><Relationship Id="rId13" Type="http://schemas.openxmlformats.org/officeDocument/2006/relationships/hyperlink" Target="http://www" TargetMode="External"/><Relationship Id="rId18" Type="http://schemas.openxmlformats.org/officeDocument/2006/relationships/hyperlink" Target="https://www.universitiesuk.ac.uk/policy-and-analysis/reports/Documents/2015/patterns-and-trends-2015.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co-d.org/database/files/library/IcogradaEducationManifesto.pdf" TargetMode="External"/><Relationship Id="rId17" Type="http://schemas.openxmlformats.org/officeDocument/2006/relationships/hyperlink" Target="https://www-tandfonline-com.hallam.idm.oclc.org/toc/rfdc20/9/1" TargetMode="External"/><Relationship Id="rId2" Type="http://schemas.openxmlformats.org/officeDocument/2006/relationships/numbering" Target="numbering.xml"/><Relationship Id="rId16" Type="http://schemas.openxmlformats.org/officeDocument/2006/relationships/hyperlink" Target="https://www-tandfonline-com.hallam.idm.oclc.org/toc/rfdc20/curr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d.org/database/files/library/IcogradaEducationManifesto_2011.pdf" TargetMode="External"/><Relationship Id="rId5" Type="http://schemas.openxmlformats.org/officeDocument/2006/relationships/webSettings" Target="webSettings.xml"/><Relationship Id="rId15" Type="http://schemas.openxmlformats.org/officeDocument/2006/relationships/hyperlink" Target="https://www-tandfonline-com.hallam.idm.oclc.org/doi/full/10.1080/17547075.2017.1279946" TargetMode="External"/><Relationship Id="rId10" Type="http://schemas.openxmlformats.org/officeDocument/2006/relationships/hyperlink" Target="http://www.ico-d.org/connect/index/post/1961.php" TargetMode="External"/><Relationship Id="rId19" Type="http://schemas.openxmlformats.org/officeDocument/2006/relationships/hyperlink" Target="https://en.wikipedia.org/wiki/Universities_in_the_United_Kingdo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E0939-6709-BE4A-A9F3-29B1AB98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7430</Words>
  <Characters>42355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49686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
  <cp:keywords/>
  <dc:description/>
  <cp:lastModifiedBy/>
  <cp:revision>1</cp:revision>
  <cp:lastPrinted>2011-07-22T14:54:00Z</cp:lastPrinted>
  <dcterms:created xsi:type="dcterms:W3CDTF">2019-10-10T08:54:00Z</dcterms:created>
  <dcterms:modified xsi:type="dcterms:W3CDTF">2019-10-10T08:54:00Z</dcterms:modified>
  <cp:category/>
</cp:coreProperties>
</file>