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B8B8C" w14:textId="3FF59D0B" w:rsidR="00FC2FFC" w:rsidRPr="00D77948" w:rsidRDefault="00FC2FFC" w:rsidP="00FC2FFC">
      <w:pPr>
        <w:widowControl w:val="0"/>
        <w:autoSpaceDE w:val="0"/>
        <w:autoSpaceDN w:val="0"/>
        <w:adjustRightInd w:val="0"/>
        <w:rPr>
          <w:rFonts w:cs="Cambria"/>
          <w:b/>
          <w:sz w:val="20"/>
          <w:szCs w:val="20"/>
          <w:lang w:val="en-US"/>
        </w:rPr>
      </w:pPr>
      <w:r w:rsidRPr="00D77948">
        <w:rPr>
          <w:rFonts w:cs="Calibri"/>
          <w:b/>
          <w:sz w:val="20"/>
          <w:szCs w:val="20"/>
          <w:lang w:val="en-US"/>
        </w:rPr>
        <w:t>Design for Health Literacy: Transitions in Women’s Health</w:t>
      </w:r>
    </w:p>
    <w:p w14:paraId="1C2C071A" w14:textId="77777777" w:rsidR="0011081A" w:rsidRDefault="0011081A" w:rsidP="00FC2FFC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  <w:lang w:val="en-US"/>
        </w:rPr>
      </w:pPr>
    </w:p>
    <w:p w14:paraId="60192D96" w14:textId="77777777" w:rsidR="0011081A" w:rsidRPr="0011081A" w:rsidRDefault="0011081A" w:rsidP="00FC2FFC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  <w:lang w:val="en-US"/>
        </w:rPr>
      </w:pPr>
      <w:r w:rsidRPr="0011081A">
        <w:rPr>
          <w:rFonts w:cs="Calibri"/>
          <w:b/>
          <w:sz w:val="20"/>
          <w:szCs w:val="20"/>
          <w:lang w:val="en-US"/>
        </w:rPr>
        <w:t>Abstract</w:t>
      </w:r>
    </w:p>
    <w:p w14:paraId="6C457710" w14:textId="1CDB1CF9" w:rsidR="00FC2FFC" w:rsidRPr="00D77948" w:rsidRDefault="00FC2FFC" w:rsidP="0011081A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  <w:lang w:val="en-US"/>
        </w:rPr>
      </w:pPr>
      <w:r w:rsidRPr="00D77948">
        <w:rPr>
          <w:rFonts w:cs="Calibri"/>
          <w:sz w:val="20"/>
          <w:szCs w:val="20"/>
          <w:lang w:val="en-US"/>
        </w:rPr>
        <w:t>Health literacy can be understood as a person’s ability to understand, process and act on health-related informati</w:t>
      </w:r>
      <w:r w:rsidR="0011081A">
        <w:rPr>
          <w:rFonts w:cs="Calibri"/>
          <w:sz w:val="20"/>
          <w:szCs w:val="20"/>
          <w:lang w:val="en-US"/>
        </w:rPr>
        <w:t>on to support informed decision-</w:t>
      </w:r>
      <w:r w:rsidRPr="00D77948">
        <w:rPr>
          <w:rFonts w:cs="Calibri"/>
          <w:sz w:val="20"/>
          <w:szCs w:val="20"/>
          <w:lang w:val="en-US"/>
        </w:rPr>
        <w:t xml:space="preserve">making, translating </w:t>
      </w:r>
      <w:r w:rsidR="0011081A">
        <w:rPr>
          <w:rFonts w:cs="Calibri"/>
          <w:sz w:val="20"/>
          <w:szCs w:val="20"/>
          <w:lang w:val="en-US"/>
        </w:rPr>
        <w:t xml:space="preserve">onwards </w:t>
      </w:r>
      <w:r w:rsidRPr="00D77948">
        <w:rPr>
          <w:rFonts w:cs="Calibri"/>
          <w:sz w:val="20"/>
          <w:szCs w:val="20"/>
          <w:lang w:val="en-US"/>
        </w:rPr>
        <w:t>into improved health outcomes.  However, inequalities in health literacy creates s</w:t>
      </w:r>
      <w:r w:rsidR="00412C51">
        <w:rPr>
          <w:rFonts w:cs="Calibri"/>
          <w:sz w:val="20"/>
          <w:szCs w:val="20"/>
          <w:lang w:val="en-US"/>
        </w:rPr>
        <w:t>ignificant complex challenges across</w:t>
      </w:r>
      <w:r w:rsidRPr="00D77948">
        <w:rPr>
          <w:rFonts w:cs="Calibri"/>
          <w:sz w:val="20"/>
          <w:szCs w:val="20"/>
          <w:lang w:val="en-US"/>
        </w:rPr>
        <w:t xml:space="preserve"> individual, family, community and national contexts.  While health literacy is recognized as a driver for improved service delivery, policy development, community participation and education, Batterham </w:t>
      </w:r>
      <w:r w:rsidRPr="00D77948">
        <w:rPr>
          <w:rFonts w:cs="Calibri"/>
          <w:i/>
          <w:sz w:val="20"/>
          <w:szCs w:val="20"/>
          <w:lang w:val="en-US"/>
        </w:rPr>
        <w:t>et al,</w:t>
      </w:r>
      <w:r w:rsidRPr="00D77948">
        <w:rPr>
          <w:rFonts w:cs="Calibri"/>
          <w:sz w:val="20"/>
          <w:szCs w:val="20"/>
          <w:lang w:val="en-US"/>
        </w:rPr>
        <w:t xml:space="preserve"> (2016) acknowledge that the translation of health lite</w:t>
      </w:r>
      <w:r w:rsidR="00412C51">
        <w:rPr>
          <w:rFonts w:cs="Calibri"/>
          <w:sz w:val="20"/>
          <w:szCs w:val="20"/>
          <w:lang w:val="en-US"/>
        </w:rPr>
        <w:t>racy principles into practice can be</w:t>
      </w:r>
      <w:r w:rsidRPr="00D77948">
        <w:rPr>
          <w:rFonts w:cs="Calibri"/>
          <w:sz w:val="20"/>
          <w:szCs w:val="20"/>
          <w:lang w:val="en-US"/>
        </w:rPr>
        <w:t xml:space="preserve"> a challenge.</w:t>
      </w:r>
    </w:p>
    <w:p w14:paraId="69F345FA" w14:textId="77777777" w:rsidR="00FC2FFC" w:rsidRPr="00D77948" w:rsidRDefault="00FC2FFC" w:rsidP="0011081A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  <w:lang w:val="en-US"/>
        </w:rPr>
      </w:pPr>
    </w:p>
    <w:p w14:paraId="34D066C1" w14:textId="38DBD555" w:rsidR="00FC2FFC" w:rsidRPr="00D77948" w:rsidRDefault="00FC2FFC" w:rsidP="0011081A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  <w:lang w:val="en-US"/>
        </w:rPr>
      </w:pPr>
      <w:r w:rsidRPr="00D77948">
        <w:rPr>
          <w:rFonts w:cs="Calibri"/>
          <w:sz w:val="20"/>
          <w:szCs w:val="20"/>
          <w:lang w:val="en-US"/>
        </w:rPr>
        <w:t xml:space="preserve">The role of women in shaping the health outcomes of their own family and of the wider community is recognized (DeWalt and Hink, 2009) and the subsequent </w:t>
      </w:r>
      <w:r w:rsidR="00412C51">
        <w:rPr>
          <w:rFonts w:cs="Calibri"/>
          <w:sz w:val="20"/>
          <w:szCs w:val="20"/>
          <w:lang w:val="en-US"/>
        </w:rPr>
        <w:t xml:space="preserve">potential </w:t>
      </w:r>
      <w:r w:rsidRPr="00D77948">
        <w:rPr>
          <w:rFonts w:cs="Calibri"/>
          <w:sz w:val="20"/>
          <w:szCs w:val="20"/>
          <w:lang w:val="en-US"/>
        </w:rPr>
        <w:t>impact on generational health outcomes highlights women’s health as an interesting perspective for consideration.  By focusing on transitions in women’</w:t>
      </w:r>
      <w:r w:rsidR="00D77948" w:rsidRPr="00D77948">
        <w:rPr>
          <w:rFonts w:cs="Calibri"/>
          <w:sz w:val="20"/>
          <w:szCs w:val="20"/>
          <w:lang w:val="en-US"/>
        </w:rPr>
        <w:t xml:space="preserve">s health as </w:t>
      </w:r>
      <w:r w:rsidR="00EB5D31" w:rsidRPr="00D77948">
        <w:rPr>
          <w:rFonts w:cs="Calibri"/>
          <w:sz w:val="20"/>
          <w:szCs w:val="20"/>
          <w:lang w:val="en-US"/>
        </w:rPr>
        <w:t xml:space="preserve">key </w:t>
      </w:r>
      <w:r w:rsidR="00D77948" w:rsidRPr="00D77948">
        <w:rPr>
          <w:rFonts w:cs="Calibri"/>
          <w:sz w:val="20"/>
          <w:szCs w:val="20"/>
          <w:lang w:val="en-US"/>
        </w:rPr>
        <w:t xml:space="preserve">heath </w:t>
      </w:r>
      <w:r w:rsidR="00EB5D31" w:rsidRPr="00D77948">
        <w:rPr>
          <w:rFonts w:cs="Calibri"/>
          <w:sz w:val="20"/>
          <w:szCs w:val="20"/>
          <w:lang w:val="en-US"/>
        </w:rPr>
        <w:t>learning points</w:t>
      </w:r>
      <w:r w:rsidRPr="00D77948">
        <w:rPr>
          <w:rFonts w:cs="Calibri"/>
          <w:sz w:val="20"/>
          <w:szCs w:val="20"/>
          <w:lang w:val="en-US"/>
        </w:rPr>
        <w:t xml:space="preserve">, </w:t>
      </w:r>
      <w:r w:rsidR="00412C51">
        <w:rPr>
          <w:rFonts w:cs="Calibri"/>
          <w:sz w:val="20"/>
          <w:szCs w:val="20"/>
          <w:lang w:val="en-US"/>
        </w:rPr>
        <w:t>it may</w:t>
      </w:r>
      <w:r w:rsidRPr="00D77948">
        <w:rPr>
          <w:rFonts w:cs="Calibri"/>
          <w:sz w:val="20"/>
          <w:szCs w:val="20"/>
          <w:lang w:val="en-US"/>
        </w:rPr>
        <w:t xml:space="preserve"> be possible to enable meaningful and sustainable </w:t>
      </w:r>
      <w:r w:rsidR="00D77948" w:rsidRPr="00D77948">
        <w:rPr>
          <w:rFonts w:cs="Calibri"/>
          <w:sz w:val="20"/>
          <w:szCs w:val="20"/>
          <w:lang w:val="en-US"/>
        </w:rPr>
        <w:t>health literacy</w:t>
      </w:r>
      <w:r w:rsidR="00412C51">
        <w:rPr>
          <w:rFonts w:cs="Calibri"/>
          <w:sz w:val="20"/>
          <w:szCs w:val="20"/>
          <w:lang w:val="en-US"/>
        </w:rPr>
        <w:t xml:space="preserve"> and promote wider health improvement</w:t>
      </w:r>
      <w:r w:rsidR="00D77948" w:rsidRPr="00D77948">
        <w:rPr>
          <w:rFonts w:cs="Calibri"/>
          <w:sz w:val="20"/>
          <w:szCs w:val="20"/>
          <w:lang w:val="en-US"/>
        </w:rPr>
        <w:t>.</w:t>
      </w:r>
    </w:p>
    <w:p w14:paraId="1CC4B852" w14:textId="77777777" w:rsidR="00042537" w:rsidRPr="00D77948" w:rsidRDefault="00042537" w:rsidP="0011081A">
      <w:pPr>
        <w:pStyle w:val="p1"/>
        <w:jc w:val="both"/>
        <w:rPr>
          <w:rFonts w:asciiTheme="minorHAnsi" w:hAnsiTheme="minorHAnsi" w:cs="Calibri"/>
          <w:color w:val="auto"/>
          <w:sz w:val="20"/>
          <w:szCs w:val="20"/>
          <w:lang w:val="en-US" w:eastAsia="en-US"/>
        </w:rPr>
      </w:pPr>
    </w:p>
    <w:p w14:paraId="3A5F0E1B" w14:textId="40BD1A35" w:rsidR="00FC2FFC" w:rsidRPr="00D77948" w:rsidRDefault="00FC2FFC" w:rsidP="0011081A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  <w:lang w:val="en-US"/>
        </w:rPr>
      </w:pPr>
      <w:r w:rsidRPr="00D77948">
        <w:rPr>
          <w:rFonts w:cs="Calibri"/>
          <w:sz w:val="20"/>
          <w:szCs w:val="20"/>
          <w:lang w:val="en-US"/>
        </w:rPr>
        <w:t xml:space="preserve">This paper presentation </w:t>
      </w:r>
      <w:r w:rsidR="00D77948" w:rsidRPr="00D77948">
        <w:rPr>
          <w:rFonts w:cs="Calibri"/>
          <w:sz w:val="20"/>
          <w:szCs w:val="20"/>
          <w:lang w:val="en-US"/>
        </w:rPr>
        <w:t xml:space="preserve">introduces health literacy, the </w:t>
      </w:r>
      <w:r w:rsidRPr="00D77948">
        <w:rPr>
          <w:rFonts w:cs="Calibri"/>
          <w:sz w:val="20"/>
          <w:szCs w:val="20"/>
          <w:lang w:val="en-US"/>
        </w:rPr>
        <w:t>relationship to health outcome</w:t>
      </w:r>
      <w:r w:rsidR="00D77948" w:rsidRPr="00D77948">
        <w:rPr>
          <w:rFonts w:cs="Calibri"/>
          <w:sz w:val="20"/>
          <w:szCs w:val="20"/>
          <w:lang w:val="en-US"/>
        </w:rPr>
        <w:t xml:space="preserve">s for women and their families </w:t>
      </w:r>
      <w:r w:rsidRPr="00D77948">
        <w:rPr>
          <w:rFonts w:cs="Calibri"/>
          <w:sz w:val="20"/>
          <w:szCs w:val="20"/>
          <w:lang w:val="en-US"/>
        </w:rPr>
        <w:t xml:space="preserve">and the role of </w:t>
      </w:r>
      <w:r w:rsidR="00D77948" w:rsidRPr="00D77948">
        <w:rPr>
          <w:rFonts w:cs="Calibri"/>
          <w:sz w:val="20"/>
          <w:szCs w:val="20"/>
          <w:lang w:val="en-US"/>
        </w:rPr>
        <w:t xml:space="preserve">health </w:t>
      </w:r>
      <w:r w:rsidRPr="00D77948">
        <w:rPr>
          <w:rFonts w:cs="Calibri"/>
          <w:sz w:val="20"/>
          <w:szCs w:val="20"/>
          <w:lang w:val="en-US"/>
        </w:rPr>
        <w:t>transitions in positively affect women’s health literacy.  Using two case studies of design-led Ex</w:t>
      </w:r>
      <w:r w:rsidR="00D77948" w:rsidRPr="00D77948">
        <w:rPr>
          <w:rFonts w:cs="Calibri"/>
          <w:sz w:val="20"/>
          <w:szCs w:val="20"/>
          <w:lang w:val="en-US"/>
        </w:rPr>
        <w:t>perience Labs, led by the Digit</w:t>
      </w:r>
      <w:r w:rsidRPr="00D77948">
        <w:rPr>
          <w:rFonts w:cs="Calibri"/>
          <w:sz w:val="20"/>
          <w:szCs w:val="20"/>
          <w:lang w:val="en-US"/>
        </w:rPr>
        <w:t>al Health and Care Institute, this paper explores peri-natal depression</w:t>
      </w:r>
      <w:r w:rsidR="00D77948" w:rsidRPr="00D77948">
        <w:rPr>
          <w:rFonts w:cs="Calibri"/>
          <w:sz w:val="20"/>
          <w:szCs w:val="20"/>
          <w:lang w:val="en-US"/>
        </w:rPr>
        <w:t xml:space="preserve"> support</w:t>
      </w:r>
      <w:r w:rsidRPr="00D77948">
        <w:rPr>
          <w:rFonts w:cs="Calibri"/>
          <w:sz w:val="20"/>
          <w:szCs w:val="20"/>
          <w:lang w:val="en-US"/>
        </w:rPr>
        <w:t xml:space="preserve"> and breastfeeding</w:t>
      </w:r>
      <w:r w:rsidR="00D77948" w:rsidRPr="00D77948">
        <w:rPr>
          <w:rFonts w:cs="Calibri"/>
          <w:sz w:val="20"/>
          <w:szCs w:val="20"/>
          <w:lang w:val="en-US"/>
        </w:rPr>
        <w:t xml:space="preserve"> decision making</w:t>
      </w:r>
      <w:r w:rsidRPr="00D77948">
        <w:rPr>
          <w:rFonts w:cs="Calibri"/>
          <w:sz w:val="20"/>
          <w:szCs w:val="20"/>
          <w:lang w:val="en-US"/>
        </w:rPr>
        <w:t xml:space="preserve"> as transiti</w:t>
      </w:r>
      <w:r w:rsidR="00D77948" w:rsidRPr="00D77948">
        <w:rPr>
          <w:rFonts w:cs="Calibri"/>
          <w:sz w:val="20"/>
          <w:szCs w:val="20"/>
          <w:lang w:val="en-US"/>
        </w:rPr>
        <w:t xml:space="preserve">onal points in women’s health and presents the Labs examples of </w:t>
      </w:r>
      <w:r w:rsidR="00D77948" w:rsidRPr="00D77948">
        <w:rPr>
          <w:rFonts w:cs="Calibri"/>
          <w:i/>
          <w:sz w:val="20"/>
          <w:szCs w:val="20"/>
          <w:lang w:val="en-US"/>
        </w:rPr>
        <w:t>design for health literacy</w:t>
      </w:r>
      <w:r w:rsidR="00D77948" w:rsidRPr="00D77948">
        <w:rPr>
          <w:rFonts w:cs="Calibri"/>
          <w:sz w:val="20"/>
          <w:szCs w:val="20"/>
          <w:lang w:val="en-US"/>
        </w:rPr>
        <w:t xml:space="preserve">. </w:t>
      </w:r>
    </w:p>
    <w:p w14:paraId="4EBBBDA1" w14:textId="77777777" w:rsidR="00FC2FFC" w:rsidRPr="00D77948" w:rsidRDefault="00FC2FFC" w:rsidP="0011081A">
      <w:pPr>
        <w:widowControl w:val="0"/>
        <w:autoSpaceDE w:val="0"/>
        <w:autoSpaceDN w:val="0"/>
        <w:adjustRightInd w:val="0"/>
        <w:jc w:val="both"/>
        <w:rPr>
          <w:rFonts w:cs="Cambria"/>
          <w:sz w:val="20"/>
          <w:szCs w:val="20"/>
          <w:lang w:val="en-US"/>
        </w:rPr>
      </w:pPr>
    </w:p>
    <w:p w14:paraId="1366AB33" w14:textId="4CB95270" w:rsidR="00FC2FFC" w:rsidRPr="00D77948" w:rsidRDefault="00FC2FFC" w:rsidP="0011081A">
      <w:pPr>
        <w:widowControl w:val="0"/>
        <w:autoSpaceDE w:val="0"/>
        <w:autoSpaceDN w:val="0"/>
        <w:adjustRightInd w:val="0"/>
        <w:jc w:val="both"/>
        <w:rPr>
          <w:rFonts w:cs="Calibri"/>
          <w:sz w:val="20"/>
          <w:szCs w:val="20"/>
          <w:lang w:val="en-US"/>
        </w:rPr>
      </w:pPr>
      <w:r w:rsidRPr="00D77948">
        <w:rPr>
          <w:rFonts w:cs="Calibri"/>
          <w:sz w:val="20"/>
          <w:szCs w:val="20"/>
          <w:lang w:val="en-US"/>
        </w:rPr>
        <w:t>The paper highlights the inherent learning potential of co-design as an enabler of change across health systems.  By engaging health practitioners, policy makers, communities and individual citizens, opportunities and challenges for wom</w:t>
      </w:r>
      <w:bookmarkStart w:id="0" w:name="_GoBack"/>
      <w:bookmarkEnd w:id="0"/>
      <w:r w:rsidRPr="00D77948">
        <w:rPr>
          <w:rFonts w:cs="Calibri"/>
          <w:sz w:val="20"/>
          <w:szCs w:val="20"/>
          <w:lang w:val="en-US"/>
        </w:rPr>
        <w:t>en’s health literacy can be identified and through design can be reframed from a shared perspective, transforming services and delivering better health outcomes for both women and their families.  The ability of design to empower and to enable informed decision-making has significant potential to respond to low health literacy and improve access to health care as well as and responding to health equity.</w:t>
      </w:r>
    </w:p>
    <w:p w14:paraId="221D2EC8" w14:textId="77777777" w:rsidR="0011081A" w:rsidRDefault="0011081A" w:rsidP="00003780">
      <w:pPr>
        <w:pStyle w:val="p1"/>
        <w:rPr>
          <w:rFonts w:asciiTheme="minorHAnsi" w:hAnsiTheme="minorHAnsi"/>
          <w:color w:val="4472C4" w:themeColor="accent1"/>
          <w:sz w:val="20"/>
          <w:szCs w:val="20"/>
        </w:rPr>
      </w:pPr>
    </w:p>
    <w:p w14:paraId="2B40401C" w14:textId="77777777" w:rsidR="0011081A" w:rsidRDefault="0011081A" w:rsidP="0011081A">
      <w:pPr>
        <w:pStyle w:val="p1"/>
        <w:rPr>
          <w:rFonts w:asciiTheme="minorHAnsi" w:hAnsi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color w:val="000000" w:themeColor="text1"/>
          <w:sz w:val="20"/>
          <w:szCs w:val="20"/>
        </w:rPr>
        <w:t xml:space="preserve">Presented at: </w:t>
      </w:r>
    </w:p>
    <w:p w14:paraId="7749A961" w14:textId="5AE84857" w:rsidR="0011081A" w:rsidRDefault="0011081A" w:rsidP="0011081A">
      <w:pPr>
        <w:pStyle w:val="p1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D77948">
        <w:rPr>
          <w:rFonts w:asciiTheme="minorHAnsi" w:hAnsiTheme="minorHAnsi"/>
          <w:b/>
          <w:color w:val="000000" w:themeColor="text1"/>
          <w:sz w:val="20"/>
          <w:szCs w:val="20"/>
        </w:rPr>
        <w:t>FUTURES SYMPOSIUM: HEALTH &amp; WELLBEING</w:t>
      </w:r>
    </w:p>
    <w:p w14:paraId="5FF3E90B" w14:textId="77777777" w:rsidR="0011081A" w:rsidRPr="0011081A" w:rsidRDefault="0011081A" w:rsidP="0011081A">
      <w:pPr>
        <w:pStyle w:val="p1"/>
        <w:rPr>
          <w:rFonts w:asciiTheme="minorHAnsi" w:hAnsiTheme="minorHAnsi"/>
          <w:color w:val="000000" w:themeColor="text1"/>
          <w:sz w:val="20"/>
          <w:szCs w:val="20"/>
        </w:rPr>
      </w:pPr>
      <w:r w:rsidRPr="0011081A">
        <w:rPr>
          <w:rFonts w:asciiTheme="minorHAnsi" w:hAnsiTheme="minorHAnsi"/>
          <w:color w:val="000000" w:themeColor="text1"/>
          <w:sz w:val="20"/>
          <w:szCs w:val="20"/>
        </w:rPr>
        <w:t>11 October 2017, Glasgow</w:t>
      </w:r>
    </w:p>
    <w:p w14:paraId="54987191" w14:textId="77777777" w:rsidR="0011081A" w:rsidRPr="00D77948" w:rsidRDefault="0011081A" w:rsidP="00003780">
      <w:pPr>
        <w:pStyle w:val="p1"/>
        <w:rPr>
          <w:rFonts w:asciiTheme="minorHAnsi" w:hAnsiTheme="minorHAnsi"/>
          <w:color w:val="4472C4" w:themeColor="accent1"/>
          <w:sz w:val="20"/>
          <w:szCs w:val="20"/>
        </w:rPr>
      </w:pPr>
    </w:p>
    <w:p w14:paraId="155BA20F" w14:textId="77777777" w:rsidR="006E7C0F" w:rsidRPr="00FC2FFC" w:rsidRDefault="006E7C0F">
      <w:pPr>
        <w:rPr>
          <w:rFonts w:ascii="Helvetica" w:hAnsi="Helvetica"/>
          <w:color w:val="000000" w:themeColor="text1"/>
          <w:sz w:val="20"/>
          <w:szCs w:val="20"/>
        </w:rPr>
      </w:pPr>
    </w:p>
    <w:sectPr w:rsidR="006E7C0F" w:rsidRPr="00FC2FFC" w:rsidSect="008B29E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3051A"/>
    <w:rsid w:val="00042537"/>
    <w:rsid w:val="000C3E77"/>
    <w:rsid w:val="0011081A"/>
    <w:rsid w:val="0019562B"/>
    <w:rsid w:val="00412C51"/>
    <w:rsid w:val="005B16F6"/>
    <w:rsid w:val="006E7C0F"/>
    <w:rsid w:val="007D6F69"/>
    <w:rsid w:val="008B29EC"/>
    <w:rsid w:val="008E4E1B"/>
    <w:rsid w:val="00A361E4"/>
    <w:rsid w:val="00B36F4F"/>
    <w:rsid w:val="00CC17CF"/>
    <w:rsid w:val="00CC5514"/>
    <w:rsid w:val="00D77948"/>
    <w:rsid w:val="00D9386A"/>
    <w:rsid w:val="00EB5D31"/>
    <w:rsid w:val="00F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022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03780"/>
    <w:rPr>
      <w:rFonts w:ascii="Helvetica" w:hAnsi="Helvetica" w:cs="Times New Roman"/>
      <w:color w:val="515151"/>
      <w:sz w:val="18"/>
      <w:szCs w:val="18"/>
      <w:lang w:eastAsia="en-GB"/>
    </w:rPr>
  </w:style>
  <w:style w:type="character" w:customStyle="1" w:styleId="s1">
    <w:name w:val="s1"/>
    <w:basedOn w:val="DefaultParagraphFont"/>
    <w:rsid w:val="00003780"/>
    <w:rPr>
      <w:color w:val="929292"/>
    </w:rPr>
  </w:style>
  <w:style w:type="character" w:styleId="Hyperlink">
    <w:name w:val="Hyperlink"/>
    <w:basedOn w:val="DefaultParagraphFont"/>
    <w:uiPriority w:val="99"/>
    <w:unhideWhenUsed/>
    <w:rsid w:val="0019562B"/>
    <w:rPr>
      <w:color w:val="0563C1" w:themeColor="hyperlink"/>
      <w:u w:val="single"/>
    </w:rPr>
  </w:style>
  <w:style w:type="character" w:customStyle="1" w:styleId="s3">
    <w:name w:val="s3"/>
    <w:basedOn w:val="DefaultParagraphFont"/>
    <w:rsid w:val="00CC17CF"/>
  </w:style>
  <w:style w:type="character" w:customStyle="1" w:styleId="apple-converted-space">
    <w:name w:val="apple-converted-space"/>
    <w:basedOn w:val="DefaultParagraphFont"/>
    <w:rsid w:val="00CC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7683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6921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Leigh-Anne Hepburn</dc:creator>
  <cp:keywords/>
  <dc:description/>
  <cp:lastModifiedBy>Leigh-Anne Hepburn</cp:lastModifiedBy>
  <cp:revision>2</cp:revision>
  <dcterms:created xsi:type="dcterms:W3CDTF">2018-09-10T12:37:00Z</dcterms:created>
  <dcterms:modified xsi:type="dcterms:W3CDTF">2018-09-10T12:37:00Z</dcterms:modified>
</cp:coreProperties>
</file>