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A8C" w:rsidRPr="000C63CE" w:rsidRDefault="00C40A8C" w:rsidP="00C40A8C">
      <w:pPr>
        <w:spacing w:after="0" w:line="360" w:lineRule="auto"/>
        <w:contextualSpacing/>
        <w:rPr>
          <w:rFonts w:ascii="Times New Roman" w:hAnsi="Times New Roman"/>
          <w:b/>
          <w:color w:val="FF0000"/>
          <w:sz w:val="24"/>
          <w:szCs w:val="24"/>
        </w:rPr>
      </w:pPr>
      <w:bookmarkStart w:id="0" w:name="_GoBack"/>
      <w:bookmarkEnd w:id="0"/>
      <w:r w:rsidRPr="000C63CE">
        <w:rPr>
          <w:rFonts w:ascii="Times New Roman" w:hAnsi="Times New Roman"/>
          <w:b/>
          <w:sz w:val="24"/>
          <w:szCs w:val="24"/>
        </w:rPr>
        <w:t>Signing Off</w:t>
      </w:r>
    </w:p>
    <w:p w:rsidR="00C40A8C" w:rsidRPr="000C63CE" w:rsidRDefault="00C40A8C" w:rsidP="00C40A8C">
      <w:pPr>
        <w:spacing w:line="360" w:lineRule="auto"/>
        <w:contextualSpacing/>
        <w:rPr>
          <w:rFonts w:ascii="Times New Roman" w:hAnsi="Times New Roman"/>
          <w:b/>
          <w:sz w:val="24"/>
          <w:szCs w:val="24"/>
        </w:rPr>
      </w:pPr>
      <w:r w:rsidRPr="000C63CE">
        <w:rPr>
          <w:rFonts w:ascii="Times New Roman" w:hAnsi="Times New Roman"/>
          <w:b/>
          <w:sz w:val="24"/>
          <w:szCs w:val="24"/>
        </w:rPr>
        <w:t>Nicholas Oddy</w:t>
      </w:r>
    </w:p>
    <w:p w:rsidR="00C40A8C" w:rsidRPr="00FE071E" w:rsidRDefault="00C40A8C" w:rsidP="00C40A8C">
      <w:pPr>
        <w:spacing w:line="360" w:lineRule="auto"/>
        <w:contextualSpacing/>
        <w:rPr>
          <w:rFonts w:ascii="Times New Roman" w:hAnsi="Times New Roman"/>
          <w:sz w:val="24"/>
          <w:szCs w:val="24"/>
        </w:rPr>
      </w:pPr>
    </w:p>
    <w:p w:rsidR="00C40A8C" w:rsidRDefault="00C40A8C" w:rsidP="00C40A8C">
      <w:pPr>
        <w:spacing w:after="0" w:line="360" w:lineRule="auto"/>
        <w:rPr>
          <w:rFonts w:ascii="Times New Roman" w:hAnsi="Times New Roman"/>
          <w:sz w:val="24"/>
          <w:szCs w:val="24"/>
        </w:rPr>
      </w:pPr>
      <w:r w:rsidRPr="00FE071E">
        <w:rPr>
          <w:rFonts w:ascii="Times New Roman" w:hAnsi="Times New Roman"/>
          <w:sz w:val="24"/>
          <w:szCs w:val="24"/>
        </w:rPr>
        <w:t xml:space="preserve">In 1904, under the authority of </w:t>
      </w:r>
      <w:r w:rsidRPr="000C63CE">
        <w:rPr>
          <w:rFonts w:ascii="Times New Roman" w:hAnsi="Times New Roman"/>
          <w:sz w:val="24"/>
          <w:szCs w:val="24"/>
        </w:rPr>
        <w:t>The Motor Car Act,</w:t>
      </w:r>
      <w:r>
        <w:rPr>
          <w:rFonts w:ascii="Times New Roman" w:hAnsi="Times New Roman"/>
          <w:sz w:val="24"/>
          <w:szCs w:val="24"/>
        </w:rPr>
        <w:t xml:space="preserve"> of</w:t>
      </w:r>
      <w:r w:rsidRPr="000C63CE">
        <w:rPr>
          <w:rFonts w:ascii="Times New Roman" w:hAnsi="Times New Roman"/>
          <w:sz w:val="24"/>
          <w:szCs w:val="24"/>
        </w:rPr>
        <w:t xml:space="preserve"> 1903</w:t>
      </w:r>
      <w:r w:rsidRPr="00FE071E">
        <w:rPr>
          <w:rFonts w:ascii="Times New Roman" w:hAnsi="Times New Roman"/>
          <w:sz w:val="24"/>
          <w:szCs w:val="24"/>
        </w:rPr>
        <w:t>, the British Local Government Board was charged with the design and implementation of state</w:t>
      </w:r>
      <w:r>
        <w:rPr>
          <w:rFonts w:ascii="Times New Roman" w:hAnsi="Times New Roman"/>
          <w:sz w:val="24"/>
          <w:szCs w:val="24"/>
        </w:rPr>
        <w:t>-</w:t>
      </w:r>
      <w:r w:rsidRPr="00FE071E">
        <w:rPr>
          <w:rFonts w:ascii="Times New Roman" w:hAnsi="Times New Roman"/>
          <w:sz w:val="24"/>
          <w:szCs w:val="24"/>
        </w:rPr>
        <w:t>legislated road signs</w:t>
      </w:r>
      <w:r>
        <w:rPr>
          <w:rFonts w:ascii="Times New Roman" w:hAnsi="Times New Roman"/>
          <w:sz w:val="24"/>
          <w:szCs w:val="24"/>
        </w:rPr>
        <w:t>,</w:t>
      </w:r>
      <w:r w:rsidRPr="00FE071E">
        <w:rPr>
          <w:rFonts w:ascii="Times New Roman" w:hAnsi="Times New Roman"/>
          <w:sz w:val="24"/>
          <w:szCs w:val="24"/>
        </w:rPr>
        <w:t xml:space="preserve"> warning motorists of hazards such as corners and road junctions. The significance of this is that, for the first time, it shifted the responsibility for such signage from private interest groups to the state itself. The implications of this were fa</w:t>
      </w:r>
      <w:r>
        <w:rPr>
          <w:rFonts w:ascii="Times New Roman" w:hAnsi="Times New Roman"/>
          <w:sz w:val="24"/>
          <w:szCs w:val="24"/>
        </w:rPr>
        <w:t>r-</w:t>
      </w:r>
      <w:r w:rsidRPr="00FE071E">
        <w:rPr>
          <w:rFonts w:ascii="Times New Roman" w:hAnsi="Times New Roman"/>
          <w:sz w:val="24"/>
          <w:szCs w:val="24"/>
        </w:rPr>
        <w:t>reaching in terms of the politics of road use and particularly to cyclists.</w:t>
      </w:r>
    </w:p>
    <w:p w:rsidR="00C40A8C" w:rsidRPr="00FE071E" w:rsidRDefault="00C40A8C" w:rsidP="00C40A8C">
      <w:pPr>
        <w:spacing w:after="0" w:line="360" w:lineRule="auto"/>
        <w:rPr>
          <w:rFonts w:ascii="Times New Roman" w:hAnsi="Times New Roman"/>
          <w:sz w:val="24"/>
          <w:szCs w:val="24"/>
        </w:rPr>
      </w:pPr>
      <w:r w:rsidRPr="00FE071E">
        <w:rPr>
          <w:rFonts w:ascii="Times New Roman" w:hAnsi="Times New Roman"/>
          <w:sz w:val="24"/>
          <w:szCs w:val="24"/>
        </w:rPr>
        <w:t xml:space="preserve"> </w:t>
      </w:r>
    </w:p>
    <w:p w:rsidR="00C40A8C" w:rsidRPr="00FE071E" w:rsidRDefault="00C40A8C" w:rsidP="00C40A8C">
      <w:pPr>
        <w:spacing w:after="0" w:line="360" w:lineRule="auto"/>
        <w:rPr>
          <w:rFonts w:ascii="Times New Roman" w:hAnsi="Times New Roman"/>
          <w:sz w:val="24"/>
          <w:szCs w:val="24"/>
        </w:rPr>
      </w:pPr>
      <w:r w:rsidRPr="00FE071E">
        <w:rPr>
          <w:rFonts w:ascii="Times New Roman" w:hAnsi="Times New Roman"/>
          <w:sz w:val="24"/>
          <w:szCs w:val="24"/>
        </w:rPr>
        <w:t xml:space="preserve">This paper stems from a larger research project that is to be published in a special issue of </w:t>
      </w:r>
      <w:r w:rsidRPr="00FE071E">
        <w:rPr>
          <w:rFonts w:ascii="Times New Roman" w:hAnsi="Times New Roman"/>
          <w:i/>
          <w:sz w:val="24"/>
          <w:szCs w:val="24"/>
        </w:rPr>
        <w:t>Technology &amp; Culture</w:t>
      </w:r>
      <w:r w:rsidRPr="00FE071E">
        <w:rPr>
          <w:rFonts w:ascii="Times New Roman" w:hAnsi="Times New Roman"/>
          <w:sz w:val="24"/>
          <w:szCs w:val="24"/>
        </w:rPr>
        <w:t xml:space="preserve"> in 2015. It focuses on the period from the </w:t>
      </w:r>
      <w:r>
        <w:rPr>
          <w:rFonts w:ascii="Times New Roman" w:hAnsi="Times New Roman"/>
          <w:sz w:val="24"/>
          <w:szCs w:val="24"/>
        </w:rPr>
        <w:t>1880s</w:t>
      </w:r>
      <w:r w:rsidRPr="00FE071E">
        <w:rPr>
          <w:rFonts w:ascii="Times New Roman" w:hAnsi="Times New Roman"/>
          <w:sz w:val="24"/>
          <w:szCs w:val="24"/>
        </w:rPr>
        <w:t xml:space="preserve"> to </w:t>
      </w:r>
      <w:r>
        <w:rPr>
          <w:rFonts w:ascii="Times New Roman" w:hAnsi="Times New Roman"/>
          <w:sz w:val="24"/>
          <w:szCs w:val="24"/>
        </w:rPr>
        <w:t>the 1930s</w:t>
      </w:r>
      <w:r w:rsidRPr="00FE071E">
        <w:rPr>
          <w:rFonts w:ascii="Times New Roman" w:hAnsi="Times New Roman"/>
          <w:sz w:val="24"/>
          <w:szCs w:val="24"/>
        </w:rPr>
        <w:t xml:space="preserve"> and in particular</w:t>
      </w:r>
      <w:r>
        <w:rPr>
          <w:rFonts w:ascii="Times New Roman" w:hAnsi="Times New Roman"/>
          <w:sz w:val="24"/>
          <w:szCs w:val="24"/>
        </w:rPr>
        <w:t xml:space="preserve"> on </w:t>
      </w:r>
      <w:r w:rsidRPr="00FE071E">
        <w:rPr>
          <w:rFonts w:ascii="Times New Roman" w:hAnsi="Times New Roman"/>
          <w:sz w:val="24"/>
          <w:szCs w:val="24"/>
        </w:rPr>
        <w:t xml:space="preserve">the provisions of the Motor Car Act, after </w:t>
      </w:r>
      <w:r>
        <w:rPr>
          <w:rFonts w:ascii="Times New Roman" w:hAnsi="Times New Roman"/>
          <w:sz w:val="24"/>
          <w:szCs w:val="24"/>
        </w:rPr>
        <w:t>the implementation of which</w:t>
      </w:r>
      <w:r w:rsidRPr="00FE071E">
        <w:rPr>
          <w:rFonts w:ascii="Times New Roman" w:hAnsi="Times New Roman"/>
          <w:sz w:val="24"/>
          <w:szCs w:val="24"/>
        </w:rPr>
        <w:t xml:space="preserve"> the C</w:t>
      </w:r>
      <w:r>
        <w:rPr>
          <w:rFonts w:ascii="Times New Roman" w:hAnsi="Times New Roman"/>
          <w:sz w:val="24"/>
          <w:szCs w:val="24"/>
        </w:rPr>
        <w:t xml:space="preserve">yclists’ </w:t>
      </w:r>
      <w:r w:rsidRPr="00FE071E">
        <w:rPr>
          <w:rFonts w:ascii="Times New Roman" w:hAnsi="Times New Roman"/>
          <w:sz w:val="24"/>
          <w:szCs w:val="24"/>
        </w:rPr>
        <w:t>T</w:t>
      </w:r>
      <w:r>
        <w:rPr>
          <w:rFonts w:ascii="Times New Roman" w:hAnsi="Times New Roman"/>
          <w:sz w:val="24"/>
          <w:szCs w:val="24"/>
        </w:rPr>
        <w:t xml:space="preserve">ouring </w:t>
      </w:r>
      <w:r w:rsidRPr="00FE071E">
        <w:rPr>
          <w:rFonts w:ascii="Times New Roman" w:hAnsi="Times New Roman"/>
          <w:sz w:val="24"/>
          <w:szCs w:val="24"/>
        </w:rPr>
        <w:t>C</w:t>
      </w:r>
      <w:r>
        <w:rPr>
          <w:rFonts w:ascii="Times New Roman" w:hAnsi="Times New Roman"/>
          <w:sz w:val="24"/>
          <w:szCs w:val="24"/>
        </w:rPr>
        <w:t>lub</w:t>
      </w:r>
      <w:r w:rsidRPr="00FE071E">
        <w:rPr>
          <w:rFonts w:ascii="Times New Roman" w:hAnsi="Times New Roman"/>
          <w:sz w:val="24"/>
          <w:szCs w:val="24"/>
        </w:rPr>
        <w:t xml:space="preserve"> withdrew from the erection of road signage, auto club signage proliferated and the government was forced to take an expanding role in road regulation and infrastructure. </w:t>
      </w:r>
    </w:p>
    <w:p w:rsidR="00C40A8C" w:rsidRPr="00FE071E" w:rsidRDefault="00C40A8C" w:rsidP="00C40A8C">
      <w:pPr>
        <w:spacing w:line="360" w:lineRule="auto"/>
        <w:contextualSpacing/>
        <w:rPr>
          <w:rFonts w:ascii="Times New Roman" w:hAnsi="Times New Roman"/>
          <w:sz w:val="24"/>
          <w:szCs w:val="24"/>
        </w:rPr>
      </w:pPr>
    </w:p>
    <w:p w:rsidR="00C40A8C" w:rsidRPr="00FE071E"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t>The modern road-sign is largely the invention of the British cycling lobby of t</w:t>
      </w:r>
      <w:r>
        <w:rPr>
          <w:rFonts w:ascii="Times New Roman" w:hAnsi="Times New Roman"/>
          <w:sz w:val="24"/>
          <w:szCs w:val="24"/>
        </w:rPr>
        <w:t>he early 1880s in the form of ‘danger b</w:t>
      </w:r>
      <w:r w:rsidRPr="00FE071E">
        <w:rPr>
          <w:rFonts w:ascii="Times New Roman" w:hAnsi="Times New Roman"/>
          <w:sz w:val="24"/>
          <w:szCs w:val="24"/>
        </w:rPr>
        <w:t>oards’ erected by the three national organisations, the Cyclists’ Touring Club (CTC)</w:t>
      </w:r>
      <w:r>
        <w:rPr>
          <w:rFonts w:ascii="Times New Roman" w:hAnsi="Times New Roman"/>
          <w:sz w:val="24"/>
          <w:szCs w:val="24"/>
        </w:rPr>
        <w:t>,</w:t>
      </w:r>
      <w:r w:rsidRPr="00FE071E">
        <w:rPr>
          <w:rFonts w:ascii="Times New Roman" w:hAnsi="Times New Roman"/>
          <w:sz w:val="24"/>
          <w:szCs w:val="24"/>
        </w:rPr>
        <w:t xml:space="preserve"> National Cyclists’ Union (NCU) and the Scotti</w:t>
      </w:r>
      <w:r>
        <w:rPr>
          <w:rFonts w:ascii="Times New Roman" w:hAnsi="Times New Roman"/>
          <w:sz w:val="24"/>
          <w:szCs w:val="24"/>
        </w:rPr>
        <w:t>sh Cyclists’ Union (SCU). Fig.</w:t>
      </w:r>
      <w:r w:rsidRPr="00FE071E">
        <w:rPr>
          <w:rFonts w:ascii="Times New Roman" w:hAnsi="Times New Roman"/>
          <w:sz w:val="24"/>
          <w:szCs w:val="24"/>
        </w:rPr>
        <w:t xml:space="preserve"> 1 illustrates the version by the NCU; the others share a common message, but differ in detail. What makes them different from previous road-signs is that they warn of a hazard, rather than being concer</w:t>
      </w:r>
      <w:r>
        <w:rPr>
          <w:rFonts w:ascii="Times New Roman" w:hAnsi="Times New Roman"/>
          <w:sz w:val="24"/>
          <w:szCs w:val="24"/>
        </w:rPr>
        <w:t>ned with direction and distance. M</w:t>
      </w:r>
      <w:r w:rsidRPr="00FE071E">
        <w:rPr>
          <w:rFonts w:ascii="Times New Roman" w:hAnsi="Times New Roman"/>
          <w:sz w:val="24"/>
          <w:szCs w:val="24"/>
        </w:rPr>
        <w:t>oreover</w:t>
      </w:r>
      <w:r>
        <w:rPr>
          <w:rFonts w:ascii="Times New Roman" w:hAnsi="Times New Roman"/>
          <w:sz w:val="24"/>
          <w:szCs w:val="24"/>
        </w:rPr>
        <w:t>,</w:t>
      </w:r>
      <w:r w:rsidRPr="00FE071E">
        <w:rPr>
          <w:rFonts w:ascii="Times New Roman" w:hAnsi="Times New Roman"/>
          <w:sz w:val="24"/>
          <w:szCs w:val="24"/>
        </w:rPr>
        <w:t xml:space="preserve"> they were standardised for use nationally. They respond to what Sydney and Beatrice Webb called ‘through traffic’, in which the traveller did not know the road and, being mounted on a personal, fast vehicle, was likely to travelling too quickly to respond to hazards as they appeared.</w:t>
      </w:r>
      <w:r w:rsidRPr="00FE071E">
        <w:rPr>
          <w:rStyle w:val="EndnoteReference"/>
          <w:rFonts w:ascii="Times New Roman" w:hAnsi="Times New Roman"/>
          <w:sz w:val="24"/>
          <w:szCs w:val="24"/>
        </w:rPr>
        <w:endnoteReference w:id="1"/>
      </w:r>
    </w:p>
    <w:p w:rsidR="00C40A8C" w:rsidRPr="00FE071E" w:rsidRDefault="00C40A8C" w:rsidP="00C40A8C">
      <w:pPr>
        <w:spacing w:line="360" w:lineRule="auto"/>
        <w:contextualSpacing/>
        <w:rPr>
          <w:rFonts w:ascii="Times New Roman" w:hAnsi="Times New Roman"/>
          <w:sz w:val="24"/>
          <w:szCs w:val="24"/>
        </w:rPr>
      </w:pPr>
    </w:p>
    <w:p w:rsidR="00C40A8C" w:rsidRPr="00FE071E"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t>In the context of the high bicycle</w:t>
      </w:r>
      <w:r>
        <w:rPr>
          <w:rFonts w:ascii="Times New Roman" w:hAnsi="Times New Roman"/>
          <w:sz w:val="24"/>
          <w:szCs w:val="24"/>
        </w:rPr>
        <w:t>,</w:t>
      </w:r>
      <w:r w:rsidRPr="00FE071E">
        <w:rPr>
          <w:rFonts w:ascii="Times New Roman" w:hAnsi="Times New Roman"/>
          <w:sz w:val="24"/>
          <w:szCs w:val="24"/>
        </w:rPr>
        <w:t xml:space="preserve"> there were few hazards that merited such a permanent warning sign. Problems to do with the road surface were ever changing, sharp corners and most road junctions could be seen, but the nature of a descent was often concealed until it was too late. In </w:t>
      </w:r>
      <w:r w:rsidRPr="00FE071E">
        <w:rPr>
          <w:rFonts w:ascii="Times New Roman" w:hAnsi="Times New Roman"/>
          <w:sz w:val="24"/>
          <w:szCs w:val="24"/>
        </w:rPr>
        <w:lastRenderedPageBreak/>
        <w:t>the 1880s</w:t>
      </w:r>
      <w:r>
        <w:rPr>
          <w:rFonts w:ascii="Times New Roman" w:hAnsi="Times New Roman"/>
          <w:sz w:val="24"/>
          <w:szCs w:val="24"/>
        </w:rPr>
        <w:t>,</w:t>
      </w:r>
      <w:r w:rsidRPr="00FE071E">
        <w:rPr>
          <w:rFonts w:ascii="Times New Roman" w:hAnsi="Times New Roman"/>
          <w:sz w:val="24"/>
          <w:szCs w:val="24"/>
        </w:rPr>
        <w:t xml:space="preserve"> danger boards warned of one thing only, downhill slopes on which a cyclist was likely to lose control of the machine.</w:t>
      </w:r>
    </w:p>
    <w:p w:rsidR="00C40A8C" w:rsidRPr="00FE071E" w:rsidRDefault="00C40A8C" w:rsidP="00C40A8C">
      <w:pPr>
        <w:spacing w:line="360" w:lineRule="auto"/>
        <w:contextualSpacing/>
        <w:rPr>
          <w:rFonts w:ascii="Times New Roman" w:hAnsi="Times New Roman"/>
          <w:sz w:val="24"/>
          <w:szCs w:val="24"/>
        </w:rPr>
      </w:pPr>
    </w:p>
    <w:p w:rsidR="00C40A8C" w:rsidRPr="00FE071E"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t>The origins of the boards are summarised in Lightwood</w:t>
      </w:r>
      <w:r>
        <w:rPr>
          <w:rFonts w:ascii="Times New Roman" w:hAnsi="Times New Roman"/>
          <w:sz w:val="24"/>
          <w:szCs w:val="24"/>
        </w:rPr>
        <w:t>’s 1928 history of the CTC</w:t>
      </w:r>
      <w:r w:rsidRPr="00FE071E">
        <w:rPr>
          <w:rFonts w:ascii="Times New Roman" w:hAnsi="Times New Roman"/>
          <w:sz w:val="24"/>
          <w:szCs w:val="24"/>
        </w:rPr>
        <w:t>. A proposal had first been submitted to the newly-formed Bicycle Touring Club and the Bicyclist’s Union in 1878.</w:t>
      </w:r>
      <w:r w:rsidRPr="00FE071E">
        <w:rPr>
          <w:rStyle w:val="EndnoteReference"/>
          <w:rFonts w:ascii="Times New Roman" w:hAnsi="Times New Roman"/>
          <w:sz w:val="24"/>
          <w:szCs w:val="24"/>
        </w:rPr>
        <w:endnoteReference w:id="2"/>
      </w:r>
      <w:r w:rsidRPr="00FE071E">
        <w:rPr>
          <w:rFonts w:ascii="Times New Roman" w:hAnsi="Times New Roman"/>
          <w:sz w:val="24"/>
          <w:szCs w:val="24"/>
        </w:rPr>
        <w:t xml:space="preserve"> After some experiments and politicking, both organisations (by then called the Cyclists’</w:t>
      </w:r>
      <w:r w:rsidR="00C27DD2">
        <w:rPr>
          <w:rFonts w:ascii="Times New Roman" w:hAnsi="Times New Roman"/>
          <w:sz w:val="24"/>
          <w:szCs w:val="24"/>
        </w:rPr>
        <w:t xml:space="preserve"> </w:t>
      </w:r>
      <w:r w:rsidRPr="00FE071E">
        <w:rPr>
          <w:rFonts w:ascii="Times New Roman" w:hAnsi="Times New Roman"/>
          <w:sz w:val="24"/>
          <w:szCs w:val="24"/>
        </w:rPr>
        <w:t>Touring Club and National Cyclists’ Union</w:t>
      </w:r>
      <w:r>
        <w:rPr>
          <w:rFonts w:ascii="Times New Roman" w:hAnsi="Times New Roman"/>
          <w:sz w:val="24"/>
          <w:szCs w:val="24"/>
        </w:rPr>
        <w:t>,</w:t>
      </w:r>
      <w:r w:rsidRPr="00FE071E">
        <w:rPr>
          <w:rFonts w:ascii="Times New Roman" w:hAnsi="Times New Roman"/>
          <w:sz w:val="24"/>
          <w:szCs w:val="24"/>
        </w:rPr>
        <w:t xml:space="preserve"> to include tricyclists) agreed to share the cost of manufacturing an initial batch, the SCU following in their wake with their own rat</w:t>
      </w:r>
      <w:r>
        <w:rPr>
          <w:rFonts w:ascii="Times New Roman" w:hAnsi="Times New Roman"/>
          <w:sz w:val="24"/>
          <w:szCs w:val="24"/>
        </w:rPr>
        <w:t xml:space="preserve">her flamboyant version. (Fig. </w:t>
      </w:r>
      <w:r w:rsidRPr="00FE071E">
        <w:rPr>
          <w:rFonts w:ascii="Times New Roman" w:hAnsi="Times New Roman"/>
          <w:sz w:val="24"/>
          <w:szCs w:val="24"/>
        </w:rPr>
        <w:t xml:space="preserve">2) In addition, others were erected by local cycling clubs. For the next ten years the boards proliferated, with the CTC taking on the </w:t>
      </w:r>
      <w:r>
        <w:rPr>
          <w:rFonts w:ascii="Times New Roman" w:hAnsi="Times New Roman"/>
          <w:sz w:val="24"/>
          <w:szCs w:val="24"/>
        </w:rPr>
        <w:t>greatest share</w:t>
      </w:r>
      <w:r w:rsidRPr="00FE071E">
        <w:rPr>
          <w:rFonts w:ascii="Times New Roman" w:hAnsi="Times New Roman"/>
          <w:sz w:val="24"/>
          <w:szCs w:val="24"/>
        </w:rPr>
        <w:t xml:space="preserve"> in their erection and maintenance. By the early 20</w:t>
      </w:r>
      <w:r w:rsidRPr="00FE071E">
        <w:rPr>
          <w:rFonts w:ascii="Times New Roman" w:hAnsi="Times New Roman"/>
          <w:sz w:val="24"/>
          <w:szCs w:val="24"/>
          <w:vertAlign w:val="superscript"/>
        </w:rPr>
        <w:t>th</w:t>
      </w:r>
      <w:r w:rsidRPr="00FE071E">
        <w:rPr>
          <w:rFonts w:ascii="Times New Roman" w:hAnsi="Times New Roman"/>
          <w:sz w:val="24"/>
          <w:szCs w:val="24"/>
        </w:rPr>
        <w:t xml:space="preserve"> century</w:t>
      </w:r>
      <w:r>
        <w:rPr>
          <w:rFonts w:ascii="Times New Roman" w:hAnsi="Times New Roman"/>
          <w:sz w:val="24"/>
          <w:szCs w:val="24"/>
        </w:rPr>
        <w:t>, the CTC</w:t>
      </w:r>
      <w:r w:rsidRPr="00FE071E">
        <w:rPr>
          <w:rFonts w:ascii="Times New Roman" w:hAnsi="Times New Roman"/>
          <w:sz w:val="24"/>
          <w:szCs w:val="24"/>
        </w:rPr>
        <w:t xml:space="preserve"> was responsible for some 4</w:t>
      </w:r>
      <w:r>
        <w:rPr>
          <w:rFonts w:ascii="Times New Roman" w:hAnsi="Times New Roman"/>
          <w:sz w:val="24"/>
          <w:szCs w:val="24"/>
        </w:rPr>
        <w:t>,</w:t>
      </w:r>
      <w:r w:rsidRPr="00FE071E">
        <w:rPr>
          <w:rFonts w:ascii="Times New Roman" w:hAnsi="Times New Roman"/>
          <w:sz w:val="24"/>
          <w:szCs w:val="24"/>
        </w:rPr>
        <w:t>500 boards, while many others erected by the NCU, SCU and smaller clubs remained in place.</w:t>
      </w:r>
      <w:r w:rsidRPr="00FE071E">
        <w:rPr>
          <w:rStyle w:val="EndnoteReference"/>
          <w:rFonts w:ascii="Times New Roman" w:hAnsi="Times New Roman"/>
          <w:sz w:val="24"/>
          <w:szCs w:val="24"/>
        </w:rPr>
        <w:endnoteReference w:id="3"/>
      </w:r>
    </w:p>
    <w:p w:rsidR="00C40A8C" w:rsidRPr="00FE071E" w:rsidRDefault="00C40A8C" w:rsidP="00C40A8C">
      <w:pPr>
        <w:spacing w:line="360" w:lineRule="auto"/>
        <w:contextualSpacing/>
        <w:rPr>
          <w:rFonts w:ascii="Times New Roman" w:hAnsi="Times New Roman"/>
          <w:sz w:val="24"/>
          <w:szCs w:val="24"/>
        </w:rPr>
      </w:pPr>
    </w:p>
    <w:p w:rsidR="00C40A8C" w:rsidRPr="00FE071E"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t xml:space="preserve">Contrary to first appearances, the boards did not only address cyclists, nor were they merely about hills. Their long-term importance </w:t>
      </w:r>
      <w:r>
        <w:rPr>
          <w:rFonts w:ascii="Times New Roman" w:hAnsi="Times New Roman"/>
          <w:sz w:val="24"/>
          <w:szCs w:val="24"/>
        </w:rPr>
        <w:t xml:space="preserve">was and is political. In Fig. </w:t>
      </w:r>
      <w:r w:rsidRPr="00FE071E">
        <w:rPr>
          <w:rFonts w:ascii="Times New Roman" w:hAnsi="Times New Roman"/>
          <w:sz w:val="24"/>
          <w:szCs w:val="24"/>
        </w:rPr>
        <w:t xml:space="preserve">3 we can see a CTC board </w:t>
      </w:r>
      <w:r>
        <w:rPr>
          <w:rFonts w:ascii="Times New Roman" w:hAnsi="Times New Roman"/>
          <w:sz w:val="24"/>
          <w:szCs w:val="24"/>
        </w:rPr>
        <w:t>in place on a road in the 1880s;</w:t>
      </w:r>
      <w:r w:rsidRPr="00FE071E">
        <w:rPr>
          <w:rFonts w:ascii="Times New Roman" w:hAnsi="Times New Roman"/>
          <w:sz w:val="24"/>
          <w:szCs w:val="24"/>
        </w:rPr>
        <w:t xml:space="preserve"> the board is not the subject of the picture, yet it acts as a focal point.</w:t>
      </w:r>
      <w:r w:rsidRPr="00FE071E">
        <w:rPr>
          <w:rStyle w:val="EndnoteReference"/>
          <w:rFonts w:ascii="Times New Roman" w:hAnsi="Times New Roman"/>
          <w:sz w:val="24"/>
          <w:szCs w:val="24"/>
        </w:rPr>
        <w:endnoteReference w:id="4"/>
      </w:r>
      <w:r w:rsidRPr="00FE071E">
        <w:rPr>
          <w:rFonts w:ascii="Times New Roman" w:hAnsi="Times New Roman"/>
          <w:sz w:val="24"/>
          <w:szCs w:val="24"/>
        </w:rPr>
        <w:t xml:space="preserve">  Erecting prominent notices by the public highway was a territorial act of publicity. They advertised the presence of cyclists, even on a road devoid of them as here, thus stating the cyclists’ right to the road. They acted as a marker of responsibility and, in the 1880s, were also part of the Roads Improvement campaign. It is the political nature of the signs that is the subject of this paper. It encapsulates an aspect of</w:t>
      </w:r>
      <w:r w:rsidR="004E785C">
        <w:rPr>
          <w:rFonts w:ascii="Times New Roman" w:hAnsi="Times New Roman"/>
          <w:sz w:val="24"/>
          <w:szCs w:val="24"/>
        </w:rPr>
        <w:t xml:space="preserve"> the</w:t>
      </w:r>
      <w:r w:rsidRPr="00FE071E">
        <w:rPr>
          <w:rFonts w:ascii="Times New Roman" w:hAnsi="Times New Roman"/>
          <w:sz w:val="24"/>
          <w:szCs w:val="24"/>
        </w:rPr>
        <w:t xml:space="preserve"> longe</w:t>
      </w:r>
      <w:r w:rsidR="004E785C">
        <w:rPr>
          <w:rFonts w:ascii="Times New Roman" w:hAnsi="Times New Roman"/>
          <w:sz w:val="24"/>
          <w:szCs w:val="24"/>
        </w:rPr>
        <w:t>r article</w:t>
      </w:r>
      <w:r w:rsidRPr="00FE071E">
        <w:rPr>
          <w:rFonts w:ascii="Times New Roman" w:hAnsi="Times New Roman"/>
          <w:sz w:val="24"/>
          <w:szCs w:val="24"/>
        </w:rPr>
        <w:t xml:space="preserve"> in</w:t>
      </w:r>
      <w:r w:rsidRPr="00FE071E">
        <w:rPr>
          <w:rFonts w:ascii="Times New Roman" w:hAnsi="Times New Roman"/>
          <w:i/>
          <w:sz w:val="24"/>
          <w:szCs w:val="24"/>
        </w:rPr>
        <w:t xml:space="preserve"> Technology and Culture</w:t>
      </w:r>
      <w:r w:rsidR="004E785C">
        <w:rPr>
          <w:rFonts w:ascii="Times New Roman" w:hAnsi="Times New Roman"/>
          <w:sz w:val="24"/>
          <w:szCs w:val="24"/>
        </w:rPr>
        <w:t xml:space="preserve"> mentioned earlier</w:t>
      </w:r>
      <w:r w:rsidRPr="00FE071E">
        <w:rPr>
          <w:rFonts w:ascii="Times New Roman" w:hAnsi="Times New Roman"/>
          <w:sz w:val="24"/>
          <w:szCs w:val="24"/>
        </w:rPr>
        <w:t>.</w:t>
      </w:r>
    </w:p>
    <w:p w:rsidR="00C40A8C" w:rsidRPr="00FE071E" w:rsidRDefault="00C40A8C" w:rsidP="00C40A8C">
      <w:pPr>
        <w:spacing w:line="360" w:lineRule="auto"/>
        <w:contextualSpacing/>
        <w:rPr>
          <w:rFonts w:ascii="Times New Roman" w:hAnsi="Times New Roman"/>
          <w:sz w:val="24"/>
          <w:szCs w:val="24"/>
        </w:rPr>
      </w:pPr>
    </w:p>
    <w:p w:rsidR="00C40A8C" w:rsidRPr="00FE071E"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t>Wilkinso</w:t>
      </w:r>
      <w:r>
        <w:rPr>
          <w:rFonts w:ascii="Times New Roman" w:hAnsi="Times New Roman"/>
          <w:sz w:val="24"/>
          <w:szCs w:val="24"/>
        </w:rPr>
        <w:t>n, writing in 1913, underlined</w:t>
      </w:r>
      <w:r w:rsidRPr="00FE071E">
        <w:rPr>
          <w:rFonts w:ascii="Times New Roman" w:hAnsi="Times New Roman"/>
          <w:sz w:val="24"/>
          <w:szCs w:val="24"/>
        </w:rPr>
        <w:t xml:space="preserve"> the significance of the danger boards in </w:t>
      </w:r>
      <w:r w:rsidRPr="00FE071E">
        <w:rPr>
          <w:rFonts w:ascii="Times New Roman" w:hAnsi="Times New Roman"/>
          <w:i/>
          <w:sz w:val="24"/>
          <w:szCs w:val="24"/>
        </w:rPr>
        <w:t xml:space="preserve">The Highways and Byways of </w:t>
      </w:r>
      <w:proofErr w:type="gramStart"/>
      <w:r w:rsidRPr="00FE071E">
        <w:rPr>
          <w:rFonts w:ascii="Times New Roman" w:hAnsi="Times New Roman"/>
          <w:i/>
          <w:sz w:val="24"/>
          <w:szCs w:val="24"/>
        </w:rPr>
        <w:t>England</w:t>
      </w:r>
      <w:r w:rsidRPr="00FE071E">
        <w:rPr>
          <w:rFonts w:ascii="Times New Roman" w:hAnsi="Times New Roman"/>
          <w:sz w:val="24"/>
          <w:szCs w:val="24"/>
        </w:rPr>
        <w:t xml:space="preserve"> :</w:t>
      </w:r>
      <w:proofErr w:type="gramEnd"/>
      <w:r w:rsidRPr="00FE071E">
        <w:rPr>
          <w:rFonts w:ascii="Times New Roman" w:hAnsi="Times New Roman"/>
          <w:sz w:val="24"/>
          <w:szCs w:val="24"/>
        </w:rPr>
        <w:t xml:space="preserve"> </w:t>
      </w:r>
    </w:p>
    <w:p w:rsidR="007A6FFC" w:rsidRDefault="007A6FFC" w:rsidP="00C40A8C">
      <w:pPr>
        <w:spacing w:line="360" w:lineRule="auto"/>
        <w:contextualSpacing/>
        <w:rPr>
          <w:rFonts w:ascii="Times New Roman" w:hAnsi="Times New Roman"/>
          <w:sz w:val="24"/>
          <w:szCs w:val="24"/>
        </w:rPr>
      </w:pPr>
    </w:p>
    <w:p w:rsidR="00C40A8C" w:rsidRPr="00FE071E" w:rsidRDefault="00C40A8C" w:rsidP="007A6FFC">
      <w:pPr>
        <w:spacing w:line="240" w:lineRule="auto"/>
        <w:contextualSpacing/>
        <w:rPr>
          <w:rFonts w:ascii="Times New Roman" w:hAnsi="Times New Roman"/>
          <w:sz w:val="24"/>
          <w:szCs w:val="24"/>
        </w:rPr>
      </w:pPr>
      <w:r w:rsidRPr="00FE071E">
        <w:rPr>
          <w:rFonts w:ascii="Times New Roman" w:hAnsi="Times New Roman"/>
          <w:sz w:val="24"/>
          <w:szCs w:val="24"/>
        </w:rPr>
        <w:t>The club [the CTC] became known to the general public by the danger-boards which it placed on hills. It had been preceded in this useful work by the Bicycle Union...</w:t>
      </w:r>
      <w:r>
        <w:rPr>
          <w:rFonts w:ascii="Times New Roman" w:hAnsi="Times New Roman"/>
          <w:sz w:val="24"/>
          <w:szCs w:val="24"/>
        </w:rPr>
        <w:t>..</w:t>
      </w:r>
      <w:r w:rsidRPr="00FE071E">
        <w:rPr>
          <w:rFonts w:ascii="Times New Roman" w:hAnsi="Times New Roman"/>
          <w:sz w:val="24"/>
          <w:szCs w:val="24"/>
        </w:rPr>
        <w:t xml:space="preserve"> The “C.T.C.” boards, indeed, probably attracted attention more by their number than by their novelty, though they were the first seen in many parts of the country. However this may be, the club missed no opportunity of stirring up the highway authorities and doubtless paved the way for many reforms.</w:t>
      </w:r>
      <w:r w:rsidRPr="00FE071E">
        <w:rPr>
          <w:rStyle w:val="EndnoteReference"/>
          <w:rFonts w:ascii="Times New Roman" w:hAnsi="Times New Roman"/>
          <w:sz w:val="24"/>
          <w:szCs w:val="24"/>
        </w:rPr>
        <w:endnoteReference w:id="5"/>
      </w:r>
      <w:r w:rsidRPr="00FE071E">
        <w:rPr>
          <w:rFonts w:ascii="Times New Roman" w:hAnsi="Times New Roman"/>
          <w:sz w:val="24"/>
          <w:szCs w:val="24"/>
        </w:rPr>
        <w:t xml:space="preserve"> </w:t>
      </w:r>
    </w:p>
    <w:p w:rsidR="00C40A8C" w:rsidRPr="00FE071E" w:rsidRDefault="00C40A8C" w:rsidP="00C40A8C">
      <w:pPr>
        <w:spacing w:line="360" w:lineRule="auto"/>
        <w:contextualSpacing/>
        <w:rPr>
          <w:rFonts w:ascii="Times New Roman" w:hAnsi="Times New Roman"/>
          <w:sz w:val="24"/>
          <w:szCs w:val="24"/>
        </w:rPr>
      </w:pPr>
    </w:p>
    <w:p w:rsidR="00C40A8C" w:rsidRPr="00FE071E"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lastRenderedPageBreak/>
        <w:t>It is not the place of this paper to go into the road politics of the 1880s, but road improvement to the level that cyclists desired in England and Wales</w:t>
      </w:r>
      <w:r>
        <w:rPr>
          <w:rFonts w:ascii="Times New Roman" w:hAnsi="Times New Roman"/>
          <w:sz w:val="24"/>
          <w:szCs w:val="24"/>
        </w:rPr>
        <w:t xml:space="preserve"> - </w:t>
      </w:r>
      <w:r w:rsidRPr="00FE071E">
        <w:rPr>
          <w:rFonts w:ascii="Times New Roman" w:hAnsi="Times New Roman"/>
          <w:sz w:val="24"/>
          <w:szCs w:val="24"/>
        </w:rPr>
        <w:t xml:space="preserve">it had been achieved in </w:t>
      </w:r>
      <w:r>
        <w:rPr>
          <w:rFonts w:ascii="Times New Roman" w:hAnsi="Times New Roman"/>
          <w:sz w:val="24"/>
          <w:szCs w:val="24"/>
        </w:rPr>
        <w:t>Scotland some ten years earlier -</w:t>
      </w:r>
      <w:r w:rsidRPr="00FE071E">
        <w:rPr>
          <w:rFonts w:ascii="Times New Roman" w:hAnsi="Times New Roman"/>
          <w:sz w:val="24"/>
          <w:szCs w:val="24"/>
        </w:rPr>
        <w:t xml:space="preserve"> was </w:t>
      </w:r>
      <w:r w:rsidR="00B14642">
        <w:rPr>
          <w:rFonts w:ascii="Times New Roman" w:hAnsi="Times New Roman"/>
          <w:sz w:val="24"/>
          <w:szCs w:val="24"/>
        </w:rPr>
        <w:t xml:space="preserve">largely </w:t>
      </w:r>
      <w:r w:rsidRPr="00FE071E">
        <w:rPr>
          <w:rFonts w:ascii="Times New Roman" w:hAnsi="Times New Roman"/>
          <w:sz w:val="24"/>
          <w:szCs w:val="24"/>
        </w:rPr>
        <w:t xml:space="preserve">achieved in 1888 in the </w:t>
      </w:r>
      <w:r w:rsidRPr="00FE071E">
        <w:rPr>
          <w:rFonts w:ascii="Times New Roman" w:hAnsi="Times New Roman"/>
          <w:i/>
          <w:sz w:val="24"/>
          <w:szCs w:val="24"/>
        </w:rPr>
        <w:t>Local Government Act</w:t>
      </w:r>
      <w:r w:rsidRPr="00FE071E">
        <w:rPr>
          <w:rFonts w:ascii="Times New Roman" w:hAnsi="Times New Roman"/>
          <w:sz w:val="24"/>
          <w:szCs w:val="24"/>
        </w:rPr>
        <w:t>.</w:t>
      </w:r>
      <w:r w:rsidRPr="00FE071E">
        <w:rPr>
          <w:rStyle w:val="EndnoteReference"/>
          <w:rFonts w:ascii="Times New Roman" w:hAnsi="Times New Roman"/>
          <w:sz w:val="24"/>
          <w:szCs w:val="24"/>
        </w:rPr>
        <w:endnoteReference w:id="6"/>
      </w:r>
      <w:r w:rsidRPr="00FE071E">
        <w:rPr>
          <w:rFonts w:ascii="Times New Roman" w:hAnsi="Times New Roman"/>
          <w:sz w:val="24"/>
          <w:szCs w:val="24"/>
        </w:rPr>
        <w:t xml:space="preserve"> It is highly questionable if the pressures put upon government by the quasi-independent Roads Improvement Association (sponsored entirely by cyclists and constituted little more than a year earlier), or the cyclists’ clubs themselves, had much to do with th</w:t>
      </w:r>
      <w:r>
        <w:rPr>
          <w:rFonts w:ascii="Times New Roman" w:hAnsi="Times New Roman"/>
          <w:sz w:val="24"/>
          <w:szCs w:val="24"/>
        </w:rPr>
        <w:t xml:space="preserve">is, but this did not stop them </w:t>
      </w:r>
      <w:r w:rsidRPr="00FE071E">
        <w:rPr>
          <w:rFonts w:ascii="Times New Roman" w:hAnsi="Times New Roman"/>
          <w:sz w:val="24"/>
          <w:szCs w:val="24"/>
        </w:rPr>
        <w:t xml:space="preserve">claiming </w:t>
      </w:r>
      <w:r>
        <w:rPr>
          <w:rFonts w:ascii="Times New Roman" w:hAnsi="Times New Roman"/>
          <w:sz w:val="24"/>
          <w:szCs w:val="24"/>
        </w:rPr>
        <w:t xml:space="preserve">that </w:t>
      </w:r>
      <w:r w:rsidRPr="00FE071E">
        <w:rPr>
          <w:rFonts w:ascii="Times New Roman" w:hAnsi="Times New Roman"/>
          <w:sz w:val="24"/>
          <w:szCs w:val="24"/>
        </w:rPr>
        <w:t>it did.</w:t>
      </w:r>
      <w:r w:rsidRPr="00FE071E">
        <w:rPr>
          <w:rStyle w:val="EndnoteReference"/>
          <w:rFonts w:ascii="Times New Roman" w:hAnsi="Times New Roman"/>
          <w:sz w:val="24"/>
          <w:szCs w:val="24"/>
        </w:rPr>
        <w:endnoteReference w:id="7"/>
      </w:r>
      <w:r w:rsidRPr="00FE071E">
        <w:rPr>
          <w:rFonts w:ascii="Times New Roman" w:hAnsi="Times New Roman"/>
          <w:sz w:val="24"/>
          <w:szCs w:val="24"/>
        </w:rPr>
        <w:t xml:space="preserve"> Wilkinson’s much later comment confirms that their claim hit home and </w:t>
      </w:r>
      <w:r>
        <w:rPr>
          <w:rFonts w:ascii="Times New Roman" w:hAnsi="Times New Roman"/>
          <w:sz w:val="24"/>
          <w:szCs w:val="24"/>
        </w:rPr>
        <w:t xml:space="preserve">emphasizes </w:t>
      </w:r>
      <w:r w:rsidRPr="00FE071E">
        <w:rPr>
          <w:rFonts w:ascii="Times New Roman" w:hAnsi="Times New Roman"/>
          <w:sz w:val="24"/>
          <w:szCs w:val="24"/>
        </w:rPr>
        <w:t>the value of road signage as a territorial marker and political tool.</w:t>
      </w:r>
    </w:p>
    <w:p w:rsidR="00C40A8C" w:rsidRPr="00FE071E" w:rsidRDefault="00C40A8C" w:rsidP="00C40A8C">
      <w:pPr>
        <w:spacing w:line="360" w:lineRule="auto"/>
        <w:contextualSpacing/>
        <w:rPr>
          <w:rFonts w:ascii="Times New Roman" w:hAnsi="Times New Roman"/>
          <w:sz w:val="24"/>
          <w:szCs w:val="24"/>
        </w:rPr>
      </w:pPr>
    </w:p>
    <w:p w:rsidR="00C40A8C" w:rsidRPr="00FE071E"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t xml:space="preserve">While the signs continued to have political clout, their intended use began to be compromised by changing technology. In particular, the safety bicycle rendered the majority of </w:t>
      </w:r>
      <w:r>
        <w:rPr>
          <w:rFonts w:ascii="Times New Roman" w:hAnsi="Times New Roman"/>
          <w:sz w:val="24"/>
          <w:szCs w:val="24"/>
        </w:rPr>
        <w:t xml:space="preserve">the </w:t>
      </w:r>
      <w:r w:rsidRPr="00FE071E">
        <w:rPr>
          <w:rFonts w:ascii="Times New Roman" w:hAnsi="Times New Roman"/>
          <w:sz w:val="24"/>
          <w:szCs w:val="24"/>
        </w:rPr>
        <w:t xml:space="preserve">‘dangerous’ hills of the high bicycle era far less </w:t>
      </w:r>
      <w:r>
        <w:rPr>
          <w:rFonts w:ascii="Times New Roman" w:hAnsi="Times New Roman"/>
          <w:sz w:val="24"/>
          <w:szCs w:val="24"/>
        </w:rPr>
        <w:t>dangerous</w:t>
      </w:r>
      <w:r w:rsidRPr="00FE071E">
        <w:rPr>
          <w:rFonts w:ascii="Times New Roman" w:hAnsi="Times New Roman"/>
          <w:sz w:val="24"/>
          <w:szCs w:val="24"/>
        </w:rPr>
        <w:t>.</w:t>
      </w:r>
      <w:r w:rsidRPr="00FE071E">
        <w:rPr>
          <w:rStyle w:val="EndnoteReference"/>
          <w:rFonts w:ascii="Times New Roman" w:hAnsi="Times New Roman"/>
          <w:sz w:val="24"/>
          <w:szCs w:val="24"/>
        </w:rPr>
        <w:endnoteReference w:id="8"/>
      </w:r>
      <w:r w:rsidRPr="00FE071E">
        <w:rPr>
          <w:rFonts w:ascii="Times New Roman" w:hAnsi="Times New Roman"/>
          <w:sz w:val="24"/>
          <w:szCs w:val="24"/>
        </w:rPr>
        <w:t xml:space="preserve"> With the development of coaster and rim brakes in the 1890s</w:t>
      </w:r>
      <w:r>
        <w:rPr>
          <w:rFonts w:ascii="Times New Roman" w:hAnsi="Times New Roman"/>
          <w:sz w:val="24"/>
          <w:szCs w:val="24"/>
        </w:rPr>
        <w:t>,</w:t>
      </w:r>
      <w:r w:rsidRPr="00FE071E">
        <w:rPr>
          <w:rFonts w:ascii="Times New Roman" w:hAnsi="Times New Roman"/>
          <w:sz w:val="24"/>
          <w:szCs w:val="24"/>
        </w:rPr>
        <w:t xml:space="preserve"> the currency of the 1880s pattern danger board was over. This did not stop the cyclists’ organisations from erecting signs for other hazards. The CTC introduced general </w:t>
      </w:r>
      <w:r>
        <w:rPr>
          <w:rFonts w:ascii="Times New Roman" w:hAnsi="Times New Roman"/>
          <w:sz w:val="24"/>
          <w:szCs w:val="24"/>
        </w:rPr>
        <w:t>‘</w:t>
      </w:r>
      <w:r w:rsidRPr="00FE071E">
        <w:rPr>
          <w:rFonts w:ascii="Times New Roman" w:hAnsi="Times New Roman"/>
          <w:sz w:val="24"/>
          <w:szCs w:val="24"/>
        </w:rPr>
        <w:t>TO CYCLISTS</w:t>
      </w:r>
      <w:r>
        <w:rPr>
          <w:rFonts w:ascii="Times New Roman" w:hAnsi="Times New Roman"/>
          <w:sz w:val="24"/>
          <w:szCs w:val="24"/>
        </w:rPr>
        <w:t xml:space="preserve"> </w:t>
      </w:r>
      <w:r w:rsidRPr="00FE071E">
        <w:rPr>
          <w:rFonts w:ascii="Times New Roman" w:hAnsi="Times New Roman"/>
          <w:sz w:val="24"/>
          <w:szCs w:val="24"/>
        </w:rPr>
        <w:t xml:space="preserve">- RIDE WITH CAUTION’ signs in 1897, but </w:t>
      </w:r>
      <w:r>
        <w:rPr>
          <w:rFonts w:ascii="Times New Roman" w:hAnsi="Times New Roman"/>
          <w:sz w:val="24"/>
          <w:szCs w:val="24"/>
        </w:rPr>
        <w:t>re</w:t>
      </w:r>
      <w:r w:rsidRPr="00FE071E">
        <w:rPr>
          <w:rFonts w:ascii="Times New Roman" w:hAnsi="Times New Roman"/>
          <w:sz w:val="24"/>
          <w:szCs w:val="24"/>
        </w:rPr>
        <w:t>sisted the idea of signs for specific hazards.</w:t>
      </w:r>
      <w:r w:rsidRPr="00FE071E">
        <w:rPr>
          <w:rStyle w:val="EndnoteReference"/>
          <w:rFonts w:ascii="Times New Roman" w:hAnsi="Times New Roman"/>
          <w:sz w:val="24"/>
          <w:szCs w:val="24"/>
        </w:rPr>
        <w:endnoteReference w:id="9"/>
      </w:r>
      <w:r w:rsidRPr="00FE071E">
        <w:rPr>
          <w:rFonts w:ascii="Times New Roman" w:hAnsi="Times New Roman"/>
          <w:sz w:val="24"/>
          <w:szCs w:val="24"/>
        </w:rPr>
        <w:t xml:space="preserve"> (Fig</w:t>
      </w:r>
      <w:r>
        <w:rPr>
          <w:rFonts w:ascii="Times New Roman" w:hAnsi="Times New Roman"/>
          <w:sz w:val="24"/>
          <w:szCs w:val="24"/>
        </w:rPr>
        <w:t>.</w:t>
      </w:r>
      <w:r w:rsidRPr="00FE071E">
        <w:rPr>
          <w:rFonts w:ascii="Times New Roman" w:hAnsi="Times New Roman"/>
          <w:sz w:val="24"/>
          <w:szCs w:val="24"/>
        </w:rPr>
        <w:t xml:space="preserve"> 4)</w:t>
      </w:r>
    </w:p>
    <w:p w:rsidR="00C40A8C" w:rsidRPr="00FE071E" w:rsidRDefault="00C40A8C" w:rsidP="00C40A8C">
      <w:pPr>
        <w:spacing w:line="360" w:lineRule="auto"/>
        <w:contextualSpacing/>
        <w:rPr>
          <w:rFonts w:ascii="Times New Roman" w:hAnsi="Times New Roman"/>
          <w:sz w:val="24"/>
          <w:szCs w:val="24"/>
        </w:rPr>
      </w:pPr>
    </w:p>
    <w:p w:rsidR="00C40A8C" w:rsidRPr="00FE071E"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t>At this time, cycling in the U</w:t>
      </w:r>
      <w:r>
        <w:rPr>
          <w:rFonts w:ascii="Times New Roman" w:hAnsi="Times New Roman"/>
          <w:sz w:val="24"/>
          <w:szCs w:val="24"/>
        </w:rPr>
        <w:t>.</w:t>
      </w:r>
      <w:r w:rsidRPr="00FE071E">
        <w:rPr>
          <w:rFonts w:ascii="Times New Roman" w:hAnsi="Times New Roman"/>
          <w:sz w:val="24"/>
          <w:szCs w:val="24"/>
        </w:rPr>
        <w:t>K</w:t>
      </w:r>
      <w:r>
        <w:rPr>
          <w:rFonts w:ascii="Times New Roman" w:hAnsi="Times New Roman"/>
          <w:sz w:val="24"/>
          <w:szCs w:val="24"/>
        </w:rPr>
        <w:t>.</w:t>
      </w:r>
      <w:r w:rsidRPr="00FE071E">
        <w:rPr>
          <w:rFonts w:ascii="Times New Roman" w:hAnsi="Times New Roman"/>
          <w:sz w:val="24"/>
          <w:szCs w:val="24"/>
        </w:rPr>
        <w:t xml:space="preserve"> was beginning to share road space with motoring. In the U</w:t>
      </w:r>
      <w:r>
        <w:rPr>
          <w:rFonts w:ascii="Times New Roman" w:hAnsi="Times New Roman"/>
          <w:sz w:val="24"/>
          <w:szCs w:val="24"/>
        </w:rPr>
        <w:t>.</w:t>
      </w:r>
      <w:r w:rsidRPr="00FE071E">
        <w:rPr>
          <w:rFonts w:ascii="Times New Roman" w:hAnsi="Times New Roman"/>
          <w:sz w:val="24"/>
          <w:szCs w:val="24"/>
        </w:rPr>
        <w:t>K</w:t>
      </w:r>
      <w:r>
        <w:rPr>
          <w:rFonts w:ascii="Times New Roman" w:hAnsi="Times New Roman"/>
          <w:sz w:val="24"/>
          <w:szCs w:val="24"/>
        </w:rPr>
        <w:t>.</w:t>
      </w:r>
      <w:r w:rsidRPr="00FE071E">
        <w:rPr>
          <w:rFonts w:ascii="Times New Roman" w:hAnsi="Times New Roman"/>
          <w:sz w:val="24"/>
          <w:szCs w:val="24"/>
        </w:rPr>
        <w:t xml:space="preserve"> motoring became realistic after the passing of the so-called ‘emancipation act’, in fact the </w:t>
      </w:r>
      <w:r w:rsidRPr="00FE071E">
        <w:rPr>
          <w:rFonts w:ascii="Times New Roman" w:hAnsi="Times New Roman"/>
          <w:i/>
          <w:sz w:val="24"/>
          <w:szCs w:val="24"/>
        </w:rPr>
        <w:t>Locomotives on Highways Act</w:t>
      </w:r>
      <w:r w:rsidRPr="00FE071E">
        <w:rPr>
          <w:rFonts w:ascii="Times New Roman" w:hAnsi="Times New Roman"/>
          <w:sz w:val="24"/>
          <w:szCs w:val="24"/>
        </w:rPr>
        <w:t xml:space="preserve"> of 1896. Rather the same model of assertion as the cyclists had used began to be adopted by motorists. This should be no surprise </w:t>
      </w:r>
      <w:r>
        <w:rPr>
          <w:rFonts w:ascii="Times New Roman" w:hAnsi="Times New Roman"/>
          <w:sz w:val="24"/>
          <w:szCs w:val="24"/>
        </w:rPr>
        <w:t>since</w:t>
      </w:r>
      <w:r w:rsidRPr="00FE071E">
        <w:rPr>
          <w:rFonts w:ascii="Times New Roman" w:hAnsi="Times New Roman"/>
          <w:sz w:val="24"/>
          <w:szCs w:val="24"/>
        </w:rPr>
        <w:t xml:space="preserve"> many pioneering motorists were also cyclists.</w:t>
      </w:r>
      <w:r w:rsidRPr="00FE071E">
        <w:rPr>
          <w:rStyle w:val="EndnoteReference"/>
          <w:rFonts w:ascii="Times New Roman" w:hAnsi="Times New Roman"/>
          <w:sz w:val="24"/>
          <w:szCs w:val="24"/>
        </w:rPr>
        <w:endnoteReference w:id="10"/>
      </w:r>
      <w:r w:rsidRPr="00FE071E">
        <w:rPr>
          <w:rFonts w:ascii="Times New Roman" w:hAnsi="Times New Roman"/>
          <w:sz w:val="24"/>
          <w:szCs w:val="24"/>
        </w:rPr>
        <w:t xml:space="preserve"> Clubs were founded and, within a few years, began to erect road signs, based on the cyclists’ precedent. Undoubtedly</w:t>
      </w:r>
      <w:r>
        <w:rPr>
          <w:rFonts w:ascii="Times New Roman" w:hAnsi="Times New Roman"/>
          <w:sz w:val="24"/>
          <w:szCs w:val="24"/>
        </w:rPr>
        <w:t>,</w:t>
      </w:r>
      <w:r w:rsidRPr="00FE071E">
        <w:rPr>
          <w:rFonts w:ascii="Times New Roman" w:hAnsi="Times New Roman"/>
          <w:sz w:val="24"/>
          <w:szCs w:val="24"/>
        </w:rPr>
        <w:t xml:space="preserve"> the most advanced of these was the series introduced in 1902 by the Automobile Club. The club had been represented at international congresses in Europe, which had established a basic protocol for common signage based on the use of </w:t>
      </w:r>
      <w:r>
        <w:rPr>
          <w:rFonts w:ascii="Times New Roman" w:hAnsi="Times New Roman"/>
          <w:sz w:val="24"/>
          <w:szCs w:val="24"/>
        </w:rPr>
        <w:t xml:space="preserve">the </w:t>
      </w:r>
      <w:r w:rsidRPr="00FE071E">
        <w:rPr>
          <w:rFonts w:ascii="Times New Roman" w:hAnsi="Times New Roman"/>
          <w:sz w:val="24"/>
          <w:szCs w:val="24"/>
        </w:rPr>
        <w:t>pictogram, rather than text.</w:t>
      </w:r>
      <w:r w:rsidRPr="00FE071E">
        <w:rPr>
          <w:rStyle w:val="EndnoteReference"/>
          <w:rFonts w:ascii="Times New Roman" w:hAnsi="Times New Roman"/>
          <w:sz w:val="24"/>
          <w:szCs w:val="24"/>
        </w:rPr>
        <w:endnoteReference w:id="11"/>
      </w:r>
      <w:r w:rsidRPr="00FE071E">
        <w:rPr>
          <w:rFonts w:ascii="Times New Roman" w:hAnsi="Times New Roman"/>
          <w:sz w:val="24"/>
          <w:szCs w:val="24"/>
        </w:rPr>
        <w:t xml:space="preserve"> Four signs had been devised, road intersection, bends, level crossing and uneven road</w:t>
      </w:r>
      <w:r>
        <w:rPr>
          <w:rFonts w:ascii="Times New Roman" w:hAnsi="Times New Roman"/>
          <w:sz w:val="24"/>
          <w:szCs w:val="24"/>
        </w:rPr>
        <w:t>s</w:t>
      </w:r>
      <w:r w:rsidRPr="00FE071E">
        <w:rPr>
          <w:rFonts w:ascii="Times New Roman" w:hAnsi="Times New Roman"/>
          <w:sz w:val="24"/>
          <w:szCs w:val="24"/>
        </w:rPr>
        <w:t xml:space="preserve">. The AC had developed this idea </w:t>
      </w:r>
      <w:r>
        <w:rPr>
          <w:rFonts w:ascii="Times New Roman" w:hAnsi="Times New Roman"/>
          <w:sz w:val="24"/>
          <w:szCs w:val="24"/>
        </w:rPr>
        <w:t>in</w:t>
      </w:r>
      <w:r w:rsidRPr="00FE071E">
        <w:rPr>
          <w:rFonts w:ascii="Times New Roman" w:hAnsi="Times New Roman"/>
          <w:sz w:val="24"/>
          <w:szCs w:val="24"/>
        </w:rPr>
        <w:t xml:space="preserve">to the ten signs illustrated in </w:t>
      </w:r>
      <w:r>
        <w:rPr>
          <w:rFonts w:ascii="Times New Roman" w:hAnsi="Times New Roman"/>
          <w:sz w:val="24"/>
          <w:szCs w:val="24"/>
        </w:rPr>
        <w:t>F</w:t>
      </w:r>
      <w:r w:rsidRPr="00FE071E">
        <w:rPr>
          <w:rFonts w:ascii="Times New Roman" w:hAnsi="Times New Roman"/>
          <w:sz w:val="24"/>
          <w:szCs w:val="24"/>
        </w:rPr>
        <w:t>ig</w:t>
      </w:r>
      <w:r>
        <w:rPr>
          <w:rFonts w:ascii="Times New Roman" w:hAnsi="Times New Roman"/>
          <w:sz w:val="24"/>
          <w:szCs w:val="24"/>
        </w:rPr>
        <w:t xml:space="preserve">. </w:t>
      </w:r>
      <w:r w:rsidRPr="00FE071E">
        <w:rPr>
          <w:rFonts w:ascii="Times New Roman" w:hAnsi="Times New Roman"/>
          <w:sz w:val="24"/>
          <w:szCs w:val="24"/>
        </w:rPr>
        <w:t>5.</w:t>
      </w:r>
      <w:r w:rsidRPr="00FE071E">
        <w:rPr>
          <w:rStyle w:val="EndnoteReference"/>
          <w:rFonts w:ascii="Times New Roman" w:hAnsi="Times New Roman"/>
          <w:sz w:val="24"/>
          <w:szCs w:val="24"/>
        </w:rPr>
        <w:endnoteReference w:id="12"/>
      </w:r>
      <w:r w:rsidRPr="00FE071E">
        <w:rPr>
          <w:rFonts w:ascii="Times New Roman" w:hAnsi="Times New Roman"/>
          <w:sz w:val="24"/>
          <w:szCs w:val="24"/>
        </w:rPr>
        <w:t xml:space="preserve"> Had this scheme been developed, the number of AC signs would probably quickly</w:t>
      </w:r>
      <w:r>
        <w:rPr>
          <w:rFonts w:ascii="Times New Roman" w:hAnsi="Times New Roman"/>
          <w:sz w:val="24"/>
          <w:szCs w:val="24"/>
        </w:rPr>
        <w:t xml:space="preserve"> have</w:t>
      </w:r>
      <w:r w:rsidRPr="00FE071E">
        <w:rPr>
          <w:rFonts w:ascii="Times New Roman" w:hAnsi="Times New Roman"/>
          <w:sz w:val="24"/>
          <w:szCs w:val="24"/>
        </w:rPr>
        <w:t xml:space="preserve"> </w:t>
      </w:r>
      <w:r>
        <w:rPr>
          <w:rFonts w:ascii="Times New Roman" w:hAnsi="Times New Roman"/>
          <w:sz w:val="24"/>
          <w:szCs w:val="24"/>
        </w:rPr>
        <w:t xml:space="preserve"> </w:t>
      </w:r>
      <w:r w:rsidRPr="00FE071E">
        <w:rPr>
          <w:rFonts w:ascii="Times New Roman" w:hAnsi="Times New Roman"/>
          <w:sz w:val="24"/>
          <w:szCs w:val="24"/>
        </w:rPr>
        <w:t>outnumbered those of the cyclists’ clubs, but instead the AC shelved the scheme.</w:t>
      </w:r>
    </w:p>
    <w:p w:rsidR="00C40A8C" w:rsidRPr="00FE071E" w:rsidRDefault="00C40A8C" w:rsidP="00C40A8C">
      <w:pPr>
        <w:spacing w:line="360" w:lineRule="auto"/>
        <w:contextualSpacing/>
        <w:rPr>
          <w:rFonts w:ascii="Times New Roman" w:hAnsi="Times New Roman"/>
          <w:sz w:val="24"/>
          <w:szCs w:val="24"/>
        </w:rPr>
      </w:pPr>
    </w:p>
    <w:p w:rsidR="00C40A8C" w:rsidRPr="00FE071E"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lastRenderedPageBreak/>
        <w:t>The reason for the AC’s withdrawa</w:t>
      </w:r>
      <w:r>
        <w:rPr>
          <w:rFonts w:ascii="Times New Roman" w:hAnsi="Times New Roman"/>
          <w:sz w:val="24"/>
          <w:szCs w:val="24"/>
        </w:rPr>
        <w:t>l from road signage was the</w:t>
      </w:r>
      <w:r w:rsidRPr="00FE071E">
        <w:rPr>
          <w:rFonts w:ascii="Times New Roman" w:hAnsi="Times New Roman"/>
          <w:sz w:val="24"/>
          <w:szCs w:val="24"/>
        </w:rPr>
        <w:t xml:space="preserve"> </w:t>
      </w:r>
      <w:r w:rsidRPr="00C27DD2">
        <w:rPr>
          <w:rFonts w:ascii="Times New Roman" w:hAnsi="Times New Roman"/>
          <w:i/>
          <w:sz w:val="24"/>
          <w:szCs w:val="24"/>
        </w:rPr>
        <w:t>Motor Car Act</w:t>
      </w:r>
      <w:r w:rsidRPr="00FE071E">
        <w:rPr>
          <w:rFonts w:ascii="Times New Roman" w:hAnsi="Times New Roman"/>
          <w:sz w:val="24"/>
          <w:szCs w:val="24"/>
        </w:rPr>
        <w:t xml:space="preserve"> of 1903</w:t>
      </w:r>
      <w:r>
        <w:rPr>
          <w:rFonts w:ascii="Times New Roman" w:hAnsi="Times New Roman"/>
          <w:sz w:val="24"/>
          <w:szCs w:val="24"/>
        </w:rPr>
        <w:t>. The Act set out to perform a difficult balance. It attempted to address public concern about motor cars by regulating them, but in such a way to allow motorists g</w:t>
      </w:r>
      <w:r w:rsidR="00C27DD2">
        <w:rPr>
          <w:rFonts w:ascii="Times New Roman" w:hAnsi="Times New Roman"/>
          <w:sz w:val="24"/>
          <w:szCs w:val="24"/>
        </w:rPr>
        <w:t xml:space="preserve">reater freedom on the road. Part of </w:t>
      </w:r>
      <w:r>
        <w:rPr>
          <w:rFonts w:ascii="Times New Roman" w:hAnsi="Times New Roman"/>
          <w:sz w:val="24"/>
          <w:szCs w:val="24"/>
        </w:rPr>
        <w:t xml:space="preserve">the Act </w:t>
      </w:r>
      <w:r w:rsidRPr="00FE071E">
        <w:rPr>
          <w:rFonts w:ascii="Times New Roman" w:hAnsi="Times New Roman"/>
          <w:sz w:val="24"/>
          <w:szCs w:val="24"/>
        </w:rPr>
        <w:t>included provision</w:t>
      </w:r>
      <w:r>
        <w:rPr>
          <w:rFonts w:ascii="Times New Roman" w:hAnsi="Times New Roman"/>
          <w:sz w:val="24"/>
          <w:szCs w:val="24"/>
        </w:rPr>
        <w:t>s</w:t>
      </w:r>
      <w:r w:rsidRPr="00FE071E">
        <w:rPr>
          <w:rFonts w:ascii="Times New Roman" w:hAnsi="Times New Roman"/>
          <w:sz w:val="24"/>
          <w:szCs w:val="24"/>
        </w:rPr>
        <w:t xml:space="preserve"> for signage. This was not insignificant. No other state authorities had taken responsibility for the provision of road signs at this early date, indeed the European motor and touring clubs actively rejected the idea that they should. The </w:t>
      </w:r>
      <w:r>
        <w:rPr>
          <w:rFonts w:ascii="Times New Roman" w:hAnsi="Times New Roman"/>
          <w:sz w:val="24"/>
          <w:szCs w:val="24"/>
        </w:rPr>
        <w:t>A</w:t>
      </w:r>
      <w:r w:rsidRPr="00FE071E">
        <w:rPr>
          <w:rFonts w:ascii="Times New Roman" w:hAnsi="Times New Roman"/>
          <w:sz w:val="24"/>
          <w:szCs w:val="24"/>
        </w:rPr>
        <w:t>ct remitted authority for the signs to the Local Government Board, which came up with four ‘Motor Car Notices’ for implementat</w:t>
      </w:r>
      <w:r>
        <w:rPr>
          <w:rFonts w:ascii="Times New Roman" w:hAnsi="Times New Roman"/>
          <w:sz w:val="24"/>
          <w:szCs w:val="24"/>
        </w:rPr>
        <w:t xml:space="preserve">ion in 1904. As can be seen in Fig. </w:t>
      </w:r>
      <w:r w:rsidRPr="00FE071E">
        <w:rPr>
          <w:rFonts w:ascii="Times New Roman" w:hAnsi="Times New Roman"/>
          <w:sz w:val="24"/>
          <w:szCs w:val="24"/>
        </w:rPr>
        <w:t>6, their design was very different from anything previous</w:t>
      </w:r>
      <w:r>
        <w:rPr>
          <w:rFonts w:ascii="Times New Roman" w:hAnsi="Times New Roman"/>
          <w:sz w:val="24"/>
          <w:szCs w:val="24"/>
        </w:rPr>
        <w:t>ly proposed</w:t>
      </w:r>
      <w:r w:rsidRPr="00FE071E">
        <w:rPr>
          <w:rFonts w:ascii="Times New Roman" w:hAnsi="Times New Roman"/>
          <w:sz w:val="24"/>
          <w:szCs w:val="24"/>
        </w:rPr>
        <w:t xml:space="preserve"> as they relied on shape, rather than text or image.</w:t>
      </w:r>
      <w:r w:rsidRPr="00FE071E">
        <w:rPr>
          <w:rStyle w:val="EndnoteReference"/>
          <w:rFonts w:ascii="Times New Roman" w:hAnsi="Times New Roman"/>
          <w:sz w:val="24"/>
          <w:szCs w:val="24"/>
        </w:rPr>
        <w:endnoteReference w:id="13"/>
      </w:r>
      <w:r w:rsidRPr="00FE071E">
        <w:rPr>
          <w:rFonts w:ascii="Times New Roman" w:hAnsi="Times New Roman"/>
          <w:sz w:val="24"/>
          <w:szCs w:val="24"/>
        </w:rPr>
        <w:t xml:space="preserve"> Though largely forgotten in most histories, two are now recognised the world over, the red warning triangle and </w:t>
      </w:r>
      <w:r>
        <w:rPr>
          <w:rFonts w:ascii="Times New Roman" w:hAnsi="Times New Roman"/>
          <w:sz w:val="24"/>
          <w:szCs w:val="24"/>
        </w:rPr>
        <w:t xml:space="preserve">the </w:t>
      </w:r>
      <w:r w:rsidRPr="00FE071E">
        <w:rPr>
          <w:rFonts w:ascii="Times New Roman" w:hAnsi="Times New Roman"/>
          <w:sz w:val="24"/>
          <w:szCs w:val="24"/>
        </w:rPr>
        <w:t>prohibition disc. The fact that they are now so universally understood demonstrates that these signs were more than ‘motor car notices’; like the cyclists’ danger boards their public placing exposed them to the public at large, but unlike the danger boards they did not specify their user, indeed they used no text whatsoever. Thus, both their design and meaning could transfer way beyond the confines of motoring.</w:t>
      </w:r>
    </w:p>
    <w:p w:rsidR="00C40A8C" w:rsidRPr="00FE071E" w:rsidRDefault="00C40A8C" w:rsidP="00C40A8C">
      <w:pPr>
        <w:spacing w:line="360" w:lineRule="auto"/>
        <w:contextualSpacing/>
        <w:rPr>
          <w:rFonts w:ascii="Times New Roman" w:hAnsi="Times New Roman"/>
          <w:sz w:val="24"/>
          <w:szCs w:val="24"/>
        </w:rPr>
      </w:pPr>
    </w:p>
    <w:p w:rsidR="00C40A8C" w:rsidRPr="00FE071E"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t xml:space="preserve">However, from the road users’ point of view, the importance of the motor car notices was that, although they were paid for by taxpayers and erected by local authorities </w:t>
      </w:r>
      <w:r>
        <w:rPr>
          <w:rFonts w:ascii="Times New Roman" w:hAnsi="Times New Roman"/>
          <w:sz w:val="24"/>
          <w:szCs w:val="24"/>
        </w:rPr>
        <w:t>as a result of</w:t>
      </w:r>
      <w:r w:rsidRPr="00FE071E">
        <w:rPr>
          <w:rFonts w:ascii="Times New Roman" w:hAnsi="Times New Roman"/>
          <w:sz w:val="24"/>
          <w:szCs w:val="24"/>
        </w:rPr>
        <w:t xml:space="preserve"> national legislation, they only applied to a tiny minority of road users. Their design and erection can be seen as a</w:t>
      </w:r>
      <w:r>
        <w:rPr>
          <w:rFonts w:ascii="Times New Roman" w:hAnsi="Times New Roman"/>
          <w:sz w:val="24"/>
          <w:szCs w:val="24"/>
        </w:rPr>
        <w:t>n indication</w:t>
      </w:r>
      <w:r w:rsidRPr="00FE071E">
        <w:rPr>
          <w:rFonts w:ascii="Times New Roman" w:hAnsi="Times New Roman"/>
          <w:sz w:val="24"/>
          <w:szCs w:val="24"/>
        </w:rPr>
        <w:t xml:space="preserve"> that from this point on, roads were to be furnished for the use of motorists at public expense and, by default, to the disadvantage of every other road user. As the century progressed</w:t>
      </w:r>
      <w:r>
        <w:rPr>
          <w:rFonts w:ascii="Times New Roman" w:hAnsi="Times New Roman"/>
          <w:sz w:val="24"/>
          <w:szCs w:val="24"/>
        </w:rPr>
        <w:t>,</w:t>
      </w:r>
      <w:r w:rsidRPr="00FE071E">
        <w:rPr>
          <w:rFonts w:ascii="Times New Roman" w:hAnsi="Times New Roman"/>
          <w:sz w:val="24"/>
          <w:szCs w:val="24"/>
        </w:rPr>
        <w:t xml:space="preserve"> this </w:t>
      </w:r>
      <w:r>
        <w:rPr>
          <w:rFonts w:ascii="Times New Roman" w:hAnsi="Times New Roman"/>
          <w:sz w:val="24"/>
          <w:szCs w:val="24"/>
        </w:rPr>
        <w:t xml:space="preserve">in fact </w:t>
      </w:r>
      <w:r w:rsidRPr="00FE071E">
        <w:rPr>
          <w:rFonts w:ascii="Times New Roman" w:hAnsi="Times New Roman"/>
          <w:sz w:val="24"/>
          <w:szCs w:val="24"/>
        </w:rPr>
        <w:t>happened. In the U</w:t>
      </w:r>
      <w:r>
        <w:rPr>
          <w:rFonts w:ascii="Times New Roman" w:hAnsi="Times New Roman"/>
          <w:sz w:val="24"/>
          <w:szCs w:val="24"/>
        </w:rPr>
        <w:t>.</w:t>
      </w:r>
      <w:r w:rsidRPr="00FE071E">
        <w:rPr>
          <w:rFonts w:ascii="Times New Roman" w:hAnsi="Times New Roman"/>
          <w:sz w:val="24"/>
          <w:szCs w:val="24"/>
        </w:rPr>
        <w:t>K</w:t>
      </w:r>
      <w:r>
        <w:rPr>
          <w:rFonts w:ascii="Times New Roman" w:hAnsi="Times New Roman"/>
          <w:sz w:val="24"/>
          <w:szCs w:val="24"/>
        </w:rPr>
        <w:t>.,</w:t>
      </w:r>
      <w:r w:rsidRPr="00FE071E">
        <w:rPr>
          <w:rFonts w:ascii="Times New Roman" w:hAnsi="Times New Roman"/>
          <w:sz w:val="24"/>
          <w:szCs w:val="24"/>
        </w:rPr>
        <w:t xml:space="preserve"> it was fully established in the imposition of the terms of the Road Traffic Act of 1930, almost exactly a generation later.</w:t>
      </w:r>
    </w:p>
    <w:p w:rsidR="00C40A8C" w:rsidRPr="00FE071E" w:rsidRDefault="00C40A8C" w:rsidP="00C40A8C">
      <w:pPr>
        <w:spacing w:line="360" w:lineRule="auto"/>
        <w:contextualSpacing/>
        <w:rPr>
          <w:rFonts w:ascii="Times New Roman" w:hAnsi="Times New Roman"/>
          <w:sz w:val="24"/>
          <w:szCs w:val="24"/>
        </w:rPr>
      </w:pPr>
    </w:p>
    <w:p w:rsidR="00C40A8C" w:rsidRPr="00FE071E"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t xml:space="preserve">Where were cyclists in this process? After all, in 1903 anyone looking at the </w:t>
      </w:r>
      <w:r>
        <w:rPr>
          <w:rFonts w:ascii="Times New Roman" w:hAnsi="Times New Roman"/>
          <w:sz w:val="24"/>
          <w:szCs w:val="24"/>
        </w:rPr>
        <w:t xml:space="preserve">British </w:t>
      </w:r>
      <w:r w:rsidRPr="00FE071E">
        <w:rPr>
          <w:rFonts w:ascii="Times New Roman" w:hAnsi="Times New Roman"/>
          <w:sz w:val="24"/>
          <w:szCs w:val="24"/>
        </w:rPr>
        <w:t>roads would see them punctuated by cyclists’ danger and caution signs and little</w:t>
      </w:r>
      <w:r>
        <w:rPr>
          <w:rFonts w:ascii="Times New Roman" w:hAnsi="Times New Roman"/>
          <w:sz w:val="24"/>
          <w:szCs w:val="24"/>
        </w:rPr>
        <w:t xml:space="preserve"> else, and</w:t>
      </w:r>
      <w:r w:rsidRPr="00FE071E">
        <w:rPr>
          <w:rFonts w:ascii="Times New Roman" w:hAnsi="Times New Roman"/>
          <w:sz w:val="24"/>
          <w:szCs w:val="24"/>
        </w:rPr>
        <w:t xml:space="preserve"> by far the majority of personal mechanical vehicles on the road were cycles. To answer this question we have to look at the </w:t>
      </w:r>
      <w:r>
        <w:rPr>
          <w:rFonts w:ascii="Times New Roman" w:hAnsi="Times New Roman"/>
          <w:sz w:val="24"/>
          <w:szCs w:val="24"/>
        </w:rPr>
        <w:t xml:space="preserve">legal position of the </w:t>
      </w:r>
      <w:r w:rsidRPr="00FE071E">
        <w:rPr>
          <w:rFonts w:ascii="Times New Roman" w:hAnsi="Times New Roman"/>
          <w:sz w:val="24"/>
          <w:szCs w:val="24"/>
        </w:rPr>
        <w:t xml:space="preserve">two </w:t>
      </w:r>
      <w:r>
        <w:rPr>
          <w:rFonts w:ascii="Times New Roman" w:hAnsi="Times New Roman"/>
          <w:sz w:val="24"/>
          <w:szCs w:val="24"/>
        </w:rPr>
        <w:t xml:space="preserve">forms of </w:t>
      </w:r>
      <w:r w:rsidRPr="00FE071E">
        <w:rPr>
          <w:rFonts w:ascii="Times New Roman" w:hAnsi="Times New Roman"/>
          <w:sz w:val="24"/>
          <w:szCs w:val="24"/>
        </w:rPr>
        <w:t>transport</w:t>
      </w:r>
      <w:r>
        <w:rPr>
          <w:rFonts w:ascii="Times New Roman" w:hAnsi="Times New Roman"/>
          <w:sz w:val="24"/>
          <w:szCs w:val="24"/>
        </w:rPr>
        <w:t xml:space="preserve"> </w:t>
      </w:r>
      <w:r w:rsidRPr="00FE071E">
        <w:rPr>
          <w:rFonts w:ascii="Times New Roman" w:hAnsi="Times New Roman"/>
          <w:sz w:val="24"/>
          <w:szCs w:val="24"/>
        </w:rPr>
        <w:t xml:space="preserve">on the road. </w:t>
      </w:r>
    </w:p>
    <w:p w:rsidR="00C40A8C" w:rsidRPr="00FE071E" w:rsidRDefault="00C40A8C" w:rsidP="00C40A8C">
      <w:pPr>
        <w:spacing w:line="360" w:lineRule="auto"/>
        <w:contextualSpacing/>
        <w:rPr>
          <w:rFonts w:ascii="Times New Roman" w:hAnsi="Times New Roman"/>
          <w:sz w:val="24"/>
          <w:szCs w:val="24"/>
        </w:rPr>
      </w:pPr>
    </w:p>
    <w:p w:rsidR="00C40A8C" w:rsidRPr="00FE071E"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t xml:space="preserve">In the article written for </w:t>
      </w:r>
      <w:r w:rsidRPr="00FE071E">
        <w:rPr>
          <w:rFonts w:ascii="Times New Roman" w:hAnsi="Times New Roman"/>
          <w:i/>
          <w:sz w:val="24"/>
          <w:szCs w:val="24"/>
        </w:rPr>
        <w:t>Technology &amp; Culture</w:t>
      </w:r>
      <w:r>
        <w:rPr>
          <w:rFonts w:ascii="Times New Roman" w:hAnsi="Times New Roman"/>
          <w:sz w:val="24"/>
          <w:szCs w:val="24"/>
        </w:rPr>
        <w:t xml:space="preserve">, I </w:t>
      </w:r>
      <w:r w:rsidRPr="00FE071E">
        <w:rPr>
          <w:rFonts w:ascii="Times New Roman" w:hAnsi="Times New Roman"/>
          <w:sz w:val="24"/>
          <w:szCs w:val="24"/>
        </w:rPr>
        <w:t>consider</w:t>
      </w:r>
      <w:r>
        <w:rPr>
          <w:rFonts w:ascii="Times New Roman" w:hAnsi="Times New Roman"/>
          <w:sz w:val="24"/>
          <w:szCs w:val="24"/>
        </w:rPr>
        <w:t xml:space="preserve"> at length</w:t>
      </w:r>
      <w:r w:rsidRPr="00FE071E">
        <w:rPr>
          <w:rFonts w:ascii="Times New Roman" w:hAnsi="Times New Roman"/>
          <w:sz w:val="24"/>
          <w:szCs w:val="24"/>
        </w:rPr>
        <w:t xml:space="preserve"> why it is that cycling is generally deemed of low importance in major road histories, such as those by the </w:t>
      </w:r>
      <w:proofErr w:type="spellStart"/>
      <w:r w:rsidRPr="00FE071E">
        <w:rPr>
          <w:rFonts w:ascii="Times New Roman" w:hAnsi="Times New Roman"/>
          <w:sz w:val="24"/>
          <w:szCs w:val="24"/>
        </w:rPr>
        <w:t>Webbs</w:t>
      </w:r>
      <w:proofErr w:type="spellEnd"/>
      <w:r w:rsidRPr="00FE071E">
        <w:rPr>
          <w:rFonts w:ascii="Times New Roman" w:hAnsi="Times New Roman"/>
          <w:sz w:val="24"/>
          <w:szCs w:val="24"/>
        </w:rPr>
        <w:t xml:space="preserve">, writing </w:t>
      </w:r>
      <w:r w:rsidRPr="00FE071E">
        <w:rPr>
          <w:rFonts w:ascii="Times New Roman" w:hAnsi="Times New Roman"/>
          <w:sz w:val="24"/>
          <w:szCs w:val="24"/>
        </w:rPr>
        <w:lastRenderedPageBreak/>
        <w:t>as early as 1913, and William Plowden in 1970.</w:t>
      </w:r>
      <w:r w:rsidRPr="00FE071E">
        <w:rPr>
          <w:rStyle w:val="EndnoteReference"/>
          <w:rFonts w:ascii="Times New Roman" w:hAnsi="Times New Roman"/>
          <w:sz w:val="24"/>
          <w:szCs w:val="24"/>
        </w:rPr>
        <w:endnoteReference w:id="14"/>
      </w:r>
      <w:r w:rsidRPr="00FE071E">
        <w:rPr>
          <w:rFonts w:ascii="Times New Roman" w:hAnsi="Times New Roman"/>
          <w:sz w:val="24"/>
          <w:szCs w:val="24"/>
        </w:rPr>
        <w:t xml:space="preserve"> The conclusion here is one of political position. In the U</w:t>
      </w:r>
      <w:r>
        <w:rPr>
          <w:rFonts w:ascii="Times New Roman" w:hAnsi="Times New Roman"/>
          <w:sz w:val="24"/>
          <w:szCs w:val="24"/>
        </w:rPr>
        <w:t>.</w:t>
      </w:r>
      <w:r w:rsidRPr="00FE071E">
        <w:rPr>
          <w:rFonts w:ascii="Times New Roman" w:hAnsi="Times New Roman"/>
          <w:sz w:val="24"/>
          <w:szCs w:val="24"/>
        </w:rPr>
        <w:t>K</w:t>
      </w:r>
      <w:r>
        <w:rPr>
          <w:rFonts w:ascii="Times New Roman" w:hAnsi="Times New Roman"/>
          <w:sz w:val="24"/>
          <w:szCs w:val="24"/>
        </w:rPr>
        <w:t>.,</w:t>
      </w:r>
      <w:r w:rsidRPr="00FE071E">
        <w:rPr>
          <w:rFonts w:ascii="Times New Roman" w:hAnsi="Times New Roman"/>
          <w:sz w:val="24"/>
          <w:szCs w:val="24"/>
        </w:rPr>
        <w:t xml:space="preserve"> cycling was largely outside of the control of the law. The logic of all </w:t>
      </w:r>
      <w:r>
        <w:rPr>
          <w:rFonts w:ascii="Times New Roman" w:hAnsi="Times New Roman"/>
          <w:sz w:val="24"/>
          <w:szCs w:val="24"/>
        </w:rPr>
        <w:t>nineteenth</w:t>
      </w:r>
      <w:r w:rsidRPr="00FE071E">
        <w:rPr>
          <w:rFonts w:ascii="Times New Roman" w:hAnsi="Times New Roman"/>
          <w:sz w:val="24"/>
          <w:szCs w:val="24"/>
        </w:rPr>
        <w:t xml:space="preserve"> century road legislation was based on the context of foot traffic moving at walking pace, be it human or equine. Cycling seriously challenged this status quo, yet the cycling lobby was remarkably adept at keeping cycling out of legislation. In particular it was very successful in preventing cycles being seen as ‘locomotives’ within the terms of the 1865 Locomotives Act</w:t>
      </w:r>
      <w:r>
        <w:rPr>
          <w:rFonts w:ascii="Times New Roman" w:hAnsi="Times New Roman"/>
          <w:sz w:val="24"/>
          <w:szCs w:val="24"/>
        </w:rPr>
        <w:t>,</w:t>
      </w:r>
      <w:r w:rsidRPr="00FE071E">
        <w:rPr>
          <w:rFonts w:ascii="Times New Roman" w:hAnsi="Times New Roman"/>
          <w:sz w:val="24"/>
          <w:szCs w:val="24"/>
        </w:rPr>
        <w:t xml:space="preserve"> that limited these to walking pace and being attended by more than just the driver.</w:t>
      </w:r>
      <w:r w:rsidRPr="00FE071E">
        <w:rPr>
          <w:rStyle w:val="EndnoteReference"/>
          <w:rFonts w:ascii="Times New Roman" w:hAnsi="Times New Roman"/>
          <w:sz w:val="24"/>
          <w:szCs w:val="24"/>
        </w:rPr>
        <w:endnoteReference w:id="15"/>
      </w:r>
      <w:r w:rsidRPr="00FE071E">
        <w:rPr>
          <w:rFonts w:ascii="Times New Roman" w:hAnsi="Times New Roman"/>
          <w:sz w:val="24"/>
          <w:szCs w:val="24"/>
        </w:rPr>
        <w:t xml:space="preserve"> It is interesting that most cycling histories are generally congratulatory in their assessment of this avoidance of stringent control; but, should they be?</w:t>
      </w:r>
    </w:p>
    <w:p w:rsidR="00C40A8C" w:rsidRPr="00FE071E" w:rsidRDefault="00C40A8C" w:rsidP="00C40A8C">
      <w:pPr>
        <w:spacing w:line="360" w:lineRule="auto"/>
        <w:contextualSpacing/>
        <w:rPr>
          <w:rFonts w:ascii="Times New Roman" w:hAnsi="Times New Roman"/>
          <w:sz w:val="24"/>
          <w:szCs w:val="24"/>
        </w:rPr>
      </w:pPr>
    </w:p>
    <w:p w:rsidR="00C40A8C" w:rsidRPr="00FE071E"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t>After the ‘success’ of the 1888 Local Government Act in terms of road provision and maintenance, coupled with cycles being defined as ‘carriages’ in the same year (still in 2014 legally defin</w:t>
      </w:r>
      <w:r>
        <w:rPr>
          <w:rFonts w:ascii="Times New Roman" w:hAnsi="Times New Roman"/>
          <w:sz w:val="24"/>
          <w:szCs w:val="24"/>
        </w:rPr>
        <w:t>ed as such</w:t>
      </w:r>
      <w:r w:rsidRPr="00FE071E">
        <w:rPr>
          <w:rFonts w:ascii="Times New Roman" w:hAnsi="Times New Roman"/>
          <w:sz w:val="24"/>
          <w:szCs w:val="24"/>
        </w:rPr>
        <w:t>)</w:t>
      </w:r>
      <w:r>
        <w:rPr>
          <w:rFonts w:ascii="Times New Roman" w:hAnsi="Times New Roman"/>
          <w:sz w:val="24"/>
          <w:szCs w:val="24"/>
        </w:rPr>
        <w:t>,</w:t>
      </w:r>
      <w:r w:rsidRPr="00FE071E">
        <w:rPr>
          <w:rFonts w:ascii="Times New Roman" w:hAnsi="Times New Roman"/>
          <w:sz w:val="24"/>
          <w:szCs w:val="24"/>
        </w:rPr>
        <w:t xml:space="preserve"> and thus beyond significant statutory control, the political voice of cycling diminished rapidly. It had good reason to</w:t>
      </w:r>
      <w:r>
        <w:rPr>
          <w:rFonts w:ascii="Times New Roman" w:hAnsi="Times New Roman"/>
          <w:sz w:val="24"/>
          <w:szCs w:val="24"/>
        </w:rPr>
        <w:t xml:space="preserve"> since</w:t>
      </w:r>
      <w:r w:rsidRPr="00FE071E">
        <w:rPr>
          <w:rFonts w:ascii="Times New Roman" w:hAnsi="Times New Roman"/>
          <w:sz w:val="24"/>
          <w:szCs w:val="24"/>
        </w:rPr>
        <w:t xml:space="preserve"> both legislation and </w:t>
      </w:r>
      <w:r>
        <w:rPr>
          <w:rFonts w:ascii="Times New Roman" w:hAnsi="Times New Roman"/>
          <w:sz w:val="24"/>
          <w:szCs w:val="24"/>
        </w:rPr>
        <w:t xml:space="preserve">the </w:t>
      </w:r>
      <w:r w:rsidRPr="00FE071E">
        <w:rPr>
          <w:rFonts w:ascii="Times New Roman" w:hAnsi="Times New Roman"/>
          <w:sz w:val="24"/>
          <w:szCs w:val="24"/>
        </w:rPr>
        <w:t>roads seemed to be effective in handling hugely increasing numbers of cyclists. Through the 1890s</w:t>
      </w:r>
      <w:r>
        <w:rPr>
          <w:rFonts w:ascii="Times New Roman" w:hAnsi="Times New Roman"/>
          <w:sz w:val="24"/>
          <w:szCs w:val="24"/>
        </w:rPr>
        <w:t>,</w:t>
      </w:r>
      <w:r w:rsidRPr="00FE071E">
        <w:rPr>
          <w:rFonts w:ascii="Times New Roman" w:hAnsi="Times New Roman"/>
          <w:sz w:val="24"/>
          <w:szCs w:val="24"/>
        </w:rPr>
        <w:t xml:space="preserve"> the Roads Improvement A</w:t>
      </w:r>
      <w:r>
        <w:rPr>
          <w:rFonts w:ascii="Times New Roman" w:hAnsi="Times New Roman"/>
          <w:sz w:val="24"/>
          <w:szCs w:val="24"/>
        </w:rPr>
        <w:t>ssociation, for instance, seems</w:t>
      </w:r>
      <w:r w:rsidRPr="00FE071E">
        <w:rPr>
          <w:rFonts w:ascii="Times New Roman" w:hAnsi="Times New Roman"/>
          <w:sz w:val="24"/>
          <w:szCs w:val="24"/>
        </w:rPr>
        <w:t xml:space="preserve"> </w:t>
      </w:r>
      <w:r>
        <w:rPr>
          <w:rFonts w:ascii="Times New Roman" w:hAnsi="Times New Roman"/>
          <w:sz w:val="24"/>
          <w:szCs w:val="24"/>
        </w:rPr>
        <w:t xml:space="preserve">to have been </w:t>
      </w:r>
      <w:r w:rsidRPr="00FE071E">
        <w:rPr>
          <w:rFonts w:ascii="Times New Roman" w:hAnsi="Times New Roman"/>
          <w:sz w:val="24"/>
          <w:szCs w:val="24"/>
        </w:rPr>
        <w:t>no more than a talking-shop, rather than an active lobbying group.</w:t>
      </w:r>
    </w:p>
    <w:p w:rsidR="00C40A8C" w:rsidRPr="00FE071E" w:rsidRDefault="00C40A8C" w:rsidP="00C40A8C">
      <w:pPr>
        <w:spacing w:line="360" w:lineRule="auto"/>
        <w:contextualSpacing/>
        <w:rPr>
          <w:rFonts w:ascii="Times New Roman" w:hAnsi="Times New Roman"/>
          <w:sz w:val="24"/>
          <w:szCs w:val="24"/>
        </w:rPr>
      </w:pPr>
    </w:p>
    <w:p w:rsidR="00C40A8C" w:rsidRPr="00FE071E"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t>Compare this to the motorists. Motor cars came under the terms of the 1865 Locomotives Act and therefore their representative clubs had to overturn established legislation that was supported by the whole community. This placed the motorists in a very different position from the cyclists</w:t>
      </w:r>
      <w:r>
        <w:rPr>
          <w:rFonts w:ascii="Times New Roman" w:hAnsi="Times New Roman"/>
          <w:sz w:val="24"/>
          <w:szCs w:val="24"/>
        </w:rPr>
        <w:t xml:space="preserve"> - </w:t>
      </w:r>
      <w:r w:rsidRPr="00FE071E">
        <w:rPr>
          <w:rFonts w:ascii="Times New Roman" w:hAnsi="Times New Roman"/>
          <w:sz w:val="24"/>
          <w:szCs w:val="24"/>
        </w:rPr>
        <w:t xml:space="preserve"> every step the </w:t>
      </w:r>
      <w:r>
        <w:rPr>
          <w:rFonts w:ascii="Times New Roman" w:hAnsi="Times New Roman"/>
          <w:sz w:val="24"/>
          <w:szCs w:val="24"/>
        </w:rPr>
        <w:t>motor lobby took to establish</w:t>
      </w:r>
      <w:r w:rsidRPr="00FE071E">
        <w:rPr>
          <w:rFonts w:ascii="Times New Roman" w:hAnsi="Times New Roman"/>
          <w:sz w:val="24"/>
          <w:szCs w:val="24"/>
        </w:rPr>
        <w:t xml:space="preserve"> motoring had to be negotiated with </w:t>
      </w:r>
      <w:r>
        <w:rPr>
          <w:rFonts w:ascii="Times New Roman" w:hAnsi="Times New Roman"/>
          <w:sz w:val="24"/>
          <w:szCs w:val="24"/>
        </w:rPr>
        <w:t>the government. Therefore</w:t>
      </w:r>
      <w:r w:rsidRPr="00FE071E">
        <w:rPr>
          <w:rFonts w:ascii="Times New Roman" w:hAnsi="Times New Roman"/>
          <w:sz w:val="24"/>
          <w:szCs w:val="24"/>
        </w:rPr>
        <w:t xml:space="preserve"> the motorists’ organisations tended to work </w:t>
      </w:r>
      <w:r w:rsidRPr="00FE071E">
        <w:rPr>
          <w:rFonts w:ascii="Times New Roman" w:hAnsi="Times New Roman"/>
          <w:sz w:val="24"/>
          <w:szCs w:val="24"/>
          <w:u w:val="single"/>
        </w:rPr>
        <w:t>with</w:t>
      </w:r>
      <w:r w:rsidRPr="00FE071E">
        <w:rPr>
          <w:rFonts w:ascii="Times New Roman" w:hAnsi="Times New Roman"/>
          <w:sz w:val="24"/>
          <w:szCs w:val="24"/>
        </w:rPr>
        <w:t xml:space="preserve"> government to provide motoring</w:t>
      </w:r>
      <w:r>
        <w:rPr>
          <w:rFonts w:ascii="Times New Roman" w:hAnsi="Times New Roman"/>
          <w:sz w:val="24"/>
          <w:szCs w:val="24"/>
        </w:rPr>
        <w:t>-</w:t>
      </w:r>
      <w:r w:rsidRPr="00FE071E">
        <w:rPr>
          <w:rFonts w:ascii="Times New Roman" w:hAnsi="Times New Roman"/>
          <w:sz w:val="24"/>
          <w:szCs w:val="24"/>
        </w:rPr>
        <w:t>friendly legislation. This was very different from the cyclists’ position of defending themselves from controlling legislation and, when things were goo</w:t>
      </w:r>
      <w:r>
        <w:rPr>
          <w:rFonts w:ascii="Times New Roman" w:hAnsi="Times New Roman"/>
          <w:sz w:val="24"/>
          <w:szCs w:val="24"/>
        </w:rPr>
        <w:t xml:space="preserve">d, withdrawing from the arena. </w:t>
      </w:r>
      <w:r w:rsidRPr="00FE071E">
        <w:rPr>
          <w:rFonts w:ascii="Times New Roman" w:hAnsi="Times New Roman"/>
          <w:sz w:val="24"/>
          <w:szCs w:val="24"/>
        </w:rPr>
        <w:t xml:space="preserve">Unlike the CTC, the AC was deeply involved in advising on the provisions of the Motor Car Act and allowed government to take control, quite possibly knowing how much this would be to their advantage in political terms. It is worth noting that the motoring lobby in mainland Europe was often very much more in the </w:t>
      </w:r>
      <w:r>
        <w:rPr>
          <w:rFonts w:ascii="Times New Roman" w:hAnsi="Times New Roman"/>
          <w:sz w:val="24"/>
          <w:szCs w:val="24"/>
        </w:rPr>
        <w:t>British</w:t>
      </w:r>
      <w:r w:rsidRPr="00FE071E">
        <w:rPr>
          <w:rFonts w:ascii="Times New Roman" w:hAnsi="Times New Roman"/>
          <w:sz w:val="24"/>
          <w:szCs w:val="24"/>
        </w:rPr>
        <w:t xml:space="preserve"> cyclists’ position of having very limited legislation apply to their vehicles, explaining why the European motor lobby were keen not to have signage provided by government, with all the restrictions that might bring.</w:t>
      </w:r>
      <w:r w:rsidRPr="00FE071E">
        <w:rPr>
          <w:rStyle w:val="EndnoteReference"/>
          <w:rFonts w:ascii="Times New Roman" w:hAnsi="Times New Roman"/>
          <w:sz w:val="24"/>
          <w:szCs w:val="24"/>
        </w:rPr>
        <w:endnoteReference w:id="16"/>
      </w:r>
      <w:r w:rsidRPr="00FE071E">
        <w:rPr>
          <w:rFonts w:ascii="Times New Roman" w:hAnsi="Times New Roman"/>
          <w:sz w:val="24"/>
          <w:szCs w:val="24"/>
        </w:rPr>
        <w:t xml:space="preserve"> This made the motor car far more like </w:t>
      </w:r>
      <w:r w:rsidRPr="00FE071E">
        <w:rPr>
          <w:rFonts w:ascii="Times New Roman" w:hAnsi="Times New Roman"/>
          <w:sz w:val="24"/>
          <w:szCs w:val="24"/>
        </w:rPr>
        <w:lastRenderedPageBreak/>
        <w:t>the cycle in legal terms, thus tending to ally the two during the pre-1914 period, while in the UK the situation was quite the opposite.</w:t>
      </w:r>
    </w:p>
    <w:p w:rsidR="00C40A8C" w:rsidRPr="00FE071E" w:rsidRDefault="00C40A8C" w:rsidP="00C40A8C">
      <w:pPr>
        <w:spacing w:line="360" w:lineRule="auto"/>
        <w:contextualSpacing/>
        <w:rPr>
          <w:rFonts w:ascii="Times New Roman" w:hAnsi="Times New Roman"/>
          <w:sz w:val="24"/>
          <w:szCs w:val="24"/>
        </w:rPr>
      </w:pPr>
    </w:p>
    <w:p w:rsidR="00C40A8C" w:rsidRPr="003C4E2F"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t xml:space="preserve">The situation might have been very different had the council of the CTC decided to ally themselves with the AC to provide a lobby group for all personal mechanical vehicles on the road and </w:t>
      </w:r>
      <w:r>
        <w:rPr>
          <w:rFonts w:ascii="Times New Roman" w:hAnsi="Times New Roman"/>
          <w:sz w:val="24"/>
          <w:szCs w:val="24"/>
        </w:rPr>
        <w:t xml:space="preserve">thus </w:t>
      </w:r>
      <w:r w:rsidRPr="00FE071E">
        <w:rPr>
          <w:rFonts w:ascii="Times New Roman" w:hAnsi="Times New Roman"/>
          <w:sz w:val="24"/>
          <w:szCs w:val="24"/>
        </w:rPr>
        <w:t xml:space="preserve">allow </w:t>
      </w:r>
      <w:r w:rsidR="002B0721">
        <w:rPr>
          <w:rFonts w:ascii="Times New Roman" w:hAnsi="Times New Roman"/>
          <w:sz w:val="24"/>
          <w:szCs w:val="24"/>
        </w:rPr>
        <w:t>cycling to be drawn into legislation as a partner to motoring</w:t>
      </w:r>
      <w:r w:rsidRPr="00FE071E">
        <w:rPr>
          <w:rFonts w:ascii="Times New Roman" w:hAnsi="Times New Roman"/>
          <w:sz w:val="24"/>
          <w:szCs w:val="24"/>
        </w:rPr>
        <w:t>. The fact that they did quite the opposite, ending in the divisive high court ruling of 1906, sealed the fate of the cycling lobby.</w:t>
      </w:r>
      <w:r w:rsidRPr="00FE071E">
        <w:rPr>
          <w:rStyle w:val="EndnoteReference"/>
          <w:rFonts w:ascii="Times New Roman" w:hAnsi="Times New Roman"/>
          <w:sz w:val="24"/>
          <w:szCs w:val="24"/>
        </w:rPr>
        <w:endnoteReference w:id="17"/>
      </w:r>
      <w:r w:rsidRPr="00FE071E">
        <w:rPr>
          <w:rFonts w:ascii="Times New Roman" w:hAnsi="Times New Roman"/>
          <w:sz w:val="24"/>
          <w:szCs w:val="24"/>
        </w:rPr>
        <w:t xml:space="preserve"> The CTC found itself in a stalemate. Cycling was outside of legislation (which is what it desired)</w:t>
      </w:r>
      <w:r>
        <w:rPr>
          <w:rFonts w:ascii="Times New Roman" w:hAnsi="Times New Roman"/>
          <w:sz w:val="24"/>
          <w:szCs w:val="24"/>
        </w:rPr>
        <w:t>,</w:t>
      </w:r>
      <w:r w:rsidRPr="00FE071E">
        <w:rPr>
          <w:rFonts w:ascii="Times New Roman" w:hAnsi="Times New Roman"/>
          <w:sz w:val="24"/>
          <w:szCs w:val="24"/>
        </w:rPr>
        <w:t xml:space="preserve"> but as a result had no place in its writing, which was, from 1903, geared entirely to the motorists. The dichotomy of this position was probably best illustrated in the CTC’s attempts to avoid a ‘red light act’ in the late 1920s.</w:t>
      </w:r>
      <w:r w:rsidRPr="00FE071E">
        <w:rPr>
          <w:rStyle w:val="EndnoteReference"/>
          <w:rFonts w:ascii="Times New Roman" w:hAnsi="Times New Roman"/>
          <w:sz w:val="24"/>
          <w:szCs w:val="24"/>
        </w:rPr>
        <w:endnoteReference w:id="18"/>
      </w:r>
      <w:r w:rsidRPr="00FE071E">
        <w:rPr>
          <w:rFonts w:ascii="Times New Roman" w:hAnsi="Times New Roman"/>
          <w:sz w:val="24"/>
          <w:szCs w:val="24"/>
        </w:rPr>
        <w:t xml:space="preserve"> The intellectual position belonged to the </w:t>
      </w:r>
      <w:r>
        <w:rPr>
          <w:rFonts w:ascii="Times New Roman" w:hAnsi="Times New Roman"/>
          <w:sz w:val="24"/>
          <w:szCs w:val="24"/>
        </w:rPr>
        <w:t>nineteenth</w:t>
      </w:r>
      <w:r w:rsidRPr="00FE071E">
        <w:rPr>
          <w:rFonts w:ascii="Times New Roman" w:hAnsi="Times New Roman"/>
          <w:sz w:val="24"/>
          <w:szCs w:val="24"/>
        </w:rPr>
        <w:t xml:space="preserve"> century and seemed ridiculous in a context of roads equipped for motoring. </w:t>
      </w:r>
      <w:r w:rsidRPr="003C4E2F">
        <w:rPr>
          <w:rFonts w:ascii="Times New Roman" w:hAnsi="Times New Roman"/>
          <w:sz w:val="24"/>
          <w:szCs w:val="24"/>
        </w:rPr>
        <w:t>How much better had they been equipped for both?</w:t>
      </w:r>
    </w:p>
    <w:p w:rsidR="00C40A8C" w:rsidRPr="00FE071E" w:rsidRDefault="00C40A8C" w:rsidP="00C40A8C">
      <w:pPr>
        <w:spacing w:line="360" w:lineRule="auto"/>
        <w:contextualSpacing/>
        <w:rPr>
          <w:rFonts w:ascii="Times New Roman" w:hAnsi="Times New Roman"/>
          <w:sz w:val="24"/>
          <w:szCs w:val="24"/>
        </w:rPr>
      </w:pPr>
    </w:p>
    <w:p w:rsidR="00C40A8C" w:rsidRPr="003C4E2F"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t>Returning to 1904 and the implementation of the motor-car notices</w:t>
      </w:r>
      <w:r>
        <w:rPr>
          <w:rFonts w:ascii="Times New Roman" w:hAnsi="Times New Roman"/>
          <w:sz w:val="24"/>
          <w:szCs w:val="24"/>
        </w:rPr>
        <w:t>,</w:t>
      </w:r>
      <w:r w:rsidRPr="00FE071E">
        <w:rPr>
          <w:rFonts w:ascii="Times New Roman" w:hAnsi="Times New Roman"/>
          <w:sz w:val="24"/>
          <w:szCs w:val="24"/>
        </w:rPr>
        <w:t xml:space="preserve"> we should note that the government did not prescribe them. Typica</w:t>
      </w:r>
      <w:r>
        <w:rPr>
          <w:rFonts w:ascii="Times New Roman" w:hAnsi="Times New Roman"/>
          <w:sz w:val="24"/>
          <w:szCs w:val="24"/>
        </w:rPr>
        <w:t>l of the other elements of the A</w:t>
      </w:r>
      <w:r w:rsidRPr="00FE071E">
        <w:rPr>
          <w:rFonts w:ascii="Times New Roman" w:hAnsi="Times New Roman"/>
          <w:sz w:val="24"/>
          <w:szCs w:val="24"/>
        </w:rPr>
        <w:t>ct, they operated on a quid-pro-quo basis with the motoring lobby. Two of the s</w:t>
      </w:r>
      <w:r>
        <w:rPr>
          <w:rFonts w:ascii="Times New Roman" w:hAnsi="Times New Roman"/>
          <w:sz w:val="24"/>
          <w:szCs w:val="24"/>
        </w:rPr>
        <w:t xml:space="preserve">igns did what no club signs did - </w:t>
      </w:r>
      <w:r w:rsidRPr="00FE071E">
        <w:rPr>
          <w:rFonts w:ascii="Times New Roman" w:hAnsi="Times New Roman"/>
          <w:sz w:val="24"/>
          <w:szCs w:val="24"/>
        </w:rPr>
        <w:t xml:space="preserve"> prohibit</w:t>
      </w:r>
      <w:r w:rsidR="00075F81">
        <w:rPr>
          <w:rFonts w:ascii="Times New Roman" w:hAnsi="Times New Roman"/>
          <w:sz w:val="24"/>
          <w:szCs w:val="24"/>
        </w:rPr>
        <w:t xml:space="preserve"> altogether</w:t>
      </w:r>
      <w:r w:rsidRPr="00FE071E">
        <w:rPr>
          <w:rFonts w:ascii="Times New Roman" w:hAnsi="Times New Roman"/>
          <w:sz w:val="24"/>
          <w:szCs w:val="24"/>
        </w:rPr>
        <w:t>, or apply speed limits (a generous 10 mph, previously it was often 4</w:t>
      </w:r>
      <w:r>
        <w:rPr>
          <w:rFonts w:ascii="Times New Roman" w:hAnsi="Times New Roman"/>
          <w:sz w:val="24"/>
          <w:szCs w:val="24"/>
        </w:rPr>
        <w:t xml:space="preserve"> mph) which</w:t>
      </w:r>
      <w:r w:rsidRPr="00FE071E">
        <w:rPr>
          <w:rFonts w:ascii="Times New Roman" w:hAnsi="Times New Roman"/>
          <w:sz w:val="24"/>
          <w:szCs w:val="24"/>
        </w:rPr>
        <w:t xml:space="preserve"> sold them to local authorities who would otherwise baulk at the cost of erecting them. But the warning triangle, th</w:t>
      </w:r>
      <w:r>
        <w:rPr>
          <w:rFonts w:ascii="Times New Roman" w:hAnsi="Times New Roman"/>
          <w:sz w:val="24"/>
          <w:szCs w:val="24"/>
        </w:rPr>
        <w:t>e most successful</w:t>
      </w:r>
      <w:r w:rsidRPr="00FE071E">
        <w:rPr>
          <w:rFonts w:ascii="Times New Roman" w:hAnsi="Times New Roman"/>
          <w:sz w:val="24"/>
          <w:szCs w:val="24"/>
        </w:rPr>
        <w:t xml:space="preserve"> (Fig</w:t>
      </w:r>
      <w:r>
        <w:rPr>
          <w:rFonts w:ascii="Times New Roman" w:hAnsi="Times New Roman"/>
          <w:sz w:val="24"/>
          <w:szCs w:val="24"/>
        </w:rPr>
        <w:t xml:space="preserve">. 7) </w:t>
      </w:r>
      <w:r w:rsidRPr="00FE071E">
        <w:rPr>
          <w:rFonts w:ascii="Times New Roman" w:hAnsi="Times New Roman"/>
          <w:sz w:val="24"/>
          <w:szCs w:val="24"/>
        </w:rPr>
        <w:t xml:space="preserve">did no more than take the responsibility for what would have been seen to be a matter for private clubs and place it in the hands of the taxpayers. </w:t>
      </w:r>
      <w:r w:rsidRPr="003C4E2F">
        <w:rPr>
          <w:rFonts w:ascii="Times New Roman" w:hAnsi="Times New Roman"/>
          <w:sz w:val="24"/>
          <w:szCs w:val="24"/>
        </w:rPr>
        <w:t>The implication of the sign was that the state’s perception of road hazards was not those posed to the vast majority of road users, but rather those perceived by motorists.</w:t>
      </w:r>
    </w:p>
    <w:p w:rsidR="00C40A8C" w:rsidRPr="00FE071E" w:rsidRDefault="00C40A8C" w:rsidP="00C40A8C">
      <w:pPr>
        <w:spacing w:line="360" w:lineRule="auto"/>
        <w:contextualSpacing/>
        <w:rPr>
          <w:rFonts w:ascii="Times New Roman" w:hAnsi="Times New Roman"/>
          <w:sz w:val="24"/>
          <w:szCs w:val="24"/>
        </w:rPr>
      </w:pPr>
    </w:p>
    <w:p w:rsidR="00C40A8C" w:rsidRPr="00FE071E"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t>Moreover the act was not prescriptive, allowing clubs to continue erecting their own signs; whole new genres of these were developed, most notably by the Automobile Association after it amalgamated with the A</w:t>
      </w:r>
      <w:r>
        <w:rPr>
          <w:rFonts w:ascii="Times New Roman" w:hAnsi="Times New Roman"/>
          <w:sz w:val="24"/>
          <w:szCs w:val="24"/>
        </w:rPr>
        <w:t xml:space="preserve">utomobile Union in 1907. </w:t>
      </w:r>
      <w:r w:rsidRPr="00FE071E">
        <w:rPr>
          <w:rFonts w:ascii="Times New Roman" w:hAnsi="Times New Roman"/>
          <w:sz w:val="24"/>
          <w:szCs w:val="24"/>
        </w:rPr>
        <w:t>(Fig</w:t>
      </w:r>
      <w:r>
        <w:rPr>
          <w:rFonts w:ascii="Times New Roman" w:hAnsi="Times New Roman"/>
          <w:sz w:val="24"/>
          <w:szCs w:val="24"/>
        </w:rPr>
        <w:t>.</w:t>
      </w:r>
      <w:r w:rsidRPr="00FE071E">
        <w:rPr>
          <w:rFonts w:ascii="Times New Roman" w:hAnsi="Times New Roman"/>
          <w:sz w:val="24"/>
          <w:szCs w:val="24"/>
        </w:rPr>
        <w:t xml:space="preserve"> 8) Thus, from a position of power in 1902, where CTC and other cyclists’ signs dominated the roads, by 1913 they were but a memory to writers such as Wilkinson.</w:t>
      </w:r>
    </w:p>
    <w:p w:rsidR="00C40A8C" w:rsidRPr="00FE071E" w:rsidRDefault="00C40A8C" w:rsidP="00C40A8C">
      <w:pPr>
        <w:spacing w:line="360" w:lineRule="auto"/>
        <w:contextualSpacing/>
        <w:rPr>
          <w:rFonts w:ascii="Times New Roman" w:hAnsi="Times New Roman"/>
          <w:sz w:val="24"/>
          <w:szCs w:val="24"/>
        </w:rPr>
      </w:pPr>
    </w:p>
    <w:p w:rsidR="00C40A8C" w:rsidRPr="00FE071E"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lastRenderedPageBreak/>
        <w:t>Indeed, the CTC was active in this process. Rapidly diminishing membership numbers resulted in funds for signage being withdrawn after 1905.</w:t>
      </w:r>
      <w:r w:rsidRPr="00FE071E">
        <w:rPr>
          <w:rStyle w:val="EndnoteReference"/>
          <w:rFonts w:ascii="Times New Roman" w:hAnsi="Times New Roman"/>
          <w:sz w:val="24"/>
          <w:szCs w:val="24"/>
        </w:rPr>
        <w:endnoteReference w:id="19"/>
      </w:r>
      <w:r w:rsidRPr="00FE071E">
        <w:rPr>
          <w:rFonts w:ascii="Times New Roman" w:hAnsi="Times New Roman"/>
          <w:sz w:val="24"/>
          <w:szCs w:val="24"/>
        </w:rPr>
        <w:t xml:space="preserve"> A justification was that the new Motor Car Notices were equally applicable to cyclists, even though cyclists had no part in their design or placing. The clear implication of the diminishing numbers of cyclists’ signs relative to the rapidly increasing provision for motorists was that the signs, and therefore cycling itself, had no place on the roads. This was an almost laughable irony, as cycling in </w:t>
      </w:r>
      <w:r>
        <w:rPr>
          <w:rFonts w:ascii="Times New Roman" w:hAnsi="Times New Roman"/>
          <w:sz w:val="24"/>
          <w:szCs w:val="24"/>
        </w:rPr>
        <w:t>Britain</w:t>
      </w:r>
      <w:r w:rsidRPr="00FE071E">
        <w:rPr>
          <w:rFonts w:ascii="Times New Roman" w:hAnsi="Times New Roman"/>
          <w:sz w:val="24"/>
          <w:szCs w:val="24"/>
        </w:rPr>
        <w:t xml:space="preserve"> had never been more popular than it was at this period.</w:t>
      </w:r>
      <w:r w:rsidRPr="00FE071E">
        <w:rPr>
          <w:rStyle w:val="EndnoteReference"/>
          <w:rFonts w:ascii="Times New Roman" w:hAnsi="Times New Roman"/>
          <w:sz w:val="24"/>
          <w:szCs w:val="24"/>
        </w:rPr>
        <w:endnoteReference w:id="20"/>
      </w:r>
    </w:p>
    <w:p w:rsidR="00C40A8C" w:rsidRPr="00FE071E" w:rsidRDefault="00C40A8C" w:rsidP="00C40A8C">
      <w:pPr>
        <w:spacing w:line="360" w:lineRule="auto"/>
        <w:contextualSpacing/>
        <w:rPr>
          <w:rFonts w:ascii="Times New Roman" w:hAnsi="Times New Roman"/>
          <w:sz w:val="24"/>
          <w:szCs w:val="24"/>
        </w:rPr>
      </w:pPr>
    </w:p>
    <w:p w:rsidR="00C40A8C" w:rsidRPr="00615E2B" w:rsidRDefault="00C40A8C" w:rsidP="00615E2B">
      <w:pPr>
        <w:pStyle w:val="FootnoteText"/>
        <w:spacing w:line="360" w:lineRule="auto"/>
        <w:rPr>
          <w:lang w:val="en-GB"/>
        </w:rPr>
      </w:pPr>
      <w:r w:rsidRPr="00FE071E">
        <w:t>Let us conclude this paper in 1930 with the provisions of the Road Traffic Act of that year.</w:t>
      </w:r>
      <w:r w:rsidR="00914C60">
        <w:t xml:space="preserve"> It was drawn up entirely round the use of motor vehicles, to the extent of withdrawing all local and national speed limits. Yet, importantly, </w:t>
      </w:r>
      <w:r w:rsidRPr="00FE071E">
        <w:t>the</w:t>
      </w:r>
      <w:r w:rsidR="00914C60">
        <w:t xml:space="preserve"> Act’s use of the</w:t>
      </w:r>
      <w:r w:rsidRPr="00FE071E">
        <w:t xml:space="preserve"> term ‘traffic’, rather than</w:t>
      </w:r>
      <w:r w:rsidR="00914C60">
        <w:t xml:space="preserve"> ‘locomotive’ or ‘motor car’, assumes</w:t>
      </w:r>
      <w:r w:rsidRPr="00FE071E">
        <w:t xml:space="preserve"> road traffic to be synonymo</w:t>
      </w:r>
      <w:r w:rsidR="00FD2EEC">
        <w:t>us with motor vehicles.</w:t>
      </w:r>
      <w:r>
        <w:t xml:space="preserve"> It was supported by the quasi-legislative </w:t>
      </w:r>
      <w:r>
        <w:rPr>
          <w:i/>
        </w:rPr>
        <w:t xml:space="preserve">Highway </w:t>
      </w:r>
      <w:r w:rsidRPr="00F5549B">
        <w:rPr>
          <w:i/>
        </w:rPr>
        <w:t>Code</w:t>
      </w:r>
      <w:r>
        <w:rPr>
          <w:i/>
        </w:rPr>
        <w:t xml:space="preserve"> </w:t>
      </w:r>
      <w:r>
        <w:t>a Ministry of Transport handbook for all road users first published in 1931</w:t>
      </w:r>
      <w:r>
        <w:rPr>
          <w:i/>
        </w:rPr>
        <w:t>.</w:t>
      </w:r>
      <w:r w:rsidR="008C728C" w:rsidRPr="008C728C">
        <w:rPr>
          <w:sz w:val="20"/>
          <w:szCs w:val="20"/>
        </w:rPr>
        <w:t xml:space="preserve"> </w:t>
      </w:r>
      <w:r w:rsidR="008C728C" w:rsidRPr="008C728C">
        <w:t>The introduction of this publication states that ‘It is hoped that the code of conduct now issued in accordance with the direction contained in the Act may come to be universally respected and obeyed...every user of the road should study it as a whole, and not merely read the particular sections that have an interest to him.’</w:t>
      </w:r>
      <w:r w:rsidR="008C728C">
        <w:t xml:space="preserve"> However, like the Road Traffic Act itself</w:t>
      </w:r>
      <w:r w:rsidR="00615E2B">
        <w:t>,</w:t>
      </w:r>
      <w:r w:rsidR="008C728C">
        <w:t xml:space="preserve"> there was no doubt that it had been written </w:t>
      </w:r>
      <w:r w:rsidR="00615E2B">
        <w:t>with the primacy of motoring at its heart and that all other road users would give priority to motors.</w:t>
      </w:r>
      <w:r w:rsidR="008C728C">
        <w:rPr>
          <w:rStyle w:val="EndnoteReference"/>
        </w:rPr>
        <w:endnoteReference w:id="21"/>
      </w:r>
      <w:r w:rsidR="008C728C" w:rsidRPr="008C728C">
        <w:t xml:space="preserve"> </w:t>
      </w:r>
      <w:r w:rsidR="00615E2B">
        <w:t xml:space="preserve">In the </w:t>
      </w:r>
      <w:r>
        <w:t>A</w:t>
      </w:r>
      <w:r w:rsidRPr="00FE071E">
        <w:t>ct, road signage was brought completely under the control of government and ‘signs of another character’ were to be removed.</w:t>
      </w:r>
      <w:r w:rsidRPr="00FE071E">
        <w:rPr>
          <w:rStyle w:val="EndnoteReference"/>
        </w:rPr>
        <w:endnoteReference w:id="22"/>
      </w:r>
      <w:r w:rsidRPr="00FE071E">
        <w:t xml:space="preserve"> </w:t>
      </w:r>
      <w:r w:rsidR="00914C60">
        <w:t>Like the Act itself, t</w:t>
      </w:r>
      <w:r w:rsidRPr="00FE071E">
        <w:t xml:space="preserve">he new series of </w:t>
      </w:r>
      <w:r w:rsidR="00F9694F">
        <w:t xml:space="preserve">‘traffic </w:t>
      </w:r>
      <w:r w:rsidRPr="00FE071E">
        <w:t>signs</w:t>
      </w:r>
      <w:r w:rsidR="00F9694F">
        <w:t>’</w:t>
      </w:r>
      <w:r w:rsidRPr="00FE071E">
        <w:t>, introduced in 1933-4</w:t>
      </w:r>
      <w:r>
        <w:t>,</w:t>
      </w:r>
      <w:r w:rsidRPr="00FE071E">
        <w:t xml:space="preserve"> was e</w:t>
      </w:r>
      <w:r w:rsidR="00FD2EEC">
        <w:t>ntirely designed round motoring</w:t>
      </w:r>
      <w:r w:rsidR="00686C3D">
        <w:t>; other road users were to respond to them as if they were motorists.</w:t>
      </w:r>
      <w:r w:rsidR="00686C3D" w:rsidRPr="00686C3D">
        <w:t xml:space="preserve"> </w:t>
      </w:r>
      <w:r w:rsidR="00686C3D">
        <w:t>(Fig 9)</w:t>
      </w:r>
      <w:r w:rsidR="00FD2EEC" w:rsidRPr="00FE071E">
        <w:t xml:space="preserve">  </w:t>
      </w:r>
      <w:r w:rsidR="00FD2EEC">
        <w:t>C</w:t>
      </w:r>
      <w:r w:rsidRPr="00FE071E">
        <w:t>ycling</w:t>
      </w:r>
      <w:r w:rsidR="00914C60">
        <w:t>, by now one of the principle forms of short distance utility transport,</w:t>
      </w:r>
      <w:r w:rsidR="00FD2EEC">
        <w:t xml:space="preserve"> was conspicuous by its absence</w:t>
      </w:r>
      <w:r w:rsidR="00686C3D">
        <w:t xml:space="preserve"> in the new signs</w:t>
      </w:r>
      <w:r w:rsidR="00FD2EEC">
        <w:t>, i</w:t>
      </w:r>
      <w:r w:rsidRPr="00FE071E">
        <w:t xml:space="preserve">t had indeed signed itself off the road.         </w:t>
      </w:r>
    </w:p>
    <w:p w:rsidR="00C40A8C" w:rsidRPr="00FE071E" w:rsidRDefault="00C40A8C" w:rsidP="00C40A8C">
      <w:pPr>
        <w:spacing w:line="360" w:lineRule="auto"/>
        <w:contextualSpacing/>
        <w:rPr>
          <w:rFonts w:ascii="Times New Roman" w:hAnsi="Times New Roman"/>
          <w:sz w:val="24"/>
          <w:szCs w:val="24"/>
        </w:rPr>
      </w:pPr>
    </w:p>
    <w:p w:rsidR="00C40A8C" w:rsidRPr="00FE071E" w:rsidRDefault="00C40A8C" w:rsidP="00C40A8C">
      <w:pPr>
        <w:spacing w:line="360" w:lineRule="auto"/>
        <w:contextualSpacing/>
        <w:rPr>
          <w:rFonts w:ascii="Times New Roman" w:hAnsi="Times New Roman"/>
          <w:sz w:val="24"/>
          <w:szCs w:val="24"/>
        </w:rPr>
      </w:pPr>
      <w:r w:rsidRPr="00FE071E">
        <w:rPr>
          <w:rFonts w:ascii="Times New Roman" w:hAnsi="Times New Roman"/>
          <w:sz w:val="24"/>
          <w:szCs w:val="24"/>
        </w:rPr>
        <w:t xml:space="preserve"> </w:t>
      </w:r>
    </w:p>
    <w:p w:rsidR="00C40A8C" w:rsidRPr="00FE071E" w:rsidRDefault="00C40A8C" w:rsidP="00C40A8C">
      <w:pPr>
        <w:spacing w:line="360" w:lineRule="auto"/>
        <w:contextualSpacing/>
        <w:rPr>
          <w:rFonts w:ascii="Times New Roman" w:hAnsi="Times New Roman"/>
          <w:sz w:val="24"/>
          <w:szCs w:val="24"/>
        </w:rPr>
      </w:pPr>
    </w:p>
    <w:p w:rsidR="00C40A8C" w:rsidRDefault="00C40A8C" w:rsidP="00C40A8C">
      <w:pPr>
        <w:spacing w:line="360" w:lineRule="auto"/>
        <w:contextualSpacing/>
        <w:rPr>
          <w:rFonts w:ascii="Times New Roman" w:hAnsi="Times New Roman"/>
          <w:sz w:val="24"/>
          <w:szCs w:val="24"/>
        </w:rPr>
      </w:pPr>
    </w:p>
    <w:p w:rsidR="00C40A8C" w:rsidRDefault="00C40A8C" w:rsidP="00C40A8C">
      <w:pPr>
        <w:spacing w:line="360" w:lineRule="auto"/>
        <w:contextualSpacing/>
        <w:rPr>
          <w:rFonts w:ascii="Times New Roman" w:hAnsi="Times New Roman"/>
          <w:sz w:val="24"/>
          <w:szCs w:val="24"/>
        </w:rPr>
      </w:pPr>
    </w:p>
    <w:p w:rsidR="00C40A8C" w:rsidRDefault="00C40A8C" w:rsidP="00C40A8C">
      <w:pPr>
        <w:spacing w:line="360" w:lineRule="auto"/>
        <w:contextualSpacing/>
        <w:rPr>
          <w:rFonts w:ascii="Times New Roman" w:hAnsi="Times New Roman"/>
          <w:sz w:val="24"/>
          <w:szCs w:val="24"/>
        </w:rPr>
      </w:pPr>
    </w:p>
    <w:p w:rsidR="00C40A8C" w:rsidRDefault="00C40A8C" w:rsidP="00C40A8C">
      <w:pPr>
        <w:spacing w:line="360" w:lineRule="auto"/>
        <w:contextualSpacing/>
        <w:rPr>
          <w:rFonts w:ascii="Times New Roman" w:hAnsi="Times New Roman"/>
          <w:sz w:val="24"/>
          <w:szCs w:val="24"/>
        </w:rPr>
      </w:pPr>
    </w:p>
    <w:p w:rsidR="008E1DC1" w:rsidRDefault="008E1DC1"/>
    <w:sectPr w:rsidR="008E1DC1" w:rsidSect="00507D1C">
      <w:headerReference w:type="even" r:id="rId8"/>
      <w:headerReference w:type="default" r:id="rId9"/>
      <w:endnotePr>
        <w:numFmt w:val="decimal"/>
      </w:endnotePr>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131" w:rsidRDefault="00F42131" w:rsidP="00C40A8C">
      <w:pPr>
        <w:spacing w:after="0" w:line="240" w:lineRule="auto"/>
      </w:pPr>
      <w:r>
        <w:separator/>
      </w:r>
    </w:p>
  </w:endnote>
  <w:endnote w:type="continuationSeparator" w:id="0">
    <w:p w:rsidR="00F42131" w:rsidRDefault="00F42131" w:rsidP="00C40A8C">
      <w:pPr>
        <w:spacing w:after="0" w:line="240" w:lineRule="auto"/>
      </w:pPr>
      <w:r>
        <w:continuationSeparator/>
      </w:r>
    </w:p>
  </w:endnote>
  <w:endnote w:id="1">
    <w:p w:rsidR="00C40A8C" w:rsidRPr="00FE071E" w:rsidRDefault="00C40A8C" w:rsidP="00C40A8C">
      <w:pPr>
        <w:tabs>
          <w:tab w:val="left" w:pos="1276"/>
        </w:tabs>
        <w:spacing w:line="360" w:lineRule="auto"/>
        <w:contextualSpacing/>
        <w:rPr>
          <w:rFonts w:ascii="Times New Roman" w:hAnsi="Times New Roman"/>
          <w:b/>
          <w:sz w:val="24"/>
          <w:szCs w:val="24"/>
        </w:rPr>
      </w:pPr>
      <w:r w:rsidRPr="00FE071E">
        <w:rPr>
          <w:rFonts w:ascii="Times New Roman" w:hAnsi="Times New Roman"/>
          <w:b/>
          <w:sz w:val="24"/>
          <w:szCs w:val="24"/>
        </w:rPr>
        <w:t>Endnotes</w:t>
      </w:r>
    </w:p>
    <w:p w:rsidR="00C40A8C" w:rsidRDefault="00C40A8C" w:rsidP="00C40A8C">
      <w:pPr>
        <w:tabs>
          <w:tab w:val="left" w:pos="1276"/>
        </w:tabs>
        <w:spacing w:line="360" w:lineRule="auto"/>
        <w:contextualSpacing/>
      </w:pPr>
      <w:r w:rsidRPr="00FE071E">
        <w:rPr>
          <w:rStyle w:val="EndnoteReference"/>
          <w:rFonts w:ascii="Times New Roman" w:hAnsi="Times New Roman"/>
          <w:sz w:val="24"/>
          <w:szCs w:val="24"/>
        </w:rPr>
        <w:endnoteRef/>
      </w:r>
      <w:r w:rsidRPr="00FE071E">
        <w:rPr>
          <w:rFonts w:ascii="Times New Roman" w:hAnsi="Times New Roman"/>
          <w:sz w:val="24"/>
          <w:szCs w:val="24"/>
        </w:rPr>
        <w:t>Webb, Sydney and Beatrice.</w:t>
      </w:r>
      <w:r w:rsidRPr="00FE071E">
        <w:rPr>
          <w:rFonts w:ascii="Times New Roman" w:hAnsi="Times New Roman"/>
          <w:i/>
          <w:sz w:val="24"/>
          <w:szCs w:val="24"/>
        </w:rPr>
        <w:t xml:space="preserve"> English Local Government – The Story of the King’s Highway. </w:t>
      </w:r>
      <w:r w:rsidRPr="00FE071E">
        <w:rPr>
          <w:rFonts w:ascii="Times New Roman" w:hAnsi="Times New Roman"/>
          <w:sz w:val="24"/>
          <w:szCs w:val="24"/>
        </w:rPr>
        <w:t>London: Longmans Green, 1913. (Re</w:t>
      </w:r>
      <w:r>
        <w:rPr>
          <w:rFonts w:ascii="Times New Roman" w:hAnsi="Times New Roman"/>
          <w:sz w:val="24"/>
          <w:szCs w:val="24"/>
        </w:rPr>
        <w:t>printed by ULAN), p.240.</w:t>
      </w:r>
    </w:p>
  </w:endnote>
  <w:endnote w:id="2">
    <w:p w:rsidR="00C40A8C" w:rsidRDefault="00C40A8C" w:rsidP="00C40A8C">
      <w:pPr>
        <w:tabs>
          <w:tab w:val="left" w:pos="1276"/>
        </w:tabs>
        <w:spacing w:after="0" w:line="360" w:lineRule="auto"/>
        <w:contextualSpacing/>
      </w:pPr>
      <w:r w:rsidRPr="00FE071E">
        <w:rPr>
          <w:rStyle w:val="EndnoteReference"/>
          <w:rFonts w:ascii="Times New Roman" w:hAnsi="Times New Roman"/>
          <w:sz w:val="24"/>
          <w:szCs w:val="24"/>
        </w:rPr>
        <w:endnoteRef/>
      </w:r>
      <w:r w:rsidRPr="00FE071E">
        <w:rPr>
          <w:rFonts w:ascii="Times New Roman" w:hAnsi="Times New Roman"/>
          <w:sz w:val="24"/>
          <w:szCs w:val="24"/>
        </w:rPr>
        <w:t xml:space="preserve"> </w:t>
      </w:r>
      <w:r w:rsidRPr="00FE071E">
        <w:rPr>
          <w:rFonts w:ascii="Times New Roman" w:hAnsi="Times New Roman"/>
          <w:color w:val="000000"/>
          <w:sz w:val="24"/>
          <w:szCs w:val="24"/>
        </w:rPr>
        <w:t xml:space="preserve">The idea of danger boards appears to have been </w:t>
      </w:r>
      <w:r w:rsidRPr="00FE071E">
        <w:rPr>
          <w:rFonts w:ascii="Times New Roman" w:hAnsi="Times New Roman"/>
          <w:sz w:val="24"/>
          <w:szCs w:val="24"/>
        </w:rPr>
        <w:t>ex</w:t>
      </w:r>
      <w:r>
        <w:rPr>
          <w:rFonts w:ascii="Times New Roman" w:hAnsi="Times New Roman"/>
          <w:sz w:val="24"/>
          <w:szCs w:val="24"/>
        </w:rPr>
        <w:t>pressed in a letter to the then-</w:t>
      </w:r>
      <w:r w:rsidRPr="00FE071E">
        <w:rPr>
          <w:rFonts w:ascii="Times New Roman" w:hAnsi="Times New Roman"/>
          <w:sz w:val="24"/>
          <w:szCs w:val="24"/>
        </w:rPr>
        <w:t>B</w:t>
      </w:r>
      <w:r>
        <w:rPr>
          <w:rFonts w:ascii="Times New Roman" w:hAnsi="Times New Roman"/>
          <w:sz w:val="24"/>
          <w:szCs w:val="24"/>
        </w:rPr>
        <w:t>icycle Touring Club in Sept.</w:t>
      </w:r>
      <w:r w:rsidRPr="00FE071E">
        <w:rPr>
          <w:rFonts w:ascii="Times New Roman" w:hAnsi="Times New Roman"/>
          <w:sz w:val="24"/>
          <w:szCs w:val="24"/>
        </w:rPr>
        <w:t xml:space="preserve"> 1878 from the BTC Newport (Isle of Wright) Consul, James George, which suggested erecting warning notices on hills which were dangerous for cyclists to descend. This idea had also been put to the Bicycle Union by the writer but they had not taken</w:t>
      </w:r>
      <w:r w:rsidRPr="00FE071E">
        <w:rPr>
          <w:rFonts w:ascii="Times New Roman" w:hAnsi="Times New Roman"/>
          <w:color w:val="000000"/>
          <w:sz w:val="24"/>
          <w:szCs w:val="24"/>
        </w:rPr>
        <w:t xml:space="preserve"> up the idea. The </w:t>
      </w:r>
      <w:r w:rsidRPr="00FE071E">
        <w:rPr>
          <w:rFonts w:ascii="Times New Roman" w:hAnsi="Times New Roman"/>
          <w:i/>
          <w:iCs/>
          <w:color w:val="000000"/>
          <w:sz w:val="24"/>
          <w:szCs w:val="24"/>
        </w:rPr>
        <w:t>Monthly Circular</w:t>
      </w:r>
      <w:r w:rsidRPr="00FE071E">
        <w:rPr>
          <w:rFonts w:ascii="Times New Roman" w:hAnsi="Times New Roman"/>
          <w:color w:val="000000"/>
          <w:sz w:val="24"/>
          <w:szCs w:val="24"/>
        </w:rPr>
        <w:t> picked up this issue for the first time with a list of dangerous hills in the March 1879 issue. This was followed by the Bicycle Union taking up the issue of pu</w:t>
      </w:r>
      <w:r>
        <w:rPr>
          <w:rFonts w:ascii="Times New Roman" w:hAnsi="Times New Roman"/>
          <w:color w:val="000000"/>
          <w:sz w:val="24"/>
          <w:szCs w:val="24"/>
        </w:rPr>
        <w:t xml:space="preserve">tting up ‘a uniform sign-post’ </w:t>
      </w:r>
      <w:r w:rsidRPr="00FE071E">
        <w:rPr>
          <w:rFonts w:ascii="Times New Roman" w:hAnsi="Times New Roman"/>
          <w:color w:val="000000"/>
          <w:sz w:val="24"/>
          <w:szCs w:val="24"/>
        </w:rPr>
        <w:t>after local clubs started to put up warning notices on an ad hoc basis. In late</w:t>
      </w:r>
      <w:r>
        <w:rPr>
          <w:rFonts w:ascii="Times New Roman" w:hAnsi="Times New Roman"/>
          <w:color w:val="000000"/>
          <w:sz w:val="24"/>
          <w:szCs w:val="24"/>
        </w:rPr>
        <w:t>-</w:t>
      </w:r>
      <w:r w:rsidRPr="00FE071E">
        <w:rPr>
          <w:rFonts w:ascii="Times New Roman" w:hAnsi="Times New Roman"/>
          <w:color w:val="000000"/>
          <w:sz w:val="24"/>
          <w:szCs w:val="24"/>
        </w:rPr>
        <w:t>1883, shortly after the Bicycle Touring Club had renamed itself the Cyclists’ Touring Club, it joined what had been the Bicycle Union, itself renamed the National Cyclists’ Union to share the cost of erecting Danger Boards</w:t>
      </w:r>
      <w:r>
        <w:rPr>
          <w:rFonts w:ascii="Times New Roman" w:hAnsi="Times New Roman"/>
          <w:color w:val="000000"/>
          <w:sz w:val="24"/>
          <w:szCs w:val="24"/>
        </w:rPr>
        <w:t>,</w:t>
      </w:r>
      <w:r w:rsidRPr="00FE071E">
        <w:rPr>
          <w:rFonts w:ascii="Times New Roman" w:hAnsi="Times New Roman"/>
          <w:color w:val="000000"/>
          <w:sz w:val="24"/>
          <w:szCs w:val="24"/>
        </w:rPr>
        <w:t xml:space="preserve"> purchasing a stock for £50, similar to the BU signs, but inscribed to both clubs. </w:t>
      </w:r>
      <w:r w:rsidRPr="00FE071E">
        <w:rPr>
          <w:rFonts w:ascii="Times New Roman" w:hAnsi="Times New Roman"/>
          <w:sz w:val="24"/>
          <w:szCs w:val="24"/>
        </w:rPr>
        <w:t xml:space="preserve">See: Lightwood, James T. </w:t>
      </w:r>
      <w:r w:rsidRPr="00FE071E">
        <w:rPr>
          <w:rFonts w:ascii="Times New Roman" w:hAnsi="Times New Roman"/>
          <w:i/>
          <w:sz w:val="24"/>
          <w:szCs w:val="24"/>
        </w:rPr>
        <w:t xml:space="preserve">The </w:t>
      </w:r>
      <w:r w:rsidRPr="00FE071E">
        <w:rPr>
          <w:rFonts w:ascii="Times New Roman" w:hAnsi="Times New Roman"/>
          <w:bCs/>
          <w:i/>
          <w:sz w:val="24"/>
          <w:szCs w:val="24"/>
        </w:rPr>
        <w:t>Cyclists</w:t>
      </w:r>
      <w:r w:rsidRPr="00FE071E">
        <w:rPr>
          <w:rFonts w:ascii="Times New Roman" w:hAnsi="Times New Roman"/>
          <w:i/>
          <w:sz w:val="24"/>
          <w:szCs w:val="24"/>
        </w:rPr>
        <w:t xml:space="preserve">' </w:t>
      </w:r>
      <w:r w:rsidRPr="00FE071E">
        <w:rPr>
          <w:rFonts w:ascii="Times New Roman" w:hAnsi="Times New Roman"/>
          <w:bCs/>
          <w:i/>
          <w:sz w:val="24"/>
          <w:szCs w:val="24"/>
        </w:rPr>
        <w:t>Touring Club</w:t>
      </w:r>
      <w:r w:rsidRPr="00FE071E">
        <w:rPr>
          <w:rFonts w:ascii="Times New Roman" w:hAnsi="Times New Roman"/>
          <w:i/>
          <w:sz w:val="24"/>
          <w:szCs w:val="24"/>
        </w:rPr>
        <w:t>: Being the Romance of Fifty Years'</w:t>
      </w:r>
      <w:r w:rsidRPr="00FE071E">
        <w:rPr>
          <w:rFonts w:ascii="Times New Roman" w:hAnsi="Times New Roman"/>
          <w:sz w:val="24"/>
          <w:szCs w:val="24"/>
        </w:rPr>
        <w:t>. London: CTC, 1928, pp</w:t>
      </w:r>
      <w:r>
        <w:rPr>
          <w:rFonts w:ascii="Times New Roman" w:hAnsi="Times New Roman"/>
          <w:sz w:val="24"/>
          <w:szCs w:val="24"/>
        </w:rPr>
        <w:t>.</w:t>
      </w:r>
      <w:r w:rsidRPr="00FE071E">
        <w:rPr>
          <w:rFonts w:ascii="Times New Roman" w:hAnsi="Times New Roman"/>
          <w:color w:val="000000"/>
          <w:sz w:val="24"/>
          <w:szCs w:val="24"/>
        </w:rPr>
        <w:t xml:space="preserve">191-194. See also </w:t>
      </w:r>
      <w:r w:rsidRPr="00FE071E">
        <w:rPr>
          <w:rFonts w:ascii="Times New Roman" w:hAnsi="Times New Roman"/>
          <w:i/>
          <w:color w:val="000000"/>
          <w:sz w:val="24"/>
          <w:szCs w:val="24"/>
        </w:rPr>
        <w:t>The Boneshaker</w:t>
      </w:r>
      <w:r w:rsidRPr="00FE071E">
        <w:rPr>
          <w:rFonts w:ascii="Times New Roman" w:hAnsi="Times New Roman"/>
          <w:color w:val="000000"/>
          <w:sz w:val="24"/>
          <w:szCs w:val="24"/>
        </w:rPr>
        <w:t xml:space="preserve"> </w:t>
      </w:r>
      <w:r>
        <w:rPr>
          <w:rFonts w:ascii="Times New Roman" w:hAnsi="Times New Roman"/>
          <w:color w:val="000000"/>
          <w:sz w:val="24"/>
          <w:szCs w:val="24"/>
        </w:rPr>
        <w:t>#</w:t>
      </w:r>
      <w:r w:rsidRPr="00FE071E">
        <w:rPr>
          <w:rFonts w:ascii="Times New Roman" w:hAnsi="Times New Roman"/>
          <w:color w:val="000000"/>
          <w:sz w:val="24"/>
          <w:szCs w:val="24"/>
        </w:rPr>
        <w:t>56 (1969) pp</w:t>
      </w:r>
      <w:r>
        <w:rPr>
          <w:rFonts w:ascii="Times New Roman" w:hAnsi="Times New Roman"/>
          <w:color w:val="000000"/>
          <w:sz w:val="24"/>
          <w:szCs w:val="24"/>
        </w:rPr>
        <w:t>.</w:t>
      </w:r>
      <w:r w:rsidRPr="00FE071E">
        <w:rPr>
          <w:rFonts w:ascii="Times New Roman" w:hAnsi="Times New Roman"/>
          <w:color w:val="000000"/>
          <w:sz w:val="24"/>
          <w:szCs w:val="24"/>
        </w:rPr>
        <w:t xml:space="preserve">141-143 and </w:t>
      </w:r>
      <w:r>
        <w:rPr>
          <w:rFonts w:ascii="Times New Roman" w:hAnsi="Times New Roman"/>
          <w:color w:val="000000"/>
          <w:sz w:val="24"/>
          <w:szCs w:val="24"/>
        </w:rPr>
        <w:t>#</w:t>
      </w:r>
      <w:r w:rsidRPr="00FE071E">
        <w:rPr>
          <w:rFonts w:ascii="Times New Roman" w:hAnsi="Times New Roman"/>
          <w:color w:val="000000"/>
          <w:sz w:val="24"/>
          <w:szCs w:val="24"/>
        </w:rPr>
        <w:t>79 (1975)</w:t>
      </w:r>
      <w:r>
        <w:rPr>
          <w:rFonts w:ascii="Times New Roman" w:hAnsi="Times New Roman"/>
          <w:color w:val="000000"/>
          <w:sz w:val="24"/>
          <w:szCs w:val="24"/>
        </w:rPr>
        <w:t>,</w:t>
      </w:r>
      <w:r w:rsidRPr="00FE071E">
        <w:rPr>
          <w:rFonts w:ascii="Times New Roman" w:hAnsi="Times New Roman"/>
          <w:color w:val="000000"/>
          <w:sz w:val="24"/>
          <w:szCs w:val="24"/>
        </w:rPr>
        <w:t xml:space="preserve"> pp</w:t>
      </w:r>
      <w:r>
        <w:rPr>
          <w:rFonts w:ascii="Times New Roman" w:hAnsi="Times New Roman"/>
          <w:color w:val="000000"/>
          <w:sz w:val="24"/>
          <w:szCs w:val="24"/>
        </w:rPr>
        <w:t>.</w:t>
      </w:r>
      <w:r w:rsidRPr="00FE071E">
        <w:rPr>
          <w:rFonts w:ascii="Times New Roman" w:hAnsi="Times New Roman"/>
          <w:color w:val="000000"/>
          <w:sz w:val="24"/>
          <w:szCs w:val="24"/>
        </w:rPr>
        <w:t>249-251.</w:t>
      </w:r>
    </w:p>
  </w:endnote>
  <w:endnote w:id="3">
    <w:p w:rsidR="00C40A8C" w:rsidRDefault="00C40A8C" w:rsidP="00C40A8C">
      <w:pPr>
        <w:pStyle w:val="FootnoteText"/>
        <w:spacing w:line="360" w:lineRule="auto"/>
      </w:pPr>
      <w:r w:rsidRPr="00FE071E">
        <w:rPr>
          <w:rStyle w:val="EndnoteReference"/>
        </w:rPr>
        <w:endnoteRef/>
      </w:r>
      <w:r w:rsidRPr="00FE071E">
        <w:t xml:space="preserve"> </w:t>
      </w:r>
      <w:r w:rsidRPr="00FE071E">
        <w:rPr>
          <w:lang w:val="en-GB"/>
        </w:rPr>
        <w:t>In 1902</w:t>
      </w:r>
      <w:r>
        <w:rPr>
          <w:lang w:val="en-GB"/>
        </w:rPr>
        <w:t>,</w:t>
      </w:r>
      <w:r w:rsidRPr="00FE071E">
        <w:rPr>
          <w:lang w:val="en-GB"/>
        </w:rPr>
        <w:t xml:space="preserve"> the figures were 2,331 DANGER and 1,989 CAUTION </w:t>
      </w:r>
      <w:r>
        <w:rPr>
          <w:lang w:val="en-GB"/>
        </w:rPr>
        <w:t xml:space="preserve">signs </w:t>
      </w:r>
      <w:r w:rsidRPr="00FE071E">
        <w:rPr>
          <w:lang w:val="en-GB"/>
        </w:rPr>
        <w:t xml:space="preserve">and this was rising. </w:t>
      </w:r>
      <w:r w:rsidRPr="00FE071E">
        <w:t>Lightwood, James T.</w:t>
      </w:r>
      <w:r>
        <w:t>,</w:t>
      </w:r>
      <w:r w:rsidRPr="00FE071E">
        <w:t xml:space="preserve"> </w:t>
      </w:r>
      <w:r w:rsidRPr="00FE071E">
        <w:rPr>
          <w:i/>
        </w:rPr>
        <w:t xml:space="preserve">The </w:t>
      </w:r>
      <w:r w:rsidRPr="00FE071E">
        <w:rPr>
          <w:bCs/>
          <w:i/>
        </w:rPr>
        <w:t>Cyclists</w:t>
      </w:r>
      <w:r w:rsidRPr="00FE071E">
        <w:rPr>
          <w:i/>
        </w:rPr>
        <w:t xml:space="preserve">' </w:t>
      </w:r>
      <w:r w:rsidRPr="00FE071E">
        <w:rPr>
          <w:bCs/>
          <w:i/>
        </w:rPr>
        <w:t>Touring Club</w:t>
      </w:r>
      <w:r w:rsidRPr="00FE071E">
        <w:rPr>
          <w:i/>
        </w:rPr>
        <w:t>: Being the Romance of Fifty Years'</w:t>
      </w:r>
      <w:r w:rsidRPr="00FE071E">
        <w:t>. London: CTC, 1928, p</w:t>
      </w:r>
      <w:r>
        <w:t>.</w:t>
      </w:r>
      <w:r w:rsidRPr="00FE071E">
        <w:t>195.</w:t>
      </w:r>
    </w:p>
  </w:endnote>
  <w:endnote w:id="4">
    <w:p w:rsidR="00C40A8C" w:rsidRDefault="00C40A8C" w:rsidP="00C40A8C">
      <w:pPr>
        <w:pStyle w:val="EndnoteText"/>
        <w:spacing w:line="360" w:lineRule="auto"/>
      </w:pPr>
      <w:r w:rsidRPr="00FE071E">
        <w:rPr>
          <w:rStyle w:val="EndnoteReference"/>
          <w:rFonts w:ascii="Times New Roman" w:hAnsi="Times New Roman"/>
          <w:sz w:val="24"/>
          <w:szCs w:val="24"/>
        </w:rPr>
        <w:endnoteRef/>
      </w:r>
      <w:r w:rsidRPr="00FE071E">
        <w:rPr>
          <w:rFonts w:ascii="Times New Roman" w:hAnsi="Times New Roman"/>
          <w:sz w:val="24"/>
          <w:szCs w:val="24"/>
        </w:rPr>
        <w:t xml:space="preserve"> Photog</w:t>
      </w:r>
      <w:r>
        <w:rPr>
          <w:rFonts w:ascii="Times New Roman" w:hAnsi="Times New Roman"/>
          <w:sz w:val="24"/>
          <w:szCs w:val="24"/>
        </w:rPr>
        <w:t>raph courtesy of Lorne Sheilds.</w:t>
      </w:r>
    </w:p>
  </w:endnote>
  <w:endnote w:id="5">
    <w:p w:rsidR="00C40A8C" w:rsidRDefault="00C40A8C" w:rsidP="00C40A8C">
      <w:pPr>
        <w:tabs>
          <w:tab w:val="left" w:pos="1276"/>
        </w:tabs>
        <w:spacing w:after="0" w:line="360" w:lineRule="auto"/>
        <w:contextualSpacing/>
      </w:pPr>
      <w:r w:rsidRPr="00FE071E">
        <w:rPr>
          <w:rStyle w:val="EndnoteReference"/>
          <w:rFonts w:ascii="Times New Roman" w:hAnsi="Times New Roman"/>
          <w:sz w:val="24"/>
          <w:szCs w:val="24"/>
        </w:rPr>
        <w:endnoteRef/>
      </w:r>
      <w:r w:rsidRPr="00FE071E">
        <w:rPr>
          <w:rFonts w:ascii="Times New Roman" w:hAnsi="Times New Roman"/>
          <w:sz w:val="24"/>
          <w:szCs w:val="24"/>
        </w:rPr>
        <w:t xml:space="preserve"> Wilkinson, T. W.</w:t>
      </w:r>
      <w:r>
        <w:rPr>
          <w:rFonts w:ascii="Times New Roman" w:hAnsi="Times New Roman"/>
          <w:sz w:val="24"/>
          <w:szCs w:val="24"/>
        </w:rPr>
        <w:t>,</w:t>
      </w:r>
      <w:r w:rsidRPr="00FE071E">
        <w:rPr>
          <w:rFonts w:ascii="Times New Roman" w:hAnsi="Times New Roman"/>
          <w:sz w:val="24"/>
          <w:szCs w:val="24"/>
        </w:rPr>
        <w:t xml:space="preserve"> </w:t>
      </w:r>
      <w:r w:rsidRPr="00FE071E">
        <w:rPr>
          <w:rFonts w:ascii="Times New Roman" w:hAnsi="Times New Roman"/>
          <w:i/>
          <w:sz w:val="24"/>
          <w:szCs w:val="24"/>
        </w:rPr>
        <w:t>The Highways and Byways of England</w:t>
      </w:r>
      <w:r>
        <w:rPr>
          <w:rFonts w:ascii="Times New Roman" w:hAnsi="Times New Roman"/>
          <w:sz w:val="24"/>
          <w:szCs w:val="24"/>
        </w:rPr>
        <w:t>,</w:t>
      </w:r>
      <w:r w:rsidRPr="00A46BB9">
        <w:rPr>
          <w:rFonts w:ascii="Times New Roman" w:hAnsi="Times New Roman"/>
          <w:sz w:val="24"/>
          <w:szCs w:val="24"/>
        </w:rPr>
        <w:t xml:space="preserve"> </w:t>
      </w:r>
      <w:r w:rsidRPr="00FE071E">
        <w:rPr>
          <w:rFonts w:ascii="Times New Roman" w:hAnsi="Times New Roman"/>
          <w:sz w:val="24"/>
          <w:szCs w:val="24"/>
        </w:rPr>
        <w:t>London: Iliffe, n.d. (1913), pp</w:t>
      </w:r>
      <w:r>
        <w:rPr>
          <w:rFonts w:ascii="Times New Roman" w:hAnsi="Times New Roman"/>
          <w:sz w:val="24"/>
          <w:szCs w:val="24"/>
        </w:rPr>
        <w:t>.</w:t>
      </w:r>
      <w:r w:rsidRPr="00FE071E">
        <w:rPr>
          <w:rFonts w:ascii="Times New Roman" w:hAnsi="Times New Roman"/>
          <w:sz w:val="24"/>
          <w:szCs w:val="24"/>
        </w:rPr>
        <w:t>269-270.</w:t>
      </w:r>
    </w:p>
  </w:endnote>
  <w:endnote w:id="6">
    <w:p w:rsidR="00C40A8C" w:rsidRDefault="00C40A8C" w:rsidP="00C40A8C">
      <w:pPr>
        <w:pStyle w:val="EndnoteText"/>
        <w:spacing w:line="360" w:lineRule="auto"/>
      </w:pPr>
      <w:r w:rsidRPr="00FE071E">
        <w:rPr>
          <w:rStyle w:val="EndnoteReference"/>
          <w:rFonts w:ascii="Times New Roman" w:hAnsi="Times New Roman"/>
          <w:sz w:val="24"/>
          <w:szCs w:val="24"/>
        </w:rPr>
        <w:endnoteRef/>
      </w:r>
      <w:r>
        <w:rPr>
          <w:rFonts w:ascii="Times New Roman" w:hAnsi="Times New Roman"/>
          <w:sz w:val="24"/>
          <w:szCs w:val="24"/>
        </w:rPr>
        <w:t xml:space="preserve"> The A</w:t>
      </w:r>
      <w:r w:rsidRPr="00FE071E">
        <w:rPr>
          <w:rFonts w:ascii="Times New Roman" w:hAnsi="Times New Roman"/>
          <w:sz w:val="24"/>
          <w:szCs w:val="24"/>
        </w:rPr>
        <w:t>ct</w:t>
      </w:r>
      <w:r>
        <w:rPr>
          <w:rFonts w:ascii="Times New Roman" w:hAnsi="Times New Roman"/>
          <w:sz w:val="24"/>
          <w:szCs w:val="24"/>
        </w:rPr>
        <w:t xml:space="preserve"> specified that the county and b</w:t>
      </w:r>
      <w:r w:rsidRPr="00FE071E">
        <w:rPr>
          <w:rFonts w:ascii="Times New Roman" w:hAnsi="Times New Roman"/>
          <w:sz w:val="24"/>
          <w:szCs w:val="24"/>
        </w:rPr>
        <w:t>orough council Highway Districts be reorganised, with defined budgets coming from taxpayers. County Councils were given the remit to provide well</w:t>
      </w:r>
      <w:r>
        <w:rPr>
          <w:rFonts w:ascii="Times New Roman" w:hAnsi="Times New Roman"/>
          <w:sz w:val="24"/>
          <w:szCs w:val="24"/>
        </w:rPr>
        <w:t xml:space="preserve">- maintained main roads within </w:t>
      </w:r>
      <w:r w:rsidRPr="00FE071E">
        <w:rPr>
          <w:rFonts w:ascii="Times New Roman" w:hAnsi="Times New Roman"/>
          <w:sz w:val="24"/>
          <w:szCs w:val="24"/>
        </w:rPr>
        <w:t>their borders and District Councils secondary roads. In spite of these revisions there remained no national road body and a confusing complexity of local authority responsibilities below that of the County Councils. Webb, Sydney and Beatrice.</w:t>
      </w:r>
      <w:r w:rsidRPr="00FE071E">
        <w:rPr>
          <w:rFonts w:ascii="Times New Roman" w:hAnsi="Times New Roman"/>
          <w:i/>
          <w:sz w:val="24"/>
          <w:szCs w:val="24"/>
        </w:rPr>
        <w:t xml:space="preserve"> English Local Government – T</w:t>
      </w:r>
      <w:r>
        <w:rPr>
          <w:rFonts w:ascii="Times New Roman" w:hAnsi="Times New Roman"/>
          <w:i/>
          <w:sz w:val="24"/>
          <w:szCs w:val="24"/>
        </w:rPr>
        <w:t>he Story of the King’s Highway</w:t>
      </w:r>
      <w:r w:rsidRPr="00A46BB9">
        <w:rPr>
          <w:rFonts w:ascii="Times New Roman" w:hAnsi="Times New Roman"/>
          <w:sz w:val="24"/>
          <w:szCs w:val="24"/>
        </w:rPr>
        <w:t xml:space="preserve">, </w:t>
      </w:r>
      <w:r w:rsidRPr="00FE071E">
        <w:rPr>
          <w:rFonts w:ascii="Times New Roman" w:hAnsi="Times New Roman"/>
          <w:sz w:val="24"/>
          <w:szCs w:val="24"/>
        </w:rPr>
        <w:t>London: Longmans Green, 1913. (Reprinted by ULAN n.d.</w:t>
      </w:r>
      <w:r>
        <w:rPr>
          <w:rFonts w:ascii="Times New Roman" w:hAnsi="Times New Roman"/>
          <w:sz w:val="24"/>
          <w:szCs w:val="24"/>
        </w:rPr>
        <w:t>), p.223, pp.243-246.</w:t>
      </w:r>
    </w:p>
  </w:endnote>
  <w:endnote w:id="7">
    <w:p w:rsidR="00C40A8C" w:rsidRDefault="00C40A8C" w:rsidP="00C40A8C">
      <w:pPr>
        <w:pStyle w:val="EndnoteText"/>
        <w:spacing w:line="360" w:lineRule="auto"/>
      </w:pPr>
      <w:r w:rsidRPr="00FE071E">
        <w:rPr>
          <w:rStyle w:val="EndnoteReference"/>
          <w:rFonts w:ascii="Times New Roman" w:hAnsi="Times New Roman"/>
          <w:sz w:val="24"/>
          <w:szCs w:val="24"/>
        </w:rPr>
        <w:endnoteRef/>
      </w:r>
      <w:r w:rsidRPr="00FE071E">
        <w:rPr>
          <w:rFonts w:ascii="Times New Roman" w:hAnsi="Times New Roman"/>
          <w:sz w:val="24"/>
          <w:szCs w:val="24"/>
        </w:rPr>
        <w:t xml:space="preserve"> The political and somewhat hypocritical nature of the RIA is summarised in Lightwood, James T.</w:t>
      </w:r>
      <w:r>
        <w:rPr>
          <w:rFonts w:ascii="Times New Roman" w:hAnsi="Times New Roman"/>
          <w:sz w:val="24"/>
          <w:szCs w:val="24"/>
        </w:rPr>
        <w:t>,</w:t>
      </w:r>
      <w:r w:rsidRPr="00FE071E">
        <w:rPr>
          <w:rFonts w:ascii="Times New Roman" w:hAnsi="Times New Roman"/>
          <w:sz w:val="24"/>
          <w:szCs w:val="24"/>
        </w:rPr>
        <w:t xml:space="preserve"> </w:t>
      </w:r>
      <w:r w:rsidRPr="00FE071E">
        <w:rPr>
          <w:rFonts w:ascii="Times New Roman" w:hAnsi="Times New Roman"/>
          <w:i/>
          <w:sz w:val="24"/>
          <w:szCs w:val="24"/>
        </w:rPr>
        <w:t xml:space="preserve">The </w:t>
      </w:r>
      <w:r w:rsidRPr="00FE071E">
        <w:rPr>
          <w:rFonts w:ascii="Times New Roman" w:hAnsi="Times New Roman"/>
          <w:bCs/>
          <w:i/>
          <w:sz w:val="24"/>
          <w:szCs w:val="24"/>
        </w:rPr>
        <w:t>Cyclists</w:t>
      </w:r>
      <w:r w:rsidRPr="00FE071E">
        <w:rPr>
          <w:rFonts w:ascii="Times New Roman" w:hAnsi="Times New Roman"/>
          <w:i/>
          <w:sz w:val="24"/>
          <w:szCs w:val="24"/>
        </w:rPr>
        <w:t xml:space="preserve">' </w:t>
      </w:r>
      <w:r w:rsidRPr="00FE071E">
        <w:rPr>
          <w:rFonts w:ascii="Times New Roman" w:hAnsi="Times New Roman"/>
          <w:bCs/>
          <w:i/>
          <w:sz w:val="24"/>
          <w:szCs w:val="24"/>
        </w:rPr>
        <w:t>Touring Club</w:t>
      </w:r>
      <w:r w:rsidRPr="00FE071E">
        <w:rPr>
          <w:rFonts w:ascii="Times New Roman" w:hAnsi="Times New Roman"/>
          <w:i/>
          <w:sz w:val="24"/>
          <w:szCs w:val="24"/>
        </w:rPr>
        <w:t>: Being the Romance of Fifty Years'</w:t>
      </w:r>
      <w:r w:rsidRPr="00FE071E">
        <w:rPr>
          <w:rFonts w:ascii="Times New Roman" w:hAnsi="Times New Roman"/>
          <w:sz w:val="24"/>
          <w:szCs w:val="24"/>
        </w:rPr>
        <w:t>. London</w:t>
      </w:r>
      <w:r>
        <w:rPr>
          <w:rFonts w:ascii="Times New Roman" w:hAnsi="Times New Roman"/>
          <w:sz w:val="24"/>
          <w:szCs w:val="24"/>
        </w:rPr>
        <w:t>: CTC, 1928, p.225</w:t>
      </w:r>
    </w:p>
  </w:endnote>
  <w:endnote w:id="8">
    <w:p w:rsidR="00C40A8C" w:rsidRDefault="00C40A8C" w:rsidP="00C40A8C">
      <w:pPr>
        <w:pStyle w:val="FootnoteText"/>
        <w:spacing w:line="360" w:lineRule="auto"/>
      </w:pPr>
      <w:r w:rsidRPr="00FE071E">
        <w:rPr>
          <w:rStyle w:val="EndnoteReference"/>
        </w:rPr>
        <w:endnoteRef/>
      </w:r>
      <w:r w:rsidRPr="00FE071E">
        <w:t xml:space="preserve"> </w:t>
      </w:r>
      <w:r w:rsidRPr="00FE071E">
        <w:rPr>
          <w:lang w:val="en-GB"/>
        </w:rPr>
        <w:t>The rear</w:t>
      </w:r>
      <w:r>
        <w:rPr>
          <w:lang w:val="en-GB"/>
        </w:rPr>
        <w:t>-</w:t>
      </w:r>
      <w:r w:rsidRPr="00FE071E">
        <w:rPr>
          <w:lang w:val="en-GB"/>
        </w:rPr>
        <w:t>driven safety could be braked hard on the front wheel without high risk of the rider being pitched over the bars. A plethora of brakes and free-wheel clutches were developed in the later 1890s</w:t>
      </w:r>
      <w:r>
        <w:rPr>
          <w:lang w:val="en-GB"/>
        </w:rPr>
        <w:t>,</w:t>
      </w:r>
      <w:r w:rsidRPr="00FE071E">
        <w:rPr>
          <w:lang w:val="en-GB"/>
        </w:rPr>
        <w:t xml:space="preserve"> rendering almost all the</w:t>
      </w:r>
      <w:r>
        <w:rPr>
          <w:lang w:val="en-GB"/>
        </w:rPr>
        <w:t xml:space="preserve"> ‘dangerous’ hills of the early-</w:t>
      </w:r>
      <w:r w:rsidRPr="00FE071E">
        <w:rPr>
          <w:lang w:val="en-GB"/>
        </w:rPr>
        <w:t>1880s rideable.</w:t>
      </w:r>
      <w:r>
        <w:rPr>
          <w:lang w:val="en-GB"/>
        </w:rPr>
        <w:t xml:space="preserve"> See</w:t>
      </w:r>
      <w:r w:rsidRPr="00FE071E">
        <w:rPr>
          <w:lang w:val="en-GB"/>
        </w:rPr>
        <w:t xml:space="preserve"> Clayton, Nick. </w:t>
      </w:r>
      <w:r>
        <w:t>“</w:t>
      </w:r>
      <w:r w:rsidRPr="00FE071E">
        <w:t>The Origin of the Bowden Cable</w:t>
      </w:r>
      <w:r>
        <w:t>,”</w:t>
      </w:r>
      <w:r w:rsidRPr="00FE071E">
        <w:t xml:space="preserve"> in </w:t>
      </w:r>
      <w:r w:rsidRPr="00FE071E">
        <w:rPr>
          <w:i/>
          <w:iCs/>
        </w:rPr>
        <w:t>Cycle History 21,</w:t>
      </w:r>
      <w:r w:rsidRPr="00FE071E">
        <w:t xml:space="preserve"> Birmingham</w:t>
      </w:r>
      <w:r>
        <w:t xml:space="preserve">, </w:t>
      </w:r>
      <w:r w:rsidRPr="00FE071E">
        <w:t>2012, pp</w:t>
      </w:r>
      <w:r>
        <w:t>.</w:t>
      </w:r>
      <w:r w:rsidRPr="00FE071E">
        <w:t>13-18. </w:t>
      </w:r>
    </w:p>
  </w:endnote>
  <w:endnote w:id="9">
    <w:p w:rsidR="00C40A8C" w:rsidRDefault="00C40A8C" w:rsidP="00C40A8C">
      <w:pPr>
        <w:pStyle w:val="FootnoteText"/>
        <w:spacing w:line="360" w:lineRule="auto"/>
      </w:pPr>
      <w:r w:rsidRPr="00FE071E">
        <w:rPr>
          <w:rStyle w:val="EndnoteReference"/>
        </w:rPr>
        <w:endnoteRef/>
      </w:r>
      <w:r w:rsidRPr="00FE071E">
        <w:t xml:space="preserve"> </w:t>
      </w:r>
      <w:r w:rsidRPr="00FE071E">
        <w:rPr>
          <w:color w:val="000000"/>
        </w:rPr>
        <w:t xml:space="preserve">The CTC had </w:t>
      </w:r>
      <w:r w:rsidRPr="00FE071E">
        <w:t xml:space="preserve">considered a more general CAUTION board in 1884, but did </w:t>
      </w:r>
      <w:r>
        <w:t>not proceed with the idea. Text-</w:t>
      </w:r>
      <w:r w:rsidRPr="00FE071E">
        <w:t xml:space="preserve">based boards for five specific hazards </w:t>
      </w:r>
      <w:r>
        <w:t xml:space="preserve">- </w:t>
      </w:r>
      <w:r w:rsidRPr="00FE071E">
        <w:t xml:space="preserve">RAPID DESCENT, DANGEROUS TURNING, LEVEL CROSSING, WATER SPLASH, and GATE were considered in </w:t>
      </w:r>
      <w:r>
        <w:t xml:space="preserve">about </w:t>
      </w:r>
      <w:r w:rsidRPr="00FE071E">
        <w:t>1900, but were rejected.</w:t>
      </w:r>
      <w:r w:rsidRPr="00FE071E">
        <w:rPr>
          <w:lang w:val="en-GB"/>
        </w:rPr>
        <w:t xml:space="preserve"> In 1902, two relatively light, pressed steel signs were introduced </w:t>
      </w:r>
      <w:r>
        <w:rPr>
          <w:lang w:val="en-GB"/>
        </w:rPr>
        <w:t>-</w:t>
      </w:r>
      <w:r w:rsidRPr="00FE071E">
        <w:rPr>
          <w:lang w:val="en-GB"/>
        </w:rPr>
        <w:t>DANGER</w:t>
      </w:r>
      <w:r>
        <w:rPr>
          <w:lang w:val="en-GB"/>
        </w:rPr>
        <w:t xml:space="preserve"> and CAUTION</w:t>
      </w:r>
      <w:r w:rsidRPr="00FE071E">
        <w:rPr>
          <w:lang w:val="en-GB"/>
        </w:rPr>
        <w:t>.</w:t>
      </w:r>
      <w:r w:rsidRPr="00FE071E">
        <w:t xml:space="preserve"> </w:t>
      </w:r>
      <w:r w:rsidRPr="00FE071E">
        <w:rPr>
          <w:lang w:val="en-GB"/>
        </w:rPr>
        <w:t xml:space="preserve">See </w:t>
      </w:r>
      <w:r w:rsidRPr="00FE071E">
        <w:t xml:space="preserve">Lightwood, James T. </w:t>
      </w:r>
      <w:r w:rsidRPr="00FE071E">
        <w:rPr>
          <w:i/>
        </w:rPr>
        <w:t xml:space="preserve">The </w:t>
      </w:r>
      <w:r w:rsidRPr="00FE071E">
        <w:rPr>
          <w:bCs/>
          <w:i/>
        </w:rPr>
        <w:t>Cyclists</w:t>
      </w:r>
      <w:r w:rsidRPr="00FE071E">
        <w:rPr>
          <w:i/>
        </w:rPr>
        <w:t xml:space="preserve">' </w:t>
      </w:r>
      <w:r w:rsidRPr="00FE071E">
        <w:rPr>
          <w:bCs/>
          <w:i/>
        </w:rPr>
        <w:t>Touring Club</w:t>
      </w:r>
      <w:r w:rsidRPr="00FE071E">
        <w:rPr>
          <w:i/>
        </w:rPr>
        <w:t>: Being the Romance of Fifty Years'</w:t>
      </w:r>
      <w:r>
        <w:t xml:space="preserve">, </w:t>
      </w:r>
      <w:r w:rsidRPr="00FE071E">
        <w:t xml:space="preserve">London: CTC, 1928, </w:t>
      </w:r>
      <w:r w:rsidRPr="00FE071E">
        <w:rPr>
          <w:lang w:val="en-GB"/>
        </w:rPr>
        <w:t>pp</w:t>
      </w:r>
      <w:r>
        <w:rPr>
          <w:lang w:val="en-GB"/>
        </w:rPr>
        <w:t>.</w:t>
      </w:r>
      <w:r w:rsidRPr="00FE071E">
        <w:t>193-195.</w:t>
      </w:r>
    </w:p>
  </w:endnote>
  <w:endnote w:id="10">
    <w:p w:rsidR="00C40A8C" w:rsidRDefault="00C40A8C" w:rsidP="00C40A8C">
      <w:pPr>
        <w:pStyle w:val="EndnoteText"/>
        <w:spacing w:line="360" w:lineRule="auto"/>
      </w:pPr>
      <w:r w:rsidRPr="00FE071E">
        <w:rPr>
          <w:rStyle w:val="EndnoteReference"/>
          <w:rFonts w:ascii="Times New Roman" w:hAnsi="Times New Roman"/>
          <w:sz w:val="24"/>
          <w:szCs w:val="24"/>
        </w:rPr>
        <w:endnoteRef/>
      </w:r>
      <w:r w:rsidRPr="00FE071E">
        <w:rPr>
          <w:rFonts w:ascii="Times New Roman" w:hAnsi="Times New Roman"/>
          <w:sz w:val="24"/>
          <w:szCs w:val="24"/>
        </w:rPr>
        <w:t xml:space="preserve"> Sir David Salomons was President of the Tunbridge Wells Cycling </w:t>
      </w:r>
      <w:r>
        <w:rPr>
          <w:rFonts w:ascii="Times New Roman" w:hAnsi="Times New Roman"/>
          <w:sz w:val="24"/>
          <w:szCs w:val="24"/>
        </w:rPr>
        <w:t>Club before setting up the Self-</w:t>
      </w:r>
      <w:r w:rsidRPr="00FE071E">
        <w:rPr>
          <w:rFonts w:ascii="Times New Roman" w:hAnsi="Times New Roman"/>
          <w:sz w:val="24"/>
          <w:szCs w:val="24"/>
        </w:rPr>
        <w:t>Propelled Traffic Association and Harry Lawson was deeply involved in cycle design and manufacture before he founded the Motor Car Club</w:t>
      </w:r>
      <w:r>
        <w:rPr>
          <w:rFonts w:ascii="Times New Roman" w:hAnsi="Times New Roman"/>
          <w:sz w:val="24"/>
          <w:szCs w:val="24"/>
        </w:rPr>
        <w:t>. B</w:t>
      </w:r>
      <w:r w:rsidRPr="00FE071E">
        <w:rPr>
          <w:rFonts w:ascii="Times New Roman" w:hAnsi="Times New Roman"/>
          <w:sz w:val="24"/>
          <w:szCs w:val="24"/>
        </w:rPr>
        <w:t xml:space="preserve">oth these organisations were instrumental in promoting the Act. </w:t>
      </w:r>
      <w:r>
        <w:rPr>
          <w:rFonts w:ascii="Times New Roman" w:hAnsi="Times New Roman"/>
          <w:sz w:val="24"/>
          <w:szCs w:val="24"/>
        </w:rPr>
        <w:t xml:space="preserve">See </w:t>
      </w:r>
      <w:r w:rsidRPr="00FE071E">
        <w:rPr>
          <w:rFonts w:ascii="Times New Roman" w:hAnsi="Times New Roman"/>
          <w:sz w:val="24"/>
          <w:szCs w:val="24"/>
        </w:rPr>
        <w:t xml:space="preserve">Reid, Carlton, </w:t>
      </w:r>
      <w:r>
        <w:rPr>
          <w:rFonts w:ascii="Times New Roman" w:hAnsi="Times New Roman"/>
          <w:i/>
          <w:sz w:val="24"/>
          <w:szCs w:val="24"/>
        </w:rPr>
        <w:t xml:space="preserve">Roads Were Not Built for Cars, </w:t>
      </w:r>
      <w:r w:rsidRPr="00FE071E">
        <w:rPr>
          <w:rFonts w:ascii="Times New Roman" w:hAnsi="Times New Roman"/>
          <w:sz w:val="24"/>
          <w:szCs w:val="24"/>
        </w:rPr>
        <w:t>Newcastle: Front P</w:t>
      </w:r>
      <w:r>
        <w:rPr>
          <w:rFonts w:ascii="Times New Roman" w:hAnsi="Times New Roman"/>
          <w:sz w:val="24"/>
          <w:szCs w:val="24"/>
        </w:rPr>
        <w:t>age Creations, 2014, pp 241-243.</w:t>
      </w:r>
    </w:p>
  </w:endnote>
  <w:endnote w:id="11">
    <w:p w:rsidR="00C40A8C" w:rsidRDefault="00C40A8C" w:rsidP="00C40A8C">
      <w:pPr>
        <w:tabs>
          <w:tab w:val="left" w:pos="1276"/>
        </w:tabs>
        <w:spacing w:after="0" w:line="360" w:lineRule="auto"/>
        <w:contextualSpacing/>
      </w:pPr>
      <w:r w:rsidRPr="00FE071E">
        <w:rPr>
          <w:rStyle w:val="EndnoteReference"/>
          <w:rFonts w:ascii="Times New Roman" w:hAnsi="Times New Roman"/>
          <w:sz w:val="24"/>
          <w:szCs w:val="24"/>
        </w:rPr>
        <w:endnoteRef/>
      </w:r>
      <w:r>
        <w:rPr>
          <w:rFonts w:ascii="Times New Roman" w:hAnsi="Times New Roman"/>
          <w:sz w:val="24"/>
          <w:szCs w:val="24"/>
        </w:rPr>
        <w:t xml:space="preserve"> Mom, Gijs, “</w:t>
      </w:r>
      <w:r w:rsidRPr="00FE071E">
        <w:rPr>
          <w:rFonts w:ascii="Times New Roman" w:hAnsi="Times New Roman"/>
          <w:sz w:val="24"/>
          <w:szCs w:val="24"/>
        </w:rPr>
        <w:t>Building an Infrastructure for the Automobile System; PI</w:t>
      </w:r>
      <w:r>
        <w:rPr>
          <w:rFonts w:ascii="Times New Roman" w:hAnsi="Times New Roman"/>
          <w:sz w:val="24"/>
          <w:szCs w:val="24"/>
        </w:rPr>
        <w:t>ARC and Road Safety (1908-1938)”,</w:t>
      </w:r>
      <w:r w:rsidRPr="00FE071E">
        <w:rPr>
          <w:rFonts w:ascii="Times New Roman" w:hAnsi="Times New Roman"/>
          <w:sz w:val="24"/>
          <w:szCs w:val="24"/>
        </w:rPr>
        <w:t xml:space="preserve"> </w:t>
      </w:r>
      <w:r>
        <w:rPr>
          <w:rFonts w:ascii="Times New Roman" w:hAnsi="Times New Roman"/>
          <w:sz w:val="24"/>
          <w:szCs w:val="24"/>
        </w:rPr>
        <w:t>d</w:t>
      </w:r>
      <w:r w:rsidRPr="00FE071E">
        <w:rPr>
          <w:rFonts w:ascii="Times New Roman" w:hAnsi="Times New Roman"/>
          <w:sz w:val="24"/>
          <w:szCs w:val="24"/>
        </w:rPr>
        <w:t>raft paper.</w:t>
      </w:r>
    </w:p>
  </w:endnote>
  <w:endnote w:id="12">
    <w:p w:rsidR="00C40A8C" w:rsidRDefault="00C40A8C" w:rsidP="00C40A8C">
      <w:pPr>
        <w:pStyle w:val="EndnoteText"/>
        <w:spacing w:line="360" w:lineRule="auto"/>
      </w:pPr>
      <w:r w:rsidRPr="00FE071E">
        <w:rPr>
          <w:rStyle w:val="EndnoteReference"/>
          <w:rFonts w:ascii="Times New Roman" w:hAnsi="Times New Roman"/>
          <w:sz w:val="24"/>
          <w:szCs w:val="24"/>
        </w:rPr>
        <w:endnoteRef/>
      </w:r>
      <w:r w:rsidRPr="00FE071E">
        <w:rPr>
          <w:rFonts w:ascii="Times New Roman" w:hAnsi="Times New Roman"/>
          <w:sz w:val="24"/>
          <w:szCs w:val="24"/>
        </w:rPr>
        <w:t xml:space="preserve"> </w:t>
      </w:r>
      <w:r w:rsidRPr="00FE071E">
        <w:rPr>
          <w:rFonts w:ascii="Times New Roman" w:hAnsi="Times New Roman"/>
          <w:i/>
          <w:sz w:val="24"/>
          <w:szCs w:val="24"/>
        </w:rPr>
        <w:t>Motoring Annual and Motorist’s Year Book</w:t>
      </w:r>
      <w:r>
        <w:rPr>
          <w:rFonts w:ascii="Times New Roman" w:hAnsi="Times New Roman"/>
          <w:sz w:val="24"/>
          <w:szCs w:val="24"/>
        </w:rPr>
        <w:t xml:space="preserve">, </w:t>
      </w:r>
      <w:r w:rsidRPr="00FE071E">
        <w:rPr>
          <w:rFonts w:ascii="Times New Roman" w:hAnsi="Times New Roman"/>
          <w:sz w:val="24"/>
          <w:szCs w:val="24"/>
        </w:rPr>
        <w:t>London: Mot</w:t>
      </w:r>
      <w:r>
        <w:rPr>
          <w:rFonts w:ascii="Times New Roman" w:hAnsi="Times New Roman"/>
          <w:sz w:val="24"/>
          <w:szCs w:val="24"/>
        </w:rPr>
        <w:t>oring Illustrated, 1904, p.286.</w:t>
      </w:r>
    </w:p>
  </w:endnote>
  <w:endnote w:id="13">
    <w:p w:rsidR="00C40A8C" w:rsidRDefault="00C40A8C" w:rsidP="00C40A8C">
      <w:pPr>
        <w:spacing w:line="360" w:lineRule="auto"/>
        <w:contextualSpacing/>
      </w:pPr>
      <w:r w:rsidRPr="00FE071E">
        <w:rPr>
          <w:rStyle w:val="EndnoteReference"/>
          <w:rFonts w:ascii="Times New Roman" w:hAnsi="Times New Roman"/>
          <w:sz w:val="24"/>
          <w:szCs w:val="24"/>
        </w:rPr>
        <w:endnoteRef/>
      </w:r>
      <w:r>
        <w:rPr>
          <w:rFonts w:ascii="Times New Roman" w:hAnsi="Times New Roman"/>
          <w:sz w:val="24"/>
          <w:szCs w:val="24"/>
        </w:rPr>
        <w:t xml:space="preserve"> From</w:t>
      </w:r>
      <w:r w:rsidRPr="00FE071E">
        <w:rPr>
          <w:rFonts w:ascii="Times New Roman" w:hAnsi="Times New Roman"/>
          <w:sz w:val="24"/>
          <w:szCs w:val="24"/>
        </w:rPr>
        <w:t xml:space="preserve"> Inglis, H.R.G., </w:t>
      </w:r>
      <w:proofErr w:type="gramStart"/>
      <w:r w:rsidRPr="00FE071E">
        <w:rPr>
          <w:rFonts w:ascii="Times New Roman" w:hAnsi="Times New Roman"/>
          <w:i/>
          <w:sz w:val="24"/>
          <w:szCs w:val="24"/>
        </w:rPr>
        <w:t>Th</w:t>
      </w:r>
      <w:r>
        <w:rPr>
          <w:rFonts w:ascii="Times New Roman" w:hAnsi="Times New Roman"/>
          <w:i/>
          <w:sz w:val="24"/>
          <w:szCs w:val="24"/>
        </w:rPr>
        <w:t>e</w:t>
      </w:r>
      <w:proofErr w:type="gramEnd"/>
      <w:r>
        <w:rPr>
          <w:rFonts w:ascii="Times New Roman" w:hAnsi="Times New Roman"/>
          <w:i/>
          <w:sz w:val="24"/>
          <w:szCs w:val="24"/>
        </w:rPr>
        <w:t xml:space="preserve"> Contour Road Book of Scotland, </w:t>
      </w:r>
      <w:r w:rsidRPr="00FE071E">
        <w:rPr>
          <w:rFonts w:ascii="Times New Roman" w:hAnsi="Times New Roman"/>
          <w:bCs/>
          <w:sz w:val="24"/>
          <w:szCs w:val="24"/>
        </w:rPr>
        <w:t>Edinburgh: Gall &amp; Inglis, 1913, Foreword.</w:t>
      </w:r>
    </w:p>
  </w:endnote>
  <w:endnote w:id="14">
    <w:p w:rsidR="00C40A8C" w:rsidRDefault="00C40A8C" w:rsidP="00C40A8C">
      <w:pPr>
        <w:tabs>
          <w:tab w:val="left" w:pos="1276"/>
        </w:tabs>
        <w:spacing w:line="360" w:lineRule="auto"/>
        <w:contextualSpacing/>
      </w:pPr>
      <w:r w:rsidRPr="00FE071E">
        <w:rPr>
          <w:rStyle w:val="EndnoteReference"/>
          <w:rFonts w:ascii="Times New Roman" w:hAnsi="Times New Roman"/>
          <w:sz w:val="24"/>
          <w:szCs w:val="24"/>
        </w:rPr>
        <w:endnoteRef/>
      </w:r>
      <w:r w:rsidRPr="00FE071E">
        <w:rPr>
          <w:rFonts w:ascii="Times New Roman" w:hAnsi="Times New Roman"/>
          <w:sz w:val="24"/>
          <w:szCs w:val="24"/>
        </w:rPr>
        <w:t xml:space="preserve"> Both write the bicycle off in</w:t>
      </w:r>
      <w:r>
        <w:rPr>
          <w:rFonts w:ascii="Times New Roman" w:hAnsi="Times New Roman"/>
          <w:sz w:val="24"/>
          <w:szCs w:val="24"/>
        </w:rPr>
        <w:t xml:space="preserve"> the space of</w:t>
      </w:r>
      <w:r w:rsidRPr="00FE071E">
        <w:rPr>
          <w:rFonts w:ascii="Times New Roman" w:hAnsi="Times New Roman"/>
          <w:sz w:val="24"/>
          <w:szCs w:val="24"/>
        </w:rPr>
        <w:t xml:space="preserve"> a single page. Webb, Sydney and Beatrice.</w:t>
      </w:r>
      <w:r w:rsidRPr="00FE071E">
        <w:rPr>
          <w:rFonts w:ascii="Times New Roman" w:hAnsi="Times New Roman"/>
          <w:i/>
          <w:sz w:val="24"/>
          <w:szCs w:val="24"/>
        </w:rPr>
        <w:t xml:space="preserve"> English Local Government – The Story of the King’s Highway. </w:t>
      </w:r>
      <w:r w:rsidRPr="00FE071E">
        <w:rPr>
          <w:rFonts w:ascii="Times New Roman" w:hAnsi="Times New Roman"/>
          <w:sz w:val="24"/>
          <w:szCs w:val="24"/>
        </w:rPr>
        <w:t>London: Longmans Green, 1913. (Reprinted by ULAN, n.d.) p</w:t>
      </w:r>
      <w:r>
        <w:rPr>
          <w:rFonts w:ascii="Times New Roman" w:hAnsi="Times New Roman"/>
          <w:sz w:val="24"/>
          <w:szCs w:val="24"/>
        </w:rPr>
        <w:t xml:space="preserve">.240; </w:t>
      </w:r>
      <w:r w:rsidRPr="00FE071E">
        <w:rPr>
          <w:rFonts w:ascii="Times New Roman" w:hAnsi="Times New Roman"/>
          <w:sz w:val="24"/>
          <w:szCs w:val="24"/>
        </w:rPr>
        <w:t xml:space="preserve">Plowden, William. </w:t>
      </w:r>
      <w:r w:rsidRPr="00FE071E">
        <w:rPr>
          <w:rFonts w:ascii="Times New Roman" w:hAnsi="Times New Roman"/>
          <w:i/>
          <w:sz w:val="24"/>
          <w:szCs w:val="24"/>
        </w:rPr>
        <w:t>The Motor Car and Politics, 1896-1970</w:t>
      </w:r>
      <w:r w:rsidRPr="00FE071E">
        <w:rPr>
          <w:rFonts w:ascii="Times New Roman" w:hAnsi="Times New Roman"/>
          <w:sz w:val="24"/>
          <w:szCs w:val="24"/>
        </w:rPr>
        <w:t>. London: Bodley Head, 1970, pp</w:t>
      </w:r>
      <w:r>
        <w:rPr>
          <w:rFonts w:ascii="Times New Roman" w:hAnsi="Times New Roman"/>
          <w:sz w:val="24"/>
          <w:szCs w:val="24"/>
        </w:rPr>
        <w:t>.</w:t>
      </w:r>
      <w:r w:rsidRPr="00FE071E">
        <w:rPr>
          <w:rFonts w:ascii="Times New Roman" w:hAnsi="Times New Roman"/>
          <w:sz w:val="24"/>
          <w:szCs w:val="24"/>
        </w:rPr>
        <w:t>24-5.</w:t>
      </w:r>
    </w:p>
  </w:endnote>
  <w:endnote w:id="15">
    <w:p w:rsidR="00C40A8C" w:rsidRDefault="00C40A8C" w:rsidP="00C40A8C">
      <w:pPr>
        <w:tabs>
          <w:tab w:val="left" w:pos="1276"/>
        </w:tabs>
        <w:spacing w:line="360" w:lineRule="auto"/>
        <w:contextualSpacing/>
      </w:pPr>
      <w:r w:rsidRPr="00FE071E">
        <w:rPr>
          <w:rStyle w:val="EndnoteReference"/>
          <w:rFonts w:ascii="Times New Roman" w:hAnsi="Times New Roman"/>
          <w:sz w:val="24"/>
          <w:szCs w:val="24"/>
        </w:rPr>
        <w:endnoteRef/>
      </w:r>
      <w:r w:rsidRPr="00FE071E">
        <w:rPr>
          <w:rFonts w:ascii="Times New Roman" w:hAnsi="Times New Roman"/>
          <w:sz w:val="24"/>
          <w:szCs w:val="24"/>
        </w:rPr>
        <w:t xml:space="preserve"> </w:t>
      </w:r>
      <w:r w:rsidRPr="00FE071E">
        <w:rPr>
          <w:rFonts w:ascii="Times New Roman" w:hAnsi="Times New Roman"/>
          <w:i/>
          <w:sz w:val="24"/>
          <w:szCs w:val="24"/>
        </w:rPr>
        <w:t>The Locomotives Act, 1865</w:t>
      </w:r>
      <w:r w:rsidRPr="00FE071E">
        <w:rPr>
          <w:rFonts w:ascii="Times New Roman" w:hAnsi="Times New Roman"/>
          <w:sz w:val="24"/>
          <w:szCs w:val="24"/>
        </w:rPr>
        <w:t xml:space="preserve"> (28 &amp; 29 VICT. CAP. 83. – s3) set</w:t>
      </w:r>
      <w:r>
        <w:rPr>
          <w:rFonts w:ascii="Times New Roman" w:hAnsi="Times New Roman"/>
          <w:sz w:val="24"/>
          <w:szCs w:val="24"/>
        </w:rPr>
        <w:t xml:space="preserve"> limits on ‘locomotives’ at 4 miles per hour (2 mph</w:t>
      </w:r>
      <w:r w:rsidRPr="00FE071E">
        <w:rPr>
          <w:rFonts w:ascii="Times New Roman" w:hAnsi="Times New Roman"/>
          <w:sz w:val="24"/>
          <w:szCs w:val="24"/>
        </w:rPr>
        <w:t xml:space="preserve"> in villages, towns and cities)</w:t>
      </w:r>
      <w:r>
        <w:rPr>
          <w:rFonts w:ascii="Times New Roman" w:hAnsi="Times New Roman"/>
          <w:sz w:val="24"/>
          <w:szCs w:val="24"/>
        </w:rPr>
        <w:t>,</w:t>
      </w:r>
      <w:r w:rsidRPr="00FE071E">
        <w:rPr>
          <w:rFonts w:ascii="Times New Roman" w:hAnsi="Times New Roman"/>
          <w:sz w:val="24"/>
          <w:szCs w:val="24"/>
        </w:rPr>
        <w:t xml:space="preserve"> preceded by a </w:t>
      </w:r>
      <w:r w:rsidR="007A6FFC">
        <w:rPr>
          <w:rFonts w:ascii="Times New Roman" w:hAnsi="Times New Roman"/>
          <w:sz w:val="24"/>
          <w:szCs w:val="24"/>
        </w:rPr>
        <w:t xml:space="preserve">flag bearer. Modified under </w:t>
      </w:r>
      <w:r w:rsidRPr="00FE071E">
        <w:rPr>
          <w:rFonts w:ascii="Times New Roman" w:hAnsi="Times New Roman"/>
          <w:i/>
          <w:sz w:val="24"/>
          <w:szCs w:val="24"/>
        </w:rPr>
        <w:t>The Highways and Locomotive (Amendment) Act, 1878</w:t>
      </w:r>
      <w:r w:rsidRPr="00FE071E">
        <w:rPr>
          <w:rFonts w:ascii="Times New Roman" w:hAnsi="Times New Roman"/>
          <w:sz w:val="24"/>
          <w:szCs w:val="24"/>
        </w:rPr>
        <w:t xml:space="preserve"> (41 &amp; 42 VICT. CAP. 77. Part II) that, in England, a person ‘shall precede by at least twenty yards the locomotive on foot’. Glen, Alexander. </w:t>
      </w:r>
      <w:r w:rsidRPr="00FE071E">
        <w:rPr>
          <w:rFonts w:ascii="Times New Roman" w:hAnsi="Times New Roman"/>
          <w:i/>
          <w:sz w:val="24"/>
          <w:szCs w:val="24"/>
        </w:rPr>
        <w:t xml:space="preserve">The Highways Acts 1862-1878, The Locomotive Acts 1861-1878 and the General Provisions of the Turnpike Continuance Acts 1863-1878. </w:t>
      </w:r>
      <w:r w:rsidRPr="00FE071E">
        <w:rPr>
          <w:rFonts w:ascii="Times New Roman" w:hAnsi="Times New Roman"/>
          <w:sz w:val="24"/>
          <w:szCs w:val="24"/>
        </w:rPr>
        <w:t>London: Knight &amp; Co, 5</w:t>
      </w:r>
      <w:r w:rsidRPr="00FE071E">
        <w:rPr>
          <w:rFonts w:ascii="Times New Roman" w:hAnsi="Times New Roman"/>
          <w:sz w:val="24"/>
          <w:szCs w:val="24"/>
          <w:vertAlign w:val="superscript"/>
        </w:rPr>
        <w:t>th</w:t>
      </w:r>
      <w:r>
        <w:rPr>
          <w:rFonts w:ascii="Times New Roman" w:hAnsi="Times New Roman"/>
          <w:sz w:val="24"/>
          <w:szCs w:val="24"/>
        </w:rPr>
        <w:t xml:space="preserve"> Edn 1879, pp.</w:t>
      </w:r>
      <w:r w:rsidRPr="00FE071E">
        <w:rPr>
          <w:rFonts w:ascii="Times New Roman" w:hAnsi="Times New Roman"/>
          <w:sz w:val="24"/>
          <w:szCs w:val="24"/>
        </w:rPr>
        <w:t>237-239.</w:t>
      </w:r>
    </w:p>
  </w:endnote>
  <w:endnote w:id="16">
    <w:p w:rsidR="00C40A8C" w:rsidRDefault="00C40A8C" w:rsidP="00C40A8C">
      <w:pPr>
        <w:tabs>
          <w:tab w:val="left" w:pos="1276"/>
        </w:tabs>
        <w:spacing w:after="0" w:line="360" w:lineRule="auto"/>
        <w:contextualSpacing/>
      </w:pPr>
      <w:r w:rsidRPr="00FE071E">
        <w:rPr>
          <w:rStyle w:val="EndnoteReference"/>
          <w:rFonts w:ascii="Times New Roman" w:hAnsi="Times New Roman"/>
          <w:sz w:val="24"/>
          <w:szCs w:val="24"/>
        </w:rPr>
        <w:endnoteRef/>
      </w:r>
      <w:r w:rsidRPr="00FE071E">
        <w:rPr>
          <w:rFonts w:ascii="Times New Roman" w:hAnsi="Times New Roman"/>
          <w:sz w:val="24"/>
          <w:szCs w:val="24"/>
        </w:rPr>
        <w:t xml:space="preserve"> Mom, Gijs</w:t>
      </w:r>
      <w:r>
        <w:rPr>
          <w:rFonts w:ascii="Times New Roman" w:hAnsi="Times New Roman"/>
          <w:sz w:val="24"/>
          <w:szCs w:val="24"/>
        </w:rPr>
        <w:t>, “</w:t>
      </w:r>
      <w:r w:rsidRPr="00FE071E">
        <w:rPr>
          <w:rFonts w:ascii="Times New Roman" w:hAnsi="Times New Roman"/>
          <w:sz w:val="24"/>
          <w:szCs w:val="24"/>
        </w:rPr>
        <w:t>Building an Infrastructure for the Automobile System; PI</w:t>
      </w:r>
      <w:r>
        <w:rPr>
          <w:rFonts w:ascii="Times New Roman" w:hAnsi="Times New Roman"/>
          <w:sz w:val="24"/>
          <w:szCs w:val="24"/>
        </w:rPr>
        <w:t>ARC and Road Safety (1908-1938)”, d</w:t>
      </w:r>
      <w:r w:rsidRPr="00FE071E">
        <w:rPr>
          <w:rFonts w:ascii="Times New Roman" w:hAnsi="Times New Roman"/>
          <w:sz w:val="24"/>
          <w:szCs w:val="24"/>
        </w:rPr>
        <w:t>raft paper.</w:t>
      </w:r>
    </w:p>
  </w:endnote>
  <w:endnote w:id="17">
    <w:p w:rsidR="00C40A8C" w:rsidRDefault="00C40A8C" w:rsidP="00C40A8C">
      <w:pPr>
        <w:pStyle w:val="EndnoteText"/>
        <w:spacing w:line="360" w:lineRule="auto"/>
      </w:pPr>
      <w:r w:rsidRPr="00FE071E">
        <w:rPr>
          <w:rStyle w:val="EndnoteReference"/>
          <w:rFonts w:ascii="Times New Roman" w:hAnsi="Times New Roman"/>
          <w:sz w:val="24"/>
          <w:szCs w:val="24"/>
        </w:rPr>
        <w:endnoteRef/>
      </w:r>
      <w:r>
        <w:rPr>
          <w:rFonts w:ascii="Times New Roman" w:hAnsi="Times New Roman"/>
          <w:sz w:val="24"/>
          <w:szCs w:val="24"/>
        </w:rPr>
        <w:t xml:space="preserve"> From about </w:t>
      </w:r>
      <w:r w:rsidRPr="00FE071E">
        <w:rPr>
          <w:rFonts w:ascii="Times New Roman" w:hAnsi="Times New Roman"/>
          <w:sz w:val="24"/>
          <w:szCs w:val="24"/>
        </w:rPr>
        <w:t>1902</w:t>
      </w:r>
      <w:r>
        <w:rPr>
          <w:rFonts w:ascii="Times New Roman" w:hAnsi="Times New Roman"/>
          <w:sz w:val="24"/>
          <w:szCs w:val="24"/>
        </w:rPr>
        <w:t>,</w:t>
      </w:r>
      <w:r w:rsidRPr="00FE071E">
        <w:rPr>
          <w:rFonts w:ascii="Times New Roman" w:hAnsi="Times New Roman"/>
          <w:sz w:val="24"/>
          <w:szCs w:val="24"/>
        </w:rPr>
        <w:t xml:space="preserve"> the CTC was divided as to whether or not to increas</w:t>
      </w:r>
      <w:r>
        <w:rPr>
          <w:rFonts w:ascii="Times New Roman" w:hAnsi="Times New Roman"/>
          <w:sz w:val="24"/>
          <w:szCs w:val="24"/>
        </w:rPr>
        <w:t>e its remit to include motoring:</w:t>
      </w:r>
      <w:r w:rsidRPr="00FE071E">
        <w:rPr>
          <w:rFonts w:ascii="Times New Roman" w:hAnsi="Times New Roman"/>
          <w:sz w:val="24"/>
          <w:szCs w:val="24"/>
        </w:rPr>
        <w:t xml:space="preserve"> the argument went so far as being taken to the High Court in London. For details of the debate and </w:t>
      </w:r>
      <w:r>
        <w:rPr>
          <w:rFonts w:ascii="Times New Roman" w:hAnsi="Times New Roman"/>
          <w:sz w:val="24"/>
          <w:szCs w:val="24"/>
        </w:rPr>
        <w:t xml:space="preserve">the </w:t>
      </w:r>
      <w:r w:rsidRPr="00FE071E">
        <w:rPr>
          <w:rFonts w:ascii="Times New Roman" w:hAnsi="Times New Roman"/>
          <w:sz w:val="24"/>
          <w:szCs w:val="24"/>
        </w:rPr>
        <w:t>hearing</w:t>
      </w:r>
      <w:r>
        <w:rPr>
          <w:rFonts w:ascii="Times New Roman" w:hAnsi="Times New Roman"/>
          <w:sz w:val="24"/>
          <w:szCs w:val="24"/>
        </w:rPr>
        <w:t>s</w:t>
      </w:r>
      <w:r w:rsidRPr="00FE071E">
        <w:rPr>
          <w:rFonts w:ascii="Times New Roman" w:hAnsi="Times New Roman"/>
          <w:sz w:val="24"/>
          <w:szCs w:val="24"/>
        </w:rPr>
        <w:t xml:space="preserve"> see Lightwood, James T.</w:t>
      </w:r>
      <w:r w:rsidRPr="00FE071E">
        <w:rPr>
          <w:rFonts w:ascii="Times New Roman" w:hAnsi="Times New Roman"/>
          <w:color w:val="222222"/>
          <w:sz w:val="24"/>
          <w:szCs w:val="24"/>
        </w:rPr>
        <w:t xml:space="preserve"> </w:t>
      </w:r>
      <w:r w:rsidRPr="00FE071E">
        <w:rPr>
          <w:rFonts w:ascii="Times New Roman" w:hAnsi="Times New Roman"/>
          <w:i/>
          <w:color w:val="222222"/>
          <w:sz w:val="24"/>
          <w:szCs w:val="24"/>
        </w:rPr>
        <w:t xml:space="preserve">The </w:t>
      </w:r>
      <w:r w:rsidRPr="00FE071E">
        <w:rPr>
          <w:rFonts w:ascii="Times New Roman" w:hAnsi="Times New Roman"/>
          <w:bCs/>
          <w:i/>
          <w:color w:val="000000"/>
          <w:sz w:val="24"/>
          <w:szCs w:val="24"/>
        </w:rPr>
        <w:t>Cyclists</w:t>
      </w:r>
      <w:r w:rsidRPr="00FE071E">
        <w:rPr>
          <w:rFonts w:ascii="Times New Roman" w:hAnsi="Times New Roman"/>
          <w:i/>
          <w:color w:val="222222"/>
          <w:sz w:val="24"/>
          <w:szCs w:val="24"/>
        </w:rPr>
        <w:t xml:space="preserve">' </w:t>
      </w:r>
      <w:r w:rsidRPr="00FE071E">
        <w:rPr>
          <w:rFonts w:ascii="Times New Roman" w:hAnsi="Times New Roman"/>
          <w:bCs/>
          <w:i/>
          <w:color w:val="000000"/>
          <w:sz w:val="24"/>
          <w:szCs w:val="24"/>
        </w:rPr>
        <w:t>Touring Club:</w:t>
      </w:r>
      <w:r w:rsidRPr="00FE071E">
        <w:rPr>
          <w:rFonts w:ascii="Times New Roman" w:hAnsi="Times New Roman"/>
          <w:i/>
          <w:sz w:val="24"/>
          <w:szCs w:val="24"/>
        </w:rPr>
        <w:t xml:space="preserve"> Being the Romance of Fifty Years'</w:t>
      </w:r>
      <w:r w:rsidRPr="00FE071E">
        <w:rPr>
          <w:rFonts w:ascii="Times New Roman" w:hAnsi="Times New Roman"/>
          <w:sz w:val="24"/>
          <w:szCs w:val="24"/>
        </w:rPr>
        <w:t>. London: CTC, 1928</w:t>
      </w:r>
      <w:r w:rsidRPr="00FE071E">
        <w:rPr>
          <w:rFonts w:ascii="Times New Roman" w:hAnsi="Times New Roman"/>
          <w:i/>
          <w:color w:val="222222"/>
          <w:sz w:val="24"/>
          <w:szCs w:val="24"/>
        </w:rPr>
        <w:t xml:space="preserve">, </w:t>
      </w:r>
      <w:r w:rsidRPr="00FE071E">
        <w:rPr>
          <w:rFonts w:ascii="Times New Roman" w:hAnsi="Times New Roman"/>
          <w:color w:val="222222"/>
          <w:sz w:val="24"/>
          <w:szCs w:val="24"/>
        </w:rPr>
        <w:t>pp</w:t>
      </w:r>
      <w:r>
        <w:rPr>
          <w:rFonts w:ascii="Times New Roman" w:hAnsi="Times New Roman"/>
          <w:color w:val="222222"/>
          <w:sz w:val="24"/>
          <w:szCs w:val="24"/>
        </w:rPr>
        <w:t>.</w:t>
      </w:r>
      <w:r w:rsidRPr="00FE071E">
        <w:rPr>
          <w:rFonts w:ascii="Times New Roman" w:hAnsi="Times New Roman"/>
          <w:color w:val="222222"/>
          <w:sz w:val="24"/>
          <w:szCs w:val="24"/>
        </w:rPr>
        <w:t xml:space="preserve">84-92, </w:t>
      </w:r>
      <w:r>
        <w:rPr>
          <w:rFonts w:ascii="Times New Roman" w:hAnsi="Times New Roman"/>
          <w:color w:val="222222"/>
          <w:sz w:val="24"/>
          <w:szCs w:val="24"/>
        </w:rPr>
        <w:t>pp.</w:t>
      </w:r>
      <w:r w:rsidRPr="00FE071E">
        <w:rPr>
          <w:rFonts w:ascii="Times New Roman" w:hAnsi="Times New Roman"/>
          <w:color w:val="222222"/>
          <w:sz w:val="24"/>
          <w:szCs w:val="24"/>
        </w:rPr>
        <w:t>232-235, and</w:t>
      </w:r>
      <w:r w:rsidRPr="00FE071E">
        <w:rPr>
          <w:rFonts w:ascii="Times New Roman" w:hAnsi="Times New Roman"/>
          <w:sz w:val="24"/>
          <w:szCs w:val="24"/>
        </w:rPr>
        <w:t xml:space="preserve"> Oakley, William. </w:t>
      </w:r>
      <w:r w:rsidRPr="00FE071E">
        <w:rPr>
          <w:rFonts w:ascii="Times New Roman" w:hAnsi="Times New Roman"/>
          <w:i/>
          <w:sz w:val="24"/>
          <w:szCs w:val="24"/>
        </w:rPr>
        <w:t>Winged Wheel.</w:t>
      </w:r>
      <w:r>
        <w:rPr>
          <w:rFonts w:ascii="Times New Roman" w:hAnsi="Times New Roman"/>
          <w:sz w:val="24"/>
          <w:szCs w:val="24"/>
        </w:rPr>
        <w:t xml:space="preserve"> Godalming: CTC, 1977, pp.19-21.</w:t>
      </w:r>
    </w:p>
  </w:endnote>
  <w:endnote w:id="18">
    <w:p w:rsidR="00C40A8C" w:rsidRDefault="00C40A8C" w:rsidP="00C40A8C">
      <w:pPr>
        <w:tabs>
          <w:tab w:val="left" w:pos="1276"/>
        </w:tabs>
        <w:spacing w:after="0" w:line="360" w:lineRule="auto"/>
        <w:contextualSpacing/>
      </w:pPr>
      <w:r w:rsidRPr="00FE071E">
        <w:rPr>
          <w:rStyle w:val="EndnoteReference"/>
          <w:rFonts w:ascii="Times New Roman" w:hAnsi="Times New Roman"/>
          <w:sz w:val="24"/>
          <w:szCs w:val="24"/>
        </w:rPr>
        <w:endnoteRef/>
      </w:r>
      <w:r>
        <w:rPr>
          <w:rFonts w:ascii="Times New Roman" w:hAnsi="Times New Roman"/>
          <w:sz w:val="24"/>
          <w:szCs w:val="24"/>
        </w:rPr>
        <w:t xml:space="preserve"> The ‘Red Light A</w:t>
      </w:r>
      <w:r w:rsidRPr="00FE071E">
        <w:rPr>
          <w:rFonts w:ascii="Times New Roman" w:hAnsi="Times New Roman"/>
          <w:sz w:val="24"/>
          <w:szCs w:val="24"/>
        </w:rPr>
        <w:t>ct’ would have compelled cyclists to carry tail lamps. Instead</w:t>
      </w:r>
      <w:r>
        <w:rPr>
          <w:rFonts w:ascii="Times New Roman" w:hAnsi="Times New Roman"/>
          <w:sz w:val="24"/>
          <w:szCs w:val="24"/>
        </w:rPr>
        <w:t>,</w:t>
      </w:r>
      <w:r w:rsidRPr="00FE071E">
        <w:rPr>
          <w:rFonts w:ascii="Times New Roman" w:hAnsi="Times New Roman"/>
          <w:sz w:val="24"/>
          <w:szCs w:val="24"/>
        </w:rPr>
        <w:t xml:space="preserve"> a compromise was reached that allowed the use of a white flash and reflector instead of a lamp. The</w:t>
      </w:r>
      <w:r>
        <w:rPr>
          <w:rFonts w:ascii="Times New Roman" w:hAnsi="Times New Roman"/>
          <w:sz w:val="24"/>
          <w:szCs w:val="24"/>
        </w:rPr>
        <w:t xml:space="preserve"> CTC position was that all tail-</w:t>
      </w:r>
      <w:r w:rsidRPr="00FE071E">
        <w:rPr>
          <w:rFonts w:ascii="Times New Roman" w:hAnsi="Times New Roman"/>
          <w:sz w:val="24"/>
          <w:szCs w:val="24"/>
        </w:rPr>
        <w:t>markers were unreasonable as it was the responsibility of the motorist to see a cyclist, or any other road user, no matter how darkly dressed; motorists should therefore drive slowly, in the field of their headlamps, to anticipate such road users.</w:t>
      </w:r>
      <w:r w:rsidRPr="00FE071E">
        <w:rPr>
          <w:rFonts w:ascii="Times New Roman" w:hAnsi="Times New Roman"/>
          <w:i/>
          <w:sz w:val="24"/>
          <w:szCs w:val="24"/>
        </w:rPr>
        <w:t xml:space="preserve"> Why Cyclists Object To Compulsory Rear Lights</w:t>
      </w:r>
      <w:r w:rsidRPr="00FE071E">
        <w:rPr>
          <w:rFonts w:ascii="Times New Roman" w:hAnsi="Times New Roman"/>
          <w:sz w:val="24"/>
          <w:szCs w:val="24"/>
        </w:rPr>
        <w:t>. London: CTC, 1927.</w:t>
      </w:r>
    </w:p>
  </w:endnote>
  <w:endnote w:id="19">
    <w:p w:rsidR="00C40A8C" w:rsidRDefault="00C40A8C" w:rsidP="00C40A8C">
      <w:pPr>
        <w:pStyle w:val="EndnoteText"/>
        <w:spacing w:line="360" w:lineRule="auto"/>
      </w:pPr>
      <w:r w:rsidRPr="00FE071E">
        <w:rPr>
          <w:rStyle w:val="EndnoteReference"/>
          <w:rFonts w:ascii="Times New Roman" w:hAnsi="Times New Roman"/>
          <w:sz w:val="24"/>
          <w:szCs w:val="24"/>
        </w:rPr>
        <w:endnoteRef/>
      </w:r>
      <w:r w:rsidRPr="00FE071E">
        <w:rPr>
          <w:rFonts w:ascii="Times New Roman" w:hAnsi="Times New Roman"/>
          <w:sz w:val="24"/>
          <w:szCs w:val="24"/>
        </w:rPr>
        <w:t xml:space="preserve"> Lightwood, James T. </w:t>
      </w:r>
      <w:r w:rsidRPr="00FE071E">
        <w:rPr>
          <w:rFonts w:ascii="Times New Roman" w:hAnsi="Times New Roman"/>
          <w:i/>
          <w:sz w:val="24"/>
          <w:szCs w:val="24"/>
        </w:rPr>
        <w:t xml:space="preserve">The </w:t>
      </w:r>
      <w:r w:rsidRPr="00FE071E">
        <w:rPr>
          <w:rFonts w:ascii="Times New Roman" w:hAnsi="Times New Roman"/>
          <w:bCs/>
          <w:i/>
          <w:sz w:val="24"/>
          <w:szCs w:val="24"/>
        </w:rPr>
        <w:t>Cyclists</w:t>
      </w:r>
      <w:r w:rsidRPr="00FE071E">
        <w:rPr>
          <w:rFonts w:ascii="Times New Roman" w:hAnsi="Times New Roman"/>
          <w:i/>
          <w:sz w:val="24"/>
          <w:szCs w:val="24"/>
        </w:rPr>
        <w:t xml:space="preserve">' </w:t>
      </w:r>
      <w:r w:rsidRPr="00FE071E">
        <w:rPr>
          <w:rFonts w:ascii="Times New Roman" w:hAnsi="Times New Roman"/>
          <w:bCs/>
          <w:i/>
          <w:sz w:val="24"/>
          <w:szCs w:val="24"/>
        </w:rPr>
        <w:t>Touring Club</w:t>
      </w:r>
      <w:r w:rsidRPr="00FE071E">
        <w:rPr>
          <w:rFonts w:ascii="Times New Roman" w:hAnsi="Times New Roman"/>
          <w:i/>
          <w:sz w:val="24"/>
          <w:szCs w:val="24"/>
        </w:rPr>
        <w:t>: Being the Romance of Fifty Years'</w:t>
      </w:r>
      <w:r w:rsidRPr="00FE071E">
        <w:rPr>
          <w:rFonts w:ascii="Times New Roman" w:hAnsi="Times New Roman"/>
          <w:sz w:val="24"/>
          <w:szCs w:val="24"/>
        </w:rPr>
        <w:t>. London</w:t>
      </w:r>
      <w:r>
        <w:rPr>
          <w:rFonts w:ascii="Times New Roman" w:hAnsi="Times New Roman"/>
          <w:sz w:val="24"/>
          <w:szCs w:val="24"/>
        </w:rPr>
        <w:t>: CTC, 1928, pp.197-8, and p.274.</w:t>
      </w:r>
    </w:p>
  </w:endnote>
  <w:endnote w:id="20">
    <w:p w:rsidR="00C40A8C" w:rsidRDefault="00C40A8C" w:rsidP="00C40A8C">
      <w:pPr>
        <w:pStyle w:val="FootnoteText"/>
        <w:spacing w:line="360" w:lineRule="auto"/>
      </w:pPr>
      <w:r w:rsidRPr="00FE071E">
        <w:rPr>
          <w:rStyle w:val="EndnoteReference"/>
        </w:rPr>
        <w:endnoteRef/>
      </w:r>
      <w:r w:rsidRPr="00FE071E">
        <w:t xml:space="preserve"> Raleigh's output rising to a high of approximately 55,022 per year in </w:t>
      </w:r>
      <w:r>
        <w:t>19</w:t>
      </w:r>
      <w:r w:rsidRPr="00FE071E">
        <w:t xml:space="preserve">13-14, from 7,813 in 1896-97 in an almost constant increase; for full figures see Rosen, Paul. </w:t>
      </w:r>
      <w:r w:rsidRPr="00FE071E">
        <w:rPr>
          <w:i/>
        </w:rPr>
        <w:t>Framing Production</w:t>
      </w:r>
      <w:r w:rsidRPr="00FE071E">
        <w:t>. Cambridge MA and London: MIT Press, 2002, p</w:t>
      </w:r>
      <w:r>
        <w:t>.</w:t>
      </w:r>
      <w:r w:rsidRPr="00FE071E">
        <w:t>52. The retail price of a new ‘popular’ model had fallen to about £6 from about £12. First class mounts to £12-£15 from £20-£30. For a fuller discussion of British cycli</w:t>
      </w:r>
      <w:r>
        <w:t>ng in this period see Oddy, N, “</w:t>
      </w:r>
      <w:r w:rsidRPr="00FE071E">
        <w:t>The Flaneur on Wheels?</w:t>
      </w:r>
      <w:r>
        <w:t>”</w:t>
      </w:r>
      <w:r w:rsidRPr="00FE071E">
        <w:t>, pp</w:t>
      </w:r>
      <w:r>
        <w:t>.</w:t>
      </w:r>
      <w:r w:rsidRPr="00FE071E">
        <w:t xml:space="preserve">97-112 in Horton, David, Paul Rosen and Peter Cox (Eds). </w:t>
      </w:r>
      <w:r w:rsidRPr="00FE071E">
        <w:rPr>
          <w:i/>
        </w:rPr>
        <w:t>Cycling and Society</w:t>
      </w:r>
      <w:r>
        <w:t xml:space="preserve">, </w:t>
      </w:r>
      <w:r w:rsidRPr="00FE071E">
        <w:t>Aldershot</w:t>
      </w:r>
      <w:r>
        <w:t>: Ashgate, 2007.</w:t>
      </w:r>
    </w:p>
  </w:endnote>
  <w:endnote w:id="21">
    <w:p w:rsidR="008C728C" w:rsidRPr="008C728C" w:rsidRDefault="008C728C" w:rsidP="008C728C">
      <w:pPr>
        <w:pStyle w:val="FootnoteText"/>
        <w:spacing w:line="360" w:lineRule="auto"/>
        <w:rPr>
          <w:lang w:val="en-GB"/>
        </w:rPr>
      </w:pPr>
      <w:r>
        <w:rPr>
          <w:rStyle w:val="EndnoteReference"/>
        </w:rPr>
        <w:endnoteRef/>
      </w:r>
      <w:r>
        <w:t xml:space="preserve"> </w:t>
      </w:r>
      <w:r w:rsidRPr="008C728C">
        <w:t xml:space="preserve">Ministry of Transport, </w:t>
      </w:r>
      <w:r w:rsidRPr="008C728C">
        <w:rPr>
          <w:i/>
        </w:rPr>
        <w:t xml:space="preserve">The Highway Code: Issued by the Minister of Transport with the authority of Parliament in pursuance of Section 45 of the Road Traffic Act, 1930 </w:t>
      </w:r>
      <w:r w:rsidRPr="008C728C">
        <w:t>(HMSO, London, 1931)</w:t>
      </w:r>
      <w:r>
        <w:t>,</w:t>
      </w:r>
      <w:r w:rsidRPr="008C728C">
        <w:t xml:space="preserve"> p1</w:t>
      </w:r>
      <w:r>
        <w:t>.</w:t>
      </w:r>
      <w:r w:rsidRPr="008C728C">
        <w:t xml:space="preserve"> Six pages are given over to motor </w:t>
      </w:r>
      <w:proofErr w:type="gramStart"/>
      <w:r w:rsidRPr="008C728C">
        <w:t>vehicles,</w:t>
      </w:r>
      <w:proofErr w:type="gramEnd"/>
      <w:r w:rsidRPr="008C728C">
        <w:t xml:space="preserve"> four to specified other users, two to all users. The single page (14) given to pedestrians is entirely concerned with instruction as to how to cross the road and not to ‘stand about in the road…to avoid danger and assist in the easy flow of traffic’. Unlike other government publications, </w:t>
      </w:r>
      <w:r w:rsidRPr="008C728C">
        <w:rPr>
          <w:i/>
        </w:rPr>
        <w:t>The Highway Code</w:t>
      </w:r>
      <w:r w:rsidRPr="008C728C">
        <w:t xml:space="preserve"> was appended by advertising indicative of the close relationship between government and motoring interests, the front and rear inside cover being given over to membership of the AA and RAC, the rear cover the Motor Union Insurance Co and three pages to </w:t>
      </w:r>
      <w:r w:rsidRPr="008C728C">
        <w:rPr>
          <w:i/>
        </w:rPr>
        <w:t xml:space="preserve">The Autocar </w:t>
      </w:r>
      <w:r w:rsidRPr="008C728C">
        <w:t>and</w:t>
      </w:r>
      <w:r w:rsidRPr="008C728C">
        <w:rPr>
          <w:i/>
        </w:rPr>
        <w:t xml:space="preserve"> The Motor Cycle</w:t>
      </w:r>
      <w:r w:rsidRPr="008C728C">
        <w:t xml:space="preserve">, Castrol motor oil, and BP petrol, respectively. </w:t>
      </w:r>
      <w:r w:rsidRPr="008C728C">
        <w:rPr>
          <w:lang w:val="en-GB"/>
        </w:rPr>
        <w:t xml:space="preserve">To an extent this was developed from </w:t>
      </w:r>
      <w:r w:rsidRPr="008C728C">
        <w:rPr>
          <w:i/>
          <w:lang w:val="en-GB"/>
        </w:rPr>
        <w:t xml:space="preserve">Safety First on the Road </w:t>
      </w:r>
      <w:r w:rsidRPr="008C728C">
        <w:rPr>
          <w:lang w:val="en-GB"/>
        </w:rPr>
        <w:t>(National “Safety First” Association, London, 1929) a booklet ‘issued with the approval of the Ministry of Transport to Registration Authorities free of charge for distribution with every driver’s licence.’ It was entirely sponsore</w:t>
      </w:r>
      <w:r>
        <w:rPr>
          <w:lang w:val="en-GB"/>
        </w:rPr>
        <w:t>d by the motoring organisations and</w:t>
      </w:r>
      <w:r w:rsidR="00431356">
        <w:rPr>
          <w:lang w:val="en-GB"/>
        </w:rPr>
        <w:t>,</w:t>
      </w:r>
      <w:r>
        <w:rPr>
          <w:lang w:val="en-GB"/>
        </w:rPr>
        <w:t xml:space="preserve"> not surprisingly</w:t>
      </w:r>
      <w:r w:rsidR="00431356">
        <w:rPr>
          <w:lang w:val="en-GB"/>
        </w:rPr>
        <w:t>,</w:t>
      </w:r>
      <w:r w:rsidRPr="008C728C">
        <w:rPr>
          <w:lang w:val="en-GB"/>
        </w:rPr>
        <w:t xml:space="preserve"> barely mentions any other road users than motorists.</w:t>
      </w:r>
    </w:p>
    <w:p w:rsidR="008C728C" w:rsidRDefault="008C728C">
      <w:pPr>
        <w:pStyle w:val="EndnoteText"/>
      </w:pPr>
    </w:p>
  </w:endnote>
  <w:endnote w:id="22">
    <w:p w:rsidR="00C40A8C" w:rsidRDefault="00C40A8C" w:rsidP="00C40A8C">
      <w:pPr>
        <w:tabs>
          <w:tab w:val="left" w:pos="1276"/>
        </w:tabs>
        <w:spacing w:line="360" w:lineRule="auto"/>
        <w:contextualSpacing/>
      </w:pPr>
      <w:r w:rsidRPr="00FE071E">
        <w:rPr>
          <w:rStyle w:val="EndnoteReference"/>
          <w:rFonts w:ascii="Times New Roman" w:hAnsi="Times New Roman"/>
          <w:sz w:val="24"/>
          <w:szCs w:val="24"/>
        </w:rPr>
        <w:endnoteRef/>
      </w:r>
      <w:r w:rsidRPr="00FE071E">
        <w:rPr>
          <w:rFonts w:ascii="Times New Roman" w:hAnsi="Times New Roman"/>
          <w:sz w:val="24"/>
          <w:szCs w:val="24"/>
        </w:rPr>
        <w:t xml:space="preserve"> </w:t>
      </w:r>
      <w:r w:rsidRPr="00FE071E">
        <w:rPr>
          <w:rFonts w:ascii="Times New Roman" w:hAnsi="Times New Roman"/>
          <w:i/>
          <w:sz w:val="24"/>
          <w:szCs w:val="24"/>
        </w:rPr>
        <w:t>The Road Traffic Act, 1930</w:t>
      </w:r>
      <w:r w:rsidRPr="00FE071E">
        <w:rPr>
          <w:rFonts w:ascii="Times New Roman" w:hAnsi="Times New Roman"/>
          <w:sz w:val="24"/>
          <w:szCs w:val="24"/>
        </w:rPr>
        <w:t xml:space="preserve"> at 20 &amp; 21 GEO. 5. CH. 43. (1st Aug) S48, ‘Erection of notice boards’, S48(2) </w:t>
      </w:r>
      <w:r w:rsidRPr="00FE071E">
        <w:rPr>
          <w:rFonts w:ascii="Times New Roman" w:hAnsi="Times New Roman"/>
          <w:i/>
          <w:sz w:val="24"/>
          <w:szCs w:val="24"/>
        </w:rPr>
        <w:t>The Traffic Signs (Size, Colour and Type) Provisional Regulations 1933</w:t>
      </w:r>
      <w:r w:rsidRPr="00FE071E">
        <w:rPr>
          <w:rFonts w:ascii="Times New Roman" w:hAnsi="Times New Roman"/>
          <w:sz w:val="24"/>
          <w:szCs w:val="24"/>
        </w:rPr>
        <w:t xml:space="preserve">, </w:t>
      </w:r>
      <w:r w:rsidRPr="00FE071E">
        <w:rPr>
          <w:rFonts w:ascii="Times New Roman" w:hAnsi="Times New Roman"/>
          <w:i/>
          <w:sz w:val="24"/>
          <w:szCs w:val="24"/>
        </w:rPr>
        <w:t>dated December 22</w:t>
      </w:r>
      <w:r w:rsidRPr="00FE071E">
        <w:rPr>
          <w:rFonts w:ascii="Times New Roman" w:hAnsi="Times New Roman"/>
          <w:sz w:val="24"/>
          <w:szCs w:val="24"/>
        </w:rPr>
        <w:t xml:space="preserve">.Department of Transport, </w:t>
      </w:r>
      <w:r w:rsidRPr="00FE071E">
        <w:rPr>
          <w:rFonts w:ascii="Times New Roman" w:hAnsi="Times New Roman"/>
          <w:i/>
          <w:sz w:val="24"/>
          <w:szCs w:val="24"/>
        </w:rPr>
        <w:t>The History of Traffic Signs</w:t>
      </w:r>
      <w:r w:rsidRPr="00FE071E">
        <w:rPr>
          <w:rFonts w:ascii="Times New Roman" w:hAnsi="Times New Roman"/>
          <w:sz w:val="24"/>
          <w:szCs w:val="24"/>
        </w:rPr>
        <w:t>, pp</w:t>
      </w:r>
      <w:r>
        <w:rPr>
          <w:rFonts w:ascii="Times New Roman" w:hAnsi="Times New Roman"/>
          <w:sz w:val="24"/>
          <w:szCs w:val="24"/>
        </w:rPr>
        <w:t>.</w:t>
      </w:r>
      <w:r w:rsidRPr="00FE071E">
        <w:rPr>
          <w:rFonts w:ascii="Times New Roman" w:hAnsi="Times New Roman"/>
          <w:sz w:val="24"/>
          <w:szCs w:val="24"/>
        </w:rPr>
        <w:t xml:space="preserve">8-9. For all regulations see Woodward, Gilbert E. </w:t>
      </w:r>
      <w:r w:rsidRPr="00FE071E">
        <w:rPr>
          <w:rFonts w:ascii="Times New Roman" w:hAnsi="Times New Roman"/>
          <w:i/>
          <w:sz w:val="24"/>
          <w:szCs w:val="24"/>
        </w:rPr>
        <w:t>Woodward’s Road Traffic Acts and Orders 1930-1934</w:t>
      </w:r>
      <w:r w:rsidRPr="00FE071E">
        <w:rPr>
          <w:rFonts w:ascii="Times New Roman" w:hAnsi="Times New Roman"/>
          <w:sz w:val="24"/>
          <w:szCs w:val="24"/>
        </w:rPr>
        <w:t>. London: Eyre &amp; Spottiswoode,</w:t>
      </w:r>
      <w:r w:rsidRPr="00FE071E">
        <w:rPr>
          <w:rFonts w:ascii="Times New Roman" w:hAnsi="Times New Roman"/>
          <w:i/>
          <w:sz w:val="24"/>
          <w:szCs w:val="24"/>
        </w:rPr>
        <w:t xml:space="preserve"> </w:t>
      </w:r>
      <w:r>
        <w:rPr>
          <w:rFonts w:ascii="Times New Roman" w:hAnsi="Times New Roman"/>
          <w:sz w:val="24"/>
          <w:szCs w:val="24"/>
        </w:rPr>
        <w:t>1934.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131" w:rsidRDefault="00F42131" w:rsidP="00C40A8C">
      <w:pPr>
        <w:spacing w:after="0" w:line="240" w:lineRule="auto"/>
      </w:pPr>
      <w:r>
        <w:separator/>
      </w:r>
    </w:p>
  </w:footnote>
  <w:footnote w:type="continuationSeparator" w:id="0">
    <w:p w:rsidR="00F42131" w:rsidRDefault="00F42131" w:rsidP="00C40A8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D92" w:rsidRDefault="006E6060" w:rsidP="000630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6D92" w:rsidRDefault="00A75704" w:rsidP="00FE071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D92" w:rsidRDefault="006E6060" w:rsidP="000630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5704">
      <w:rPr>
        <w:rStyle w:val="PageNumber"/>
        <w:noProof/>
      </w:rPr>
      <w:t>2</w:t>
    </w:r>
    <w:r>
      <w:rPr>
        <w:rStyle w:val="PageNumber"/>
      </w:rPr>
      <w:fldChar w:fldCharType="end"/>
    </w:r>
  </w:p>
  <w:p w:rsidR="00E66D92" w:rsidRDefault="00A75704" w:rsidP="00FE071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36"/>
    <w:rsid w:val="00075F81"/>
    <w:rsid w:val="002B0721"/>
    <w:rsid w:val="003B5022"/>
    <w:rsid w:val="003C4E2F"/>
    <w:rsid w:val="003D2A36"/>
    <w:rsid w:val="00431356"/>
    <w:rsid w:val="004E785C"/>
    <w:rsid w:val="00615E2B"/>
    <w:rsid w:val="00686C3D"/>
    <w:rsid w:val="006E6060"/>
    <w:rsid w:val="007A6FFC"/>
    <w:rsid w:val="00867E35"/>
    <w:rsid w:val="00880E41"/>
    <w:rsid w:val="008C728C"/>
    <w:rsid w:val="008E1DC1"/>
    <w:rsid w:val="00914C60"/>
    <w:rsid w:val="00A75704"/>
    <w:rsid w:val="00B07AF5"/>
    <w:rsid w:val="00B14642"/>
    <w:rsid w:val="00C27DD2"/>
    <w:rsid w:val="00C40A8C"/>
    <w:rsid w:val="00F04665"/>
    <w:rsid w:val="00F42131"/>
    <w:rsid w:val="00F9694F"/>
    <w:rsid w:val="00FD2E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A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C40A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0A8C"/>
    <w:rPr>
      <w:rFonts w:ascii="Calibri" w:eastAsia="Calibri" w:hAnsi="Calibri" w:cs="Times New Roman"/>
      <w:sz w:val="20"/>
      <w:szCs w:val="20"/>
    </w:rPr>
  </w:style>
  <w:style w:type="character" w:styleId="EndnoteReference">
    <w:name w:val="endnote reference"/>
    <w:basedOn w:val="DefaultParagraphFont"/>
    <w:uiPriority w:val="99"/>
    <w:semiHidden/>
    <w:rsid w:val="00C40A8C"/>
    <w:rPr>
      <w:rFonts w:cs="Times New Roman"/>
      <w:vertAlign w:val="superscript"/>
    </w:rPr>
  </w:style>
  <w:style w:type="paragraph" w:styleId="FootnoteText">
    <w:name w:val="footnote text"/>
    <w:basedOn w:val="Normal"/>
    <w:link w:val="FootnoteTextChar"/>
    <w:rsid w:val="00C40A8C"/>
    <w:pPr>
      <w:spacing w:after="0" w:line="240" w:lineRule="auto"/>
    </w:pPr>
    <w:rPr>
      <w:rFonts w:ascii="Times New Roman" w:eastAsia="Times New Roman" w:hAnsi="Times New Roman"/>
      <w:sz w:val="24"/>
      <w:szCs w:val="24"/>
      <w:lang w:val="en-US"/>
    </w:rPr>
  </w:style>
  <w:style w:type="character" w:customStyle="1" w:styleId="FootnoteTextChar">
    <w:name w:val="Footnote Text Char"/>
    <w:basedOn w:val="DefaultParagraphFont"/>
    <w:link w:val="FootnoteText"/>
    <w:rsid w:val="00C40A8C"/>
    <w:rPr>
      <w:rFonts w:ascii="Times New Roman" w:eastAsia="Times New Roman" w:hAnsi="Times New Roman" w:cs="Times New Roman"/>
      <w:sz w:val="24"/>
      <w:szCs w:val="24"/>
      <w:lang w:val="en-US"/>
    </w:rPr>
  </w:style>
  <w:style w:type="paragraph" w:styleId="Header">
    <w:name w:val="header"/>
    <w:basedOn w:val="Normal"/>
    <w:link w:val="HeaderChar"/>
    <w:uiPriority w:val="99"/>
    <w:rsid w:val="00C40A8C"/>
    <w:pPr>
      <w:tabs>
        <w:tab w:val="center" w:pos="4320"/>
        <w:tab w:val="right" w:pos="8640"/>
      </w:tabs>
    </w:pPr>
  </w:style>
  <w:style w:type="character" w:customStyle="1" w:styleId="HeaderChar">
    <w:name w:val="Header Char"/>
    <w:basedOn w:val="DefaultParagraphFont"/>
    <w:link w:val="Header"/>
    <w:uiPriority w:val="99"/>
    <w:rsid w:val="00C40A8C"/>
    <w:rPr>
      <w:rFonts w:ascii="Calibri" w:eastAsia="Calibri" w:hAnsi="Calibri" w:cs="Times New Roman"/>
    </w:rPr>
  </w:style>
  <w:style w:type="character" w:styleId="PageNumber">
    <w:name w:val="page number"/>
    <w:basedOn w:val="DefaultParagraphFont"/>
    <w:uiPriority w:val="99"/>
    <w:rsid w:val="00C40A8C"/>
    <w:rPr>
      <w:rFonts w:cs="Times New Roman"/>
    </w:rPr>
  </w:style>
  <w:style w:type="paragraph" w:styleId="Footer">
    <w:name w:val="footer"/>
    <w:basedOn w:val="Normal"/>
    <w:link w:val="FooterChar"/>
    <w:uiPriority w:val="99"/>
    <w:unhideWhenUsed/>
    <w:rsid w:val="0091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C60"/>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A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C40A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0A8C"/>
    <w:rPr>
      <w:rFonts w:ascii="Calibri" w:eastAsia="Calibri" w:hAnsi="Calibri" w:cs="Times New Roman"/>
      <w:sz w:val="20"/>
      <w:szCs w:val="20"/>
    </w:rPr>
  </w:style>
  <w:style w:type="character" w:styleId="EndnoteReference">
    <w:name w:val="endnote reference"/>
    <w:basedOn w:val="DefaultParagraphFont"/>
    <w:uiPriority w:val="99"/>
    <w:semiHidden/>
    <w:rsid w:val="00C40A8C"/>
    <w:rPr>
      <w:rFonts w:cs="Times New Roman"/>
      <w:vertAlign w:val="superscript"/>
    </w:rPr>
  </w:style>
  <w:style w:type="paragraph" w:styleId="FootnoteText">
    <w:name w:val="footnote text"/>
    <w:basedOn w:val="Normal"/>
    <w:link w:val="FootnoteTextChar"/>
    <w:rsid w:val="00C40A8C"/>
    <w:pPr>
      <w:spacing w:after="0" w:line="240" w:lineRule="auto"/>
    </w:pPr>
    <w:rPr>
      <w:rFonts w:ascii="Times New Roman" w:eastAsia="Times New Roman" w:hAnsi="Times New Roman"/>
      <w:sz w:val="24"/>
      <w:szCs w:val="24"/>
      <w:lang w:val="en-US"/>
    </w:rPr>
  </w:style>
  <w:style w:type="character" w:customStyle="1" w:styleId="FootnoteTextChar">
    <w:name w:val="Footnote Text Char"/>
    <w:basedOn w:val="DefaultParagraphFont"/>
    <w:link w:val="FootnoteText"/>
    <w:rsid w:val="00C40A8C"/>
    <w:rPr>
      <w:rFonts w:ascii="Times New Roman" w:eastAsia="Times New Roman" w:hAnsi="Times New Roman" w:cs="Times New Roman"/>
      <w:sz w:val="24"/>
      <w:szCs w:val="24"/>
      <w:lang w:val="en-US"/>
    </w:rPr>
  </w:style>
  <w:style w:type="paragraph" w:styleId="Header">
    <w:name w:val="header"/>
    <w:basedOn w:val="Normal"/>
    <w:link w:val="HeaderChar"/>
    <w:uiPriority w:val="99"/>
    <w:rsid w:val="00C40A8C"/>
    <w:pPr>
      <w:tabs>
        <w:tab w:val="center" w:pos="4320"/>
        <w:tab w:val="right" w:pos="8640"/>
      </w:tabs>
    </w:pPr>
  </w:style>
  <w:style w:type="character" w:customStyle="1" w:styleId="HeaderChar">
    <w:name w:val="Header Char"/>
    <w:basedOn w:val="DefaultParagraphFont"/>
    <w:link w:val="Header"/>
    <w:uiPriority w:val="99"/>
    <w:rsid w:val="00C40A8C"/>
    <w:rPr>
      <w:rFonts w:ascii="Calibri" w:eastAsia="Calibri" w:hAnsi="Calibri" w:cs="Times New Roman"/>
    </w:rPr>
  </w:style>
  <w:style w:type="character" w:styleId="PageNumber">
    <w:name w:val="page number"/>
    <w:basedOn w:val="DefaultParagraphFont"/>
    <w:uiPriority w:val="99"/>
    <w:rsid w:val="00C40A8C"/>
    <w:rPr>
      <w:rFonts w:cs="Times New Roman"/>
    </w:rPr>
  </w:style>
  <w:style w:type="paragraph" w:styleId="Footer">
    <w:name w:val="footer"/>
    <w:basedOn w:val="Normal"/>
    <w:link w:val="FooterChar"/>
    <w:uiPriority w:val="99"/>
    <w:unhideWhenUsed/>
    <w:rsid w:val="0091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C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5F275-32D5-F245-8DCD-62F3F340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2465</Words>
  <Characters>14053</Characters>
  <Application>Microsoft Macintosh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N.Oddy</dc:creator>
  <cp:keywords/>
  <dc:description/>
  <cp:lastModifiedBy>Robin ,Burgesss</cp:lastModifiedBy>
  <cp:revision>2</cp:revision>
  <dcterms:created xsi:type="dcterms:W3CDTF">2015-05-27T15:34:00Z</dcterms:created>
  <dcterms:modified xsi:type="dcterms:W3CDTF">2015-05-27T15:34:00Z</dcterms:modified>
</cp:coreProperties>
</file>