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75839" w14:textId="4A932444" w:rsidR="009F4A9D" w:rsidRDefault="009F4A9D" w:rsidP="009F4A9D">
      <w:pPr>
        <w:pStyle w:val="Title"/>
        <w:jc w:val="center"/>
      </w:pPr>
      <w:r>
        <w:t>Creating Space for Multiple Narratives</w:t>
      </w:r>
    </w:p>
    <w:p w14:paraId="0DBD7D17" w14:textId="09E3139B" w:rsidR="009F4A9D" w:rsidRDefault="009F4A9D" w:rsidP="009F4A9D">
      <w:pPr>
        <w:pStyle w:val="Subtitle"/>
        <w:jc w:val="center"/>
      </w:pPr>
      <w:r>
        <w:t>Policy Briefing</w:t>
      </w:r>
    </w:p>
    <w:sdt>
      <w:sdtPr>
        <w:rPr>
          <w:rFonts w:asciiTheme="minorHAnsi" w:eastAsiaTheme="minorHAnsi" w:hAnsiTheme="minorHAnsi" w:cstheme="minorBidi"/>
          <w:color w:val="auto"/>
          <w:sz w:val="22"/>
          <w:szCs w:val="22"/>
          <w:lang w:val="en-GB"/>
        </w:rPr>
        <w:id w:val="-505287601"/>
        <w:docPartObj>
          <w:docPartGallery w:val="Table of Contents"/>
          <w:docPartUnique/>
        </w:docPartObj>
      </w:sdtPr>
      <w:sdtEndPr>
        <w:rPr>
          <w:b/>
          <w:bCs/>
          <w:noProof/>
        </w:rPr>
      </w:sdtEndPr>
      <w:sdtContent>
        <w:p w14:paraId="76E5FEF3" w14:textId="1FD2B187" w:rsidR="0022588E" w:rsidRDefault="0022588E">
          <w:pPr>
            <w:pStyle w:val="TOCHeading"/>
          </w:pPr>
          <w:r>
            <w:t>Contents</w:t>
          </w:r>
        </w:p>
        <w:p w14:paraId="04ADE7C8" w14:textId="3C886AB6" w:rsidR="0022588E" w:rsidRDefault="0022588E">
          <w:pPr>
            <w:pStyle w:val="TOC1"/>
            <w:tabs>
              <w:tab w:val="right" w:leader="dot" w:pos="9016"/>
            </w:tabs>
            <w:rPr>
              <w:noProof/>
            </w:rPr>
          </w:pPr>
          <w:r>
            <w:fldChar w:fldCharType="begin"/>
          </w:r>
          <w:r>
            <w:instrText xml:space="preserve"> TOC \o "1-3" \h \z \u </w:instrText>
          </w:r>
          <w:r>
            <w:fldChar w:fldCharType="separate"/>
          </w:r>
          <w:hyperlink w:anchor="_Toc224564709" w:history="1">
            <w:r w:rsidRPr="0097621D">
              <w:rPr>
                <w:rStyle w:val="Hyperlink"/>
                <w:noProof/>
              </w:rPr>
              <w:t>Summary</w:t>
            </w:r>
            <w:r>
              <w:rPr>
                <w:noProof/>
                <w:webHidden/>
              </w:rPr>
              <w:tab/>
            </w:r>
            <w:r>
              <w:rPr>
                <w:noProof/>
                <w:webHidden/>
              </w:rPr>
              <w:fldChar w:fldCharType="begin"/>
            </w:r>
            <w:r>
              <w:rPr>
                <w:noProof/>
                <w:webHidden/>
              </w:rPr>
              <w:instrText xml:space="preserve"> PAGEREF _Toc224564709 \h </w:instrText>
            </w:r>
            <w:r>
              <w:rPr>
                <w:noProof/>
                <w:webHidden/>
              </w:rPr>
            </w:r>
            <w:r>
              <w:rPr>
                <w:noProof/>
                <w:webHidden/>
              </w:rPr>
              <w:fldChar w:fldCharType="separate"/>
            </w:r>
            <w:r>
              <w:rPr>
                <w:noProof/>
                <w:webHidden/>
              </w:rPr>
              <w:t>1</w:t>
            </w:r>
            <w:r>
              <w:rPr>
                <w:noProof/>
                <w:webHidden/>
              </w:rPr>
              <w:fldChar w:fldCharType="end"/>
            </w:r>
          </w:hyperlink>
        </w:p>
        <w:p w14:paraId="1EA19C14" w14:textId="31B29C00" w:rsidR="0022588E" w:rsidRDefault="00090156">
          <w:pPr>
            <w:pStyle w:val="TOC1"/>
            <w:tabs>
              <w:tab w:val="right" w:leader="dot" w:pos="9016"/>
            </w:tabs>
            <w:rPr>
              <w:noProof/>
            </w:rPr>
          </w:pPr>
          <w:hyperlink w:anchor="_Toc224564710" w:history="1">
            <w:r w:rsidR="0022588E" w:rsidRPr="0097621D">
              <w:rPr>
                <w:rStyle w:val="Hyperlink"/>
                <w:noProof/>
              </w:rPr>
              <w:t>Core Themes</w:t>
            </w:r>
            <w:r w:rsidR="0022588E">
              <w:rPr>
                <w:noProof/>
                <w:webHidden/>
              </w:rPr>
              <w:tab/>
            </w:r>
            <w:r w:rsidR="0022588E">
              <w:rPr>
                <w:noProof/>
                <w:webHidden/>
              </w:rPr>
              <w:fldChar w:fldCharType="begin"/>
            </w:r>
            <w:r w:rsidR="0022588E">
              <w:rPr>
                <w:noProof/>
                <w:webHidden/>
              </w:rPr>
              <w:instrText xml:space="preserve"> PAGEREF _Toc224564710 \h </w:instrText>
            </w:r>
            <w:r w:rsidR="0022588E">
              <w:rPr>
                <w:noProof/>
                <w:webHidden/>
              </w:rPr>
            </w:r>
            <w:r w:rsidR="0022588E">
              <w:rPr>
                <w:noProof/>
                <w:webHidden/>
              </w:rPr>
              <w:fldChar w:fldCharType="separate"/>
            </w:r>
            <w:r w:rsidR="0022588E">
              <w:rPr>
                <w:noProof/>
                <w:webHidden/>
              </w:rPr>
              <w:t>1</w:t>
            </w:r>
            <w:r w:rsidR="0022588E">
              <w:rPr>
                <w:noProof/>
                <w:webHidden/>
              </w:rPr>
              <w:fldChar w:fldCharType="end"/>
            </w:r>
          </w:hyperlink>
        </w:p>
        <w:p w14:paraId="38ED7C7D" w14:textId="41DAB1C6" w:rsidR="0022588E" w:rsidRDefault="00090156">
          <w:pPr>
            <w:pStyle w:val="TOC1"/>
            <w:tabs>
              <w:tab w:val="right" w:leader="dot" w:pos="9016"/>
            </w:tabs>
            <w:rPr>
              <w:noProof/>
            </w:rPr>
          </w:pPr>
          <w:hyperlink w:anchor="_Toc224564711" w:history="1">
            <w:r w:rsidR="0022588E" w:rsidRPr="0097621D">
              <w:rPr>
                <w:rStyle w:val="Hyperlink"/>
                <w:noProof/>
              </w:rPr>
              <w:t>Further information</w:t>
            </w:r>
            <w:r w:rsidR="0022588E">
              <w:rPr>
                <w:noProof/>
                <w:webHidden/>
              </w:rPr>
              <w:tab/>
            </w:r>
            <w:r w:rsidR="0022588E">
              <w:rPr>
                <w:noProof/>
                <w:webHidden/>
              </w:rPr>
              <w:fldChar w:fldCharType="begin"/>
            </w:r>
            <w:r w:rsidR="0022588E">
              <w:rPr>
                <w:noProof/>
                <w:webHidden/>
              </w:rPr>
              <w:instrText xml:space="preserve"> PAGEREF _Toc224564711 \h </w:instrText>
            </w:r>
            <w:r w:rsidR="0022588E">
              <w:rPr>
                <w:noProof/>
                <w:webHidden/>
              </w:rPr>
            </w:r>
            <w:r w:rsidR="0022588E">
              <w:rPr>
                <w:noProof/>
                <w:webHidden/>
              </w:rPr>
              <w:fldChar w:fldCharType="separate"/>
            </w:r>
            <w:r w:rsidR="0022588E">
              <w:rPr>
                <w:noProof/>
                <w:webHidden/>
              </w:rPr>
              <w:t>2</w:t>
            </w:r>
            <w:r w:rsidR="0022588E">
              <w:rPr>
                <w:noProof/>
                <w:webHidden/>
              </w:rPr>
              <w:fldChar w:fldCharType="end"/>
            </w:r>
          </w:hyperlink>
        </w:p>
        <w:p w14:paraId="09CD9D5B" w14:textId="7B13157B" w:rsidR="0022588E" w:rsidRDefault="00090156">
          <w:pPr>
            <w:pStyle w:val="TOC1"/>
            <w:tabs>
              <w:tab w:val="right" w:leader="dot" w:pos="9016"/>
            </w:tabs>
            <w:rPr>
              <w:noProof/>
            </w:rPr>
          </w:pPr>
          <w:hyperlink w:anchor="_Toc224564712" w:history="1">
            <w:r w:rsidR="0022588E" w:rsidRPr="0097621D">
              <w:rPr>
                <w:rStyle w:val="Hyperlink"/>
                <w:noProof/>
              </w:rPr>
              <w:t>Context</w:t>
            </w:r>
            <w:r w:rsidR="0022588E">
              <w:rPr>
                <w:noProof/>
                <w:webHidden/>
              </w:rPr>
              <w:tab/>
            </w:r>
            <w:r w:rsidR="0022588E">
              <w:rPr>
                <w:noProof/>
                <w:webHidden/>
              </w:rPr>
              <w:fldChar w:fldCharType="begin"/>
            </w:r>
            <w:r w:rsidR="0022588E">
              <w:rPr>
                <w:noProof/>
                <w:webHidden/>
              </w:rPr>
              <w:instrText xml:space="preserve"> PAGEREF _Toc224564712 \h </w:instrText>
            </w:r>
            <w:r w:rsidR="0022588E">
              <w:rPr>
                <w:noProof/>
                <w:webHidden/>
              </w:rPr>
            </w:r>
            <w:r w:rsidR="0022588E">
              <w:rPr>
                <w:noProof/>
                <w:webHidden/>
              </w:rPr>
              <w:fldChar w:fldCharType="separate"/>
            </w:r>
            <w:r w:rsidR="0022588E">
              <w:rPr>
                <w:noProof/>
                <w:webHidden/>
              </w:rPr>
              <w:t>2</w:t>
            </w:r>
            <w:r w:rsidR="0022588E">
              <w:rPr>
                <w:noProof/>
                <w:webHidden/>
              </w:rPr>
              <w:fldChar w:fldCharType="end"/>
            </w:r>
          </w:hyperlink>
        </w:p>
        <w:p w14:paraId="301A6CA6" w14:textId="3A0154F2" w:rsidR="0022588E" w:rsidRDefault="00090156">
          <w:pPr>
            <w:pStyle w:val="TOC1"/>
            <w:tabs>
              <w:tab w:val="right" w:leader="dot" w:pos="9016"/>
            </w:tabs>
            <w:rPr>
              <w:noProof/>
            </w:rPr>
          </w:pPr>
          <w:hyperlink w:anchor="_Toc224564713" w:history="1">
            <w:r w:rsidR="0022588E" w:rsidRPr="0097621D">
              <w:rPr>
                <w:rStyle w:val="Hyperlink"/>
                <w:noProof/>
              </w:rPr>
              <w:t>Healing, Safety, and Wellbeing</w:t>
            </w:r>
            <w:r w:rsidR="0022588E">
              <w:rPr>
                <w:noProof/>
                <w:webHidden/>
              </w:rPr>
              <w:tab/>
            </w:r>
            <w:r w:rsidR="0022588E">
              <w:rPr>
                <w:noProof/>
                <w:webHidden/>
              </w:rPr>
              <w:fldChar w:fldCharType="begin"/>
            </w:r>
            <w:r w:rsidR="0022588E">
              <w:rPr>
                <w:noProof/>
                <w:webHidden/>
              </w:rPr>
              <w:instrText xml:space="preserve"> PAGEREF _Toc224564713 \h </w:instrText>
            </w:r>
            <w:r w:rsidR="0022588E">
              <w:rPr>
                <w:noProof/>
                <w:webHidden/>
              </w:rPr>
            </w:r>
            <w:r w:rsidR="0022588E">
              <w:rPr>
                <w:noProof/>
                <w:webHidden/>
              </w:rPr>
              <w:fldChar w:fldCharType="separate"/>
            </w:r>
            <w:r w:rsidR="0022588E">
              <w:rPr>
                <w:noProof/>
                <w:webHidden/>
              </w:rPr>
              <w:t>2</w:t>
            </w:r>
            <w:r w:rsidR="0022588E">
              <w:rPr>
                <w:noProof/>
                <w:webHidden/>
              </w:rPr>
              <w:fldChar w:fldCharType="end"/>
            </w:r>
          </w:hyperlink>
        </w:p>
        <w:p w14:paraId="00C6E5D0" w14:textId="28D41BFC" w:rsidR="0022588E" w:rsidRDefault="00090156">
          <w:pPr>
            <w:pStyle w:val="TOC1"/>
            <w:tabs>
              <w:tab w:val="right" w:leader="dot" w:pos="9016"/>
            </w:tabs>
            <w:rPr>
              <w:noProof/>
            </w:rPr>
          </w:pPr>
          <w:hyperlink w:anchor="_Toc224564714" w:history="1">
            <w:r w:rsidR="0022588E" w:rsidRPr="0097621D">
              <w:rPr>
                <w:rStyle w:val="Hyperlink"/>
                <w:noProof/>
              </w:rPr>
              <w:t>Belonging and Everyday Infrastructures</w:t>
            </w:r>
            <w:r w:rsidR="0022588E">
              <w:rPr>
                <w:noProof/>
                <w:webHidden/>
              </w:rPr>
              <w:tab/>
            </w:r>
            <w:r w:rsidR="0022588E">
              <w:rPr>
                <w:noProof/>
                <w:webHidden/>
              </w:rPr>
              <w:fldChar w:fldCharType="begin"/>
            </w:r>
            <w:r w:rsidR="0022588E">
              <w:rPr>
                <w:noProof/>
                <w:webHidden/>
              </w:rPr>
              <w:instrText xml:space="preserve"> PAGEREF _Toc224564714 \h </w:instrText>
            </w:r>
            <w:r w:rsidR="0022588E">
              <w:rPr>
                <w:noProof/>
                <w:webHidden/>
              </w:rPr>
            </w:r>
            <w:r w:rsidR="0022588E">
              <w:rPr>
                <w:noProof/>
                <w:webHidden/>
              </w:rPr>
              <w:fldChar w:fldCharType="separate"/>
            </w:r>
            <w:r w:rsidR="0022588E">
              <w:rPr>
                <w:noProof/>
                <w:webHidden/>
              </w:rPr>
              <w:t>3</w:t>
            </w:r>
            <w:r w:rsidR="0022588E">
              <w:rPr>
                <w:noProof/>
                <w:webHidden/>
              </w:rPr>
              <w:fldChar w:fldCharType="end"/>
            </w:r>
          </w:hyperlink>
        </w:p>
        <w:p w14:paraId="696B174E" w14:textId="55C9319C" w:rsidR="0022588E" w:rsidRDefault="00090156">
          <w:pPr>
            <w:pStyle w:val="TOC1"/>
            <w:tabs>
              <w:tab w:val="right" w:leader="dot" w:pos="9016"/>
            </w:tabs>
            <w:rPr>
              <w:noProof/>
            </w:rPr>
          </w:pPr>
          <w:hyperlink w:anchor="_Toc224564715" w:history="1">
            <w:r w:rsidR="0022588E" w:rsidRPr="0097621D">
              <w:rPr>
                <w:rStyle w:val="Hyperlink"/>
                <w:noProof/>
              </w:rPr>
              <w:t>Growing Racial Literacy and Shifting Understanding</w:t>
            </w:r>
            <w:r w:rsidR="0022588E">
              <w:rPr>
                <w:noProof/>
                <w:webHidden/>
              </w:rPr>
              <w:tab/>
            </w:r>
            <w:r w:rsidR="0022588E">
              <w:rPr>
                <w:noProof/>
                <w:webHidden/>
              </w:rPr>
              <w:fldChar w:fldCharType="begin"/>
            </w:r>
            <w:r w:rsidR="0022588E">
              <w:rPr>
                <w:noProof/>
                <w:webHidden/>
              </w:rPr>
              <w:instrText xml:space="preserve"> PAGEREF _Toc224564715 \h </w:instrText>
            </w:r>
            <w:r w:rsidR="0022588E">
              <w:rPr>
                <w:noProof/>
                <w:webHidden/>
              </w:rPr>
            </w:r>
            <w:r w:rsidR="0022588E">
              <w:rPr>
                <w:noProof/>
                <w:webHidden/>
              </w:rPr>
              <w:fldChar w:fldCharType="separate"/>
            </w:r>
            <w:r w:rsidR="0022588E">
              <w:rPr>
                <w:noProof/>
                <w:webHidden/>
              </w:rPr>
              <w:t>3</w:t>
            </w:r>
            <w:r w:rsidR="0022588E">
              <w:rPr>
                <w:noProof/>
                <w:webHidden/>
              </w:rPr>
              <w:fldChar w:fldCharType="end"/>
            </w:r>
          </w:hyperlink>
        </w:p>
        <w:p w14:paraId="4C69F4C3" w14:textId="1BAE9F8B" w:rsidR="0022588E" w:rsidRDefault="00090156">
          <w:pPr>
            <w:pStyle w:val="TOC1"/>
            <w:tabs>
              <w:tab w:val="right" w:leader="dot" w:pos="9016"/>
            </w:tabs>
            <w:rPr>
              <w:noProof/>
            </w:rPr>
          </w:pPr>
          <w:hyperlink w:anchor="_Toc224564716" w:history="1">
            <w:r w:rsidR="0022588E" w:rsidRPr="0097621D">
              <w:rPr>
                <w:rStyle w:val="Hyperlink"/>
                <w:noProof/>
              </w:rPr>
              <w:t>Policy Implications</w:t>
            </w:r>
            <w:r w:rsidR="0022588E">
              <w:rPr>
                <w:noProof/>
                <w:webHidden/>
              </w:rPr>
              <w:tab/>
            </w:r>
            <w:r w:rsidR="0022588E">
              <w:rPr>
                <w:noProof/>
                <w:webHidden/>
              </w:rPr>
              <w:fldChar w:fldCharType="begin"/>
            </w:r>
            <w:r w:rsidR="0022588E">
              <w:rPr>
                <w:noProof/>
                <w:webHidden/>
              </w:rPr>
              <w:instrText xml:space="preserve"> PAGEREF _Toc224564716 \h </w:instrText>
            </w:r>
            <w:r w:rsidR="0022588E">
              <w:rPr>
                <w:noProof/>
                <w:webHidden/>
              </w:rPr>
            </w:r>
            <w:r w:rsidR="0022588E">
              <w:rPr>
                <w:noProof/>
                <w:webHidden/>
              </w:rPr>
              <w:fldChar w:fldCharType="separate"/>
            </w:r>
            <w:r w:rsidR="0022588E">
              <w:rPr>
                <w:noProof/>
                <w:webHidden/>
              </w:rPr>
              <w:t>4</w:t>
            </w:r>
            <w:r w:rsidR="0022588E">
              <w:rPr>
                <w:noProof/>
                <w:webHidden/>
              </w:rPr>
              <w:fldChar w:fldCharType="end"/>
            </w:r>
          </w:hyperlink>
        </w:p>
        <w:p w14:paraId="17DFB196" w14:textId="57E26237" w:rsidR="0022588E" w:rsidRDefault="00090156">
          <w:pPr>
            <w:pStyle w:val="TOC2"/>
            <w:tabs>
              <w:tab w:val="right" w:leader="dot" w:pos="9016"/>
            </w:tabs>
            <w:rPr>
              <w:noProof/>
            </w:rPr>
          </w:pPr>
          <w:hyperlink w:anchor="_Toc224564717" w:history="1">
            <w:r w:rsidR="0022588E" w:rsidRPr="0097621D">
              <w:rPr>
                <w:rStyle w:val="Hyperlink"/>
                <w:noProof/>
              </w:rPr>
              <w:t>Participant Wellbeing</w:t>
            </w:r>
            <w:r w:rsidR="0022588E">
              <w:rPr>
                <w:noProof/>
                <w:webHidden/>
              </w:rPr>
              <w:tab/>
            </w:r>
            <w:r w:rsidR="0022588E">
              <w:rPr>
                <w:noProof/>
                <w:webHidden/>
              </w:rPr>
              <w:fldChar w:fldCharType="begin"/>
            </w:r>
            <w:r w:rsidR="0022588E">
              <w:rPr>
                <w:noProof/>
                <w:webHidden/>
              </w:rPr>
              <w:instrText xml:space="preserve"> PAGEREF _Toc224564717 \h </w:instrText>
            </w:r>
            <w:r w:rsidR="0022588E">
              <w:rPr>
                <w:noProof/>
                <w:webHidden/>
              </w:rPr>
            </w:r>
            <w:r w:rsidR="0022588E">
              <w:rPr>
                <w:noProof/>
                <w:webHidden/>
              </w:rPr>
              <w:fldChar w:fldCharType="separate"/>
            </w:r>
            <w:r w:rsidR="0022588E">
              <w:rPr>
                <w:noProof/>
                <w:webHidden/>
              </w:rPr>
              <w:t>4</w:t>
            </w:r>
            <w:r w:rsidR="0022588E">
              <w:rPr>
                <w:noProof/>
                <w:webHidden/>
              </w:rPr>
              <w:fldChar w:fldCharType="end"/>
            </w:r>
          </w:hyperlink>
        </w:p>
        <w:p w14:paraId="7BAC8BAC" w14:textId="0B1F051D" w:rsidR="0022588E" w:rsidRDefault="00090156">
          <w:pPr>
            <w:pStyle w:val="TOC2"/>
            <w:tabs>
              <w:tab w:val="right" w:leader="dot" w:pos="9016"/>
            </w:tabs>
            <w:rPr>
              <w:noProof/>
            </w:rPr>
          </w:pPr>
          <w:hyperlink w:anchor="_Toc224564718" w:history="1">
            <w:r w:rsidR="0022588E" w:rsidRPr="0097621D">
              <w:rPr>
                <w:rStyle w:val="Hyperlink"/>
                <w:noProof/>
              </w:rPr>
              <w:t>Question History</w:t>
            </w:r>
            <w:r w:rsidR="0022588E">
              <w:rPr>
                <w:noProof/>
                <w:webHidden/>
              </w:rPr>
              <w:tab/>
            </w:r>
            <w:r w:rsidR="0022588E">
              <w:rPr>
                <w:noProof/>
                <w:webHidden/>
              </w:rPr>
              <w:fldChar w:fldCharType="begin"/>
            </w:r>
            <w:r w:rsidR="0022588E">
              <w:rPr>
                <w:noProof/>
                <w:webHidden/>
              </w:rPr>
              <w:instrText xml:space="preserve"> PAGEREF _Toc224564718 \h </w:instrText>
            </w:r>
            <w:r w:rsidR="0022588E">
              <w:rPr>
                <w:noProof/>
                <w:webHidden/>
              </w:rPr>
            </w:r>
            <w:r w:rsidR="0022588E">
              <w:rPr>
                <w:noProof/>
                <w:webHidden/>
              </w:rPr>
              <w:fldChar w:fldCharType="separate"/>
            </w:r>
            <w:r w:rsidR="0022588E">
              <w:rPr>
                <w:noProof/>
                <w:webHidden/>
              </w:rPr>
              <w:t>4</w:t>
            </w:r>
            <w:r w:rsidR="0022588E">
              <w:rPr>
                <w:noProof/>
                <w:webHidden/>
              </w:rPr>
              <w:fldChar w:fldCharType="end"/>
            </w:r>
          </w:hyperlink>
        </w:p>
        <w:p w14:paraId="257750EE" w14:textId="3605511E" w:rsidR="0022588E" w:rsidRDefault="00090156">
          <w:pPr>
            <w:pStyle w:val="TOC2"/>
            <w:tabs>
              <w:tab w:val="right" w:leader="dot" w:pos="9016"/>
            </w:tabs>
            <w:rPr>
              <w:noProof/>
            </w:rPr>
          </w:pPr>
          <w:hyperlink w:anchor="_Toc224564719" w:history="1">
            <w:r w:rsidR="0022588E" w:rsidRPr="0097621D">
              <w:rPr>
                <w:rStyle w:val="Hyperlink"/>
                <w:noProof/>
              </w:rPr>
              <w:t>Belonging and infrastructures</w:t>
            </w:r>
            <w:r w:rsidR="0022588E">
              <w:rPr>
                <w:noProof/>
                <w:webHidden/>
              </w:rPr>
              <w:tab/>
            </w:r>
            <w:r w:rsidR="0022588E">
              <w:rPr>
                <w:noProof/>
                <w:webHidden/>
              </w:rPr>
              <w:fldChar w:fldCharType="begin"/>
            </w:r>
            <w:r w:rsidR="0022588E">
              <w:rPr>
                <w:noProof/>
                <w:webHidden/>
              </w:rPr>
              <w:instrText xml:space="preserve"> PAGEREF _Toc224564719 \h </w:instrText>
            </w:r>
            <w:r w:rsidR="0022588E">
              <w:rPr>
                <w:noProof/>
                <w:webHidden/>
              </w:rPr>
            </w:r>
            <w:r w:rsidR="0022588E">
              <w:rPr>
                <w:noProof/>
                <w:webHidden/>
              </w:rPr>
              <w:fldChar w:fldCharType="separate"/>
            </w:r>
            <w:r w:rsidR="0022588E">
              <w:rPr>
                <w:noProof/>
                <w:webHidden/>
              </w:rPr>
              <w:t>4</w:t>
            </w:r>
            <w:r w:rsidR="0022588E">
              <w:rPr>
                <w:noProof/>
                <w:webHidden/>
              </w:rPr>
              <w:fldChar w:fldCharType="end"/>
            </w:r>
          </w:hyperlink>
        </w:p>
        <w:p w14:paraId="6D686F48" w14:textId="6509DCF1" w:rsidR="0022588E" w:rsidRDefault="00090156">
          <w:pPr>
            <w:pStyle w:val="TOC2"/>
            <w:tabs>
              <w:tab w:val="right" w:leader="dot" w:pos="9016"/>
            </w:tabs>
            <w:rPr>
              <w:noProof/>
            </w:rPr>
          </w:pPr>
          <w:hyperlink w:anchor="_Toc224564720" w:history="1">
            <w:r w:rsidR="0022588E" w:rsidRPr="0097621D">
              <w:rPr>
                <w:rStyle w:val="Hyperlink"/>
                <w:noProof/>
              </w:rPr>
              <w:t>Multiple Perspectives</w:t>
            </w:r>
            <w:r w:rsidR="0022588E">
              <w:rPr>
                <w:noProof/>
                <w:webHidden/>
              </w:rPr>
              <w:tab/>
            </w:r>
            <w:r w:rsidR="0022588E">
              <w:rPr>
                <w:noProof/>
                <w:webHidden/>
              </w:rPr>
              <w:fldChar w:fldCharType="begin"/>
            </w:r>
            <w:r w:rsidR="0022588E">
              <w:rPr>
                <w:noProof/>
                <w:webHidden/>
              </w:rPr>
              <w:instrText xml:space="preserve"> PAGEREF _Toc224564720 \h </w:instrText>
            </w:r>
            <w:r w:rsidR="0022588E">
              <w:rPr>
                <w:noProof/>
                <w:webHidden/>
              </w:rPr>
            </w:r>
            <w:r w:rsidR="0022588E">
              <w:rPr>
                <w:noProof/>
                <w:webHidden/>
              </w:rPr>
              <w:fldChar w:fldCharType="separate"/>
            </w:r>
            <w:r w:rsidR="0022588E">
              <w:rPr>
                <w:noProof/>
                <w:webHidden/>
              </w:rPr>
              <w:t>4</w:t>
            </w:r>
            <w:r w:rsidR="0022588E">
              <w:rPr>
                <w:noProof/>
                <w:webHidden/>
              </w:rPr>
              <w:fldChar w:fldCharType="end"/>
            </w:r>
          </w:hyperlink>
        </w:p>
        <w:p w14:paraId="5A821F88" w14:textId="22A638CD" w:rsidR="0022588E" w:rsidRDefault="00090156">
          <w:pPr>
            <w:pStyle w:val="TOC2"/>
            <w:tabs>
              <w:tab w:val="right" w:leader="dot" w:pos="9016"/>
            </w:tabs>
            <w:rPr>
              <w:noProof/>
            </w:rPr>
          </w:pPr>
          <w:hyperlink w:anchor="_Toc224564721" w:history="1">
            <w:r w:rsidR="0022588E" w:rsidRPr="0097621D">
              <w:rPr>
                <w:rStyle w:val="Hyperlink"/>
                <w:noProof/>
              </w:rPr>
              <w:t>Accessible Communication</w:t>
            </w:r>
            <w:r w:rsidR="0022588E">
              <w:rPr>
                <w:noProof/>
                <w:webHidden/>
              </w:rPr>
              <w:tab/>
            </w:r>
            <w:r w:rsidR="0022588E">
              <w:rPr>
                <w:noProof/>
                <w:webHidden/>
              </w:rPr>
              <w:fldChar w:fldCharType="begin"/>
            </w:r>
            <w:r w:rsidR="0022588E">
              <w:rPr>
                <w:noProof/>
                <w:webHidden/>
              </w:rPr>
              <w:instrText xml:space="preserve"> PAGEREF _Toc224564721 \h </w:instrText>
            </w:r>
            <w:r w:rsidR="0022588E">
              <w:rPr>
                <w:noProof/>
                <w:webHidden/>
              </w:rPr>
            </w:r>
            <w:r w:rsidR="0022588E">
              <w:rPr>
                <w:noProof/>
                <w:webHidden/>
              </w:rPr>
              <w:fldChar w:fldCharType="separate"/>
            </w:r>
            <w:r w:rsidR="0022588E">
              <w:rPr>
                <w:noProof/>
                <w:webHidden/>
              </w:rPr>
              <w:t>4</w:t>
            </w:r>
            <w:r w:rsidR="0022588E">
              <w:rPr>
                <w:noProof/>
                <w:webHidden/>
              </w:rPr>
              <w:fldChar w:fldCharType="end"/>
            </w:r>
          </w:hyperlink>
        </w:p>
        <w:p w14:paraId="7072AF21" w14:textId="5DDDC4C5" w:rsidR="0022588E" w:rsidRDefault="0022588E">
          <w:r>
            <w:rPr>
              <w:b/>
              <w:bCs/>
              <w:noProof/>
            </w:rPr>
            <w:fldChar w:fldCharType="end"/>
          </w:r>
        </w:p>
      </w:sdtContent>
    </w:sdt>
    <w:p w14:paraId="72B88D91" w14:textId="3676AB34" w:rsidR="00381C47" w:rsidRDefault="00381C47" w:rsidP="009C13F4">
      <w:pPr>
        <w:pStyle w:val="Heading1"/>
      </w:pPr>
      <w:bookmarkStart w:id="0" w:name="_Toc224564709"/>
      <w:r>
        <w:t>Key policy findings</w:t>
      </w:r>
    </w:p>
    <w:p w14:paraId="324CCC9F" w14:textId="77777777" w:rsidR="00381C47" w:rsidRPr="00381C47" w:rsidRDefault="00381C47" w:rsidP="00381C47">
      <w:pPr>
        <w:pStyle w:val="BasicParagraph"/>
        <w:numPr>
          <w:ilvl w:val="0"/>
          <w:numId w:val="5"/>
        </w:numPr>
        <w:suppressAutoHyphens/>
        <w:rPr>
          <w:rFonts w:asciiTheme="minorHAnsi" w:hAnsiTheme="minorHAnsi" w:cstheme="minorBidi"/>
          <w:color w:val="auto"/>
          <w:sz w:val="22"/>
          <w:szCs w:val="22"/>
          <w:lang w:val="en-GB"/>
        </w:rPr>
      </w:pPr>
      <w:r w:rsidRPr="00381C47">
        <w:rPr>
          <w:rFonts w:asciiTheme="minorHAnsi" w:hAnsiTheme="minorHAnsi" w:cstheme="minorBidi"/>
          <w:color w:val="auto"/>
          <w:sz w:val="22"/>
          <w:szCs w:val="22"/>
          <w:lang w:val="en-GB"/>
        </w:rPr>
        <w:t>Use trauma-informed, racially literate approaches to exploring colonial history, centring multiple voices over singular narratives.</w:t>
      </w:r>
    </w:p>
    <w:p w14:paraId="4752C302" w14:textId="77777777" w:rsidR="00381C47" w:rsidRPr="00381C47" w:rsidRDefault="00381C47" w:rsidP="00381C47">
      <w:pPr>
        <w:pStyle w:val="BasicParagraph"/>
        <w:numPr>
          <w:ilvl w:val="0"/>
          <w:numId w:val="5"/>
        </w:numPr>
        <w:suppressAutoHyphens/>
        <w:rPr>
          <w:rFonts w:asciiTheme="minorHAnsi" w:hAnsiTheme="minorHAnsi" w:cstheme="minorBidi"/>
          <w:color w:val="auto"/>
          <w:sz w:val="22"/>
          <w:szCs w:val="22"/>
          <w:lang w:val="en-GB"/>
        </w:rPr>
      </w:pPr>
      <w:r w:rsidRPr="00381C47">
        <w:rPr>
          <w:rFonts w:asciiTheme="minorHAnsi" w:hAnsiTheme="minorHAnsi" w:cstheme="minorBidi"/>
          <w:color w:val="auto"/>
          <w:sz w:val="22"/>
          <w:szCs w:val="22"/>
          <w:lang w:val="en-GB"/>
        </w:rPr>
        <w:br/>
        <w:t>Resource public parks, libraries, and museums as essential belonging spaces for all.</w:t>
      </w:r>
    </w:p>
    <w:p w14:paraId="77A220A3" w14:textId="4D0FF5FF" w:rsidR="00381C47" w:rsidRPr="00381C47" w:rsidRDefault="00381C47" w:rsidP="00381C47">
      <w:pPr>
        <w:pStyle w:val="ListParagraph"/>
        <w:numPr>
          <w:ilvl w:val="0"/>
          <w:numId w:val="5"/>
        </w:numPr>
      </w:pPr>
      <w:r w:rsidRPr="00381C47">
        <w:br/>
        <w:t>Use inclusive, varied methods (e.g., tactile, visual) to make heritage engagement accessible to diverse communities.</w:t>
      </w:r>
    </w:p>
    <w:p w14:paraId="749F4964" w14:textId="1DB98F3B" w:rsidR="009C13F4" w:rsidRDefault="009C13F4" w:rsidP="009C13F4">
      <w:pPr>
        <w:pStyle w:val="Heading1"/>
      </w:pPr>
      <w:r>
        <w:t>Summary</w:t>
      </w:r>
      <w:bookmarkEnd w:id="0"/>
    </w:p>
    <w:p w14:paraId="364EA587" w14:textId="28C77FF2" w:rsidR="009F4A9D" w:rsidRDefault="009F4A9D" w:rsidP="009F4A9D">
      <w:r>
        <w:t>The 1938 Empire Exhibition was one of Scotland’s largest public events, yet its history is now largely absent from Glasgow’s collective memory. For today’s diverse communities, particularly people seeking</w:t>
      </w:r>
      <w:r w:rsidR="000A2D39">
        <w:t xml:space="preserve"> </w:t>
      </w:r>
      <w:r>
        <w:t>asylum, migrants, people of colour, and young people, the legacies of empire continue to shape experiences of identity, representation, safety, and belonging. Understanding how people make sense of these narratives</w:t>
      </w:r>
      <w:r w:rsidR="000A2D39">
        <w:t xml:space="preserve"> </w:t>
      </w:r>
      <w:r>
        <w:t>has clear implications for heritage, culture, equalities, integration, and anti-racism policy.</w:t>
      </w:r>
    </w:p>
    <w:p w14:paraId="0FF07E95" w14:textId="77777777" w:rsidR="00381C47" w:rsidRDefault="00381C47" w:rsidP="00381C47">
      <w:r>
        <w:t>This document summarises a new understanding of how Scottish people interpret colonial history (specifically in Glasgow) and what this means for heritage, culture, equalities, and anti-racism policy. It will:</w:t>
      </w:r>
    </w:p>
    <w:p w14:paraId="1834E1B0" w14:textId="77777777" w:rsidR="00381C47" w:rsidRDefault="00381C47" w:rsidP="00381C47">
      <w:r>
        <w:t>•</w:t>
      </w:r>
      <w:r>
        <w:tab/>
        <w:t>Present clear accessible insights from research workshops in 2025</w:t>
      </w:r>
    </w:p>
    <w:p w14:paraId="3FC2E252" w14:textId="77777777" w:rsidR="00381C47" w:rsidRDefault="00381C47" w:rsidP="00381C47">
      <w:r>
        <w:lastRenderedPageBreak/>
        <w:t>•</w:t>
      </w:r>
      <w:r>
        <w:tab/>
        <w:t>Highlight participants’ voices, lived experiences, and emotional responses</w:t>
      </w:r>
    </w:p>
    <w:p w14:paraId="32714546" w14:textId="77777777" w:rsidR="00381C47" w:rsidRDefault="00381C47" w:rsidP="00381C47">
      <w:r>
        <w:t>•</w:t>
      </w:r>
      <w:r>
        <w:tab/>
        <w:t>Communicate 3 core themes relevant to heritage, anti-racism and equalities policy</w:t>
      </w:r>
    </w:p>
    <w:p w14:paraId="1E534E15" w14:textId="1489DA2C" w:rsidR="000A2D39" w:rsidRDefault="000A2D39" w:rsidP="00F71CA8">
      <w:pPr>
        <w:pStyle w:val="Heading1"/>
      </w:pPr>
      <w:bookmarkStart w:id="1" w:name="_Toc224564710"/>
      <w:r>
        <w:t>Core Themes</w:t>
      </w:r>
      <w:bookmarkEnd w:id="1"/>
    </w:p>
    <w:p w14:paraId="5A9C0799" w14:textId="0CEE26EF" w:rsidR="000A2D39" w:rsidRDefault="000A2D39" w:rsidP="00F71CA8">
      <w:pPr>
        <w:pStyle w:val="ListParagraph"/>
        <w:numPr>
          <w:ilvl w:val="0"/>
          <w:numId w:val="1"/>
        </w:numPr>
      </w:pPr>
      <w:r>
        <w:t>Growing Racial Literacy and Shifting Understanding</w:t>
      </w:r>
    </w:p>
    <w:p w14:paraId="02B90161" w14:textId="15BBB71E" w:rsidR="000A2D39" w:rsidRDefault="000A2D39" w:rsidP="00F71CA8">
      <w:pPr>
        <w:pStyle w:val="ListParagraph"/>
        <w:numPr>
          <w:ilvl w:val="0"/>
          <w:numId w:val="1"/>
        </w:numPr>
      </w:pPr>
      <w:r>
        <w:t xml:space="preserve">Healing, Safety, and </w:t>
      </w:r>
      <w:r w:rsidR="00F71CA8">
        <w:t>Wellbeing</w:t>
      </w:r>
    </w:p>
    <w:p w14:paraId="2DB148A2" w14:textId="70550A08" w:rsidR="00F71CA8" w:rsidRDefault="00F71CA8" w:rsidP="00F71CA8">
      <w:pPr>
        <w:pStyle w:val="ListParagraph"/>
        <w:numPr>
          <w:ilvl w:val="0"/>
          <w:numId w:val="1"/>
        </w:numPr>
      </w:pPr>
      <w:r>
        <w:t>Belonging and Everyday Infrastructures</w:t>
      </w:r>
    </w:p>
    <w:p w14:paraId="1FD1CC46" w14:textId="13C7A586" w:rsidR="00A0163C" w:rsidRDefault="009F4A9D" w:rsidP="00A0163C">
      <w:r>
        <w:t>Conversations addressing colonial history can support racial literacy, wellbeing, and belonging in Glasgow today</w:t>
      </w:r>
      <w:r w:rsidR="00A0163C">
        <w:t>; when handled carefully and in partnership with those most affected.</w:t>
      </w:r>
    </w:p>
    <w:p w14:paraId="2A60E7D8" w14:textId="55061BA1" w:rsidR="00A0163C" w:rsidRDefault="00A0163C" w:rsidP="00A0163C">
      <w:pPr>
        <w:pStyle w:val="Heading1"/>
      </w:pPr>
      <w:bookmarkStart w:id="2" w:name="_Toc224564711"/>
      <w:r>
        <w:t>Further information</w:t>
      </w:r>
      <w:bookmarkEnd w:id="2"/>
    </w:p>
    <w:p w14:paraId="7E5F529B" w14:textId="7EBDF5E2" w:rsidR="009F4A9D" w:rsidRDefault="009F4A9D" w:rsidP="009F4A9D">
      <w:r>
        <w:t xml:space="preserve">This policy briefing draws on insights from “Decolonising the British Empire Exhibition of 1938 through Augmented Reality Narratives”, a research project at The Glasgow School of Art, funded by the Arts and Humanities Research Council. Contact Dr Daisy Abbott at d.abbott@gsa.ac.uk or visit </w:t>
      </w:r>
      <w:hyperlink r:id="rId6" w:history="1">
        <w:r w:rsidR="009C13F4" w:rsidRPr="00D11E1E">
          <w:rPr>
            <w:rStyle w:val="Hyperlink"/>
          </w:rPr>
          <w:t>https://sit.gsa.ac.uk/project/decolonising-augmented-reality</w:t>
        </w:r>
      </w:hyperlink>
      <w:r w:rsidR="009C13F4">
        <w:t xml:space="preserve"> </w:t>
      </w:r>
      <w:r>
        <w:t>for more information.</w:t>
      </w:r>
    </w:p>
    <w:p w14:paraId="29F1033D" w14:textId="31D8E65C" w:rsidR="009F4A9D" w:rsidRDefault="005E2808" w:rsidP="005E2808">
      <w:pPr>
        <w:pStyle w:val="Heading1"/>
      </w:pPr>
      <w:bookmarkStart w:id="3" w:name="_Toc224564712"/>
      <w:r>
        <w:t>Context</w:t>
      </w:r>
      <w:bookmarkEnd w:id="3"/>
    </w:p>
    <w:p w14:paraId="4ECAA767" w14:textId="77777777" w:rsidR="005E2808" w:rsidRDefault="009F4A9D" w:rsidP="009F4A9D">
      <w:r>
        <w:t>A workshop used the 1938 Empire Exhibition as a case study to investigate how Glaswegians from racially minoritised communities think about heritage and their place within it. Many described the process as healing, illuminating, and confidence-building, with shifts in how they viewed colonialism, Scottishness, and the narratives that shape public memory.</w:t>
      </w:r>
    </w:p>
    <w:p w14:paraId="36B5C9D1" w14:textId="77777777" w:rsidR="005E2808" w:rsidRDefault="009F4A9D" w:rsidP="009F4A9D">
      <w:r>
        <w:t>Participants highlighted the importance of everyday infrastructures – parks, libraries, free museums, community groups, and walking</w:t>
      </w:r>
      <w:r w:rsidR="005E2808">
        <w:t xml:space="preserve"> </w:t>
      </w:r>
      <w:r>
        <w:t>routes – in supporting wellbeing, orientation, and community connection in Glasgow.</w:t>
      </w:r>
      <w:r w:rsidR="005E2808">
        <w:t xml:space="preserve"> </w:t>
      </w:r>
      <w:r>
        <w:t>For those living with restricted mobility, financial precarity, or digital exclusion, these infrastructures play a crucial role in enabling participation in cultural life and supporting a sense of belonging.</w:t>
      </w:r>
    </w:p>
    <w:p w14:paraId="434E939C" w14:textId="2F42F4CB" w:rsidR="009F4A9D" w:rsidRDefault="009F4A9D" w:rsidP="009F4A9D">
      <w:r>
        <w:t>This deepens our understanding of how people interpret the Exhibition’s legacies today and what this means for contemporary policy and practice for organisations working across heritage, culture, education, equalities, and anti-racism agendas.</w:t>
      </w:r>
    </w:p>
    <w:p w14:paraId="231B73FF" w14:textId="77777777" w:rsidR="005E2808" w:rsidRDefault="005E2808" w:rsidP="005E2808">
      <w:pPr>
        <w:pStyle w:val="Heading1"/>
      </w:pPr>
      <w:bookmarkStart w:id="4" w:name="_Toc224564713"/>
      <w:r>
        <w:t>Healing, Safety, and Wellbeing</w:t>
      </w:r>
      <w:bookmarkEnd w:id="4"/>
    </w:p>
    <w:p w14:paraId="27AB7228" w14:textId="72C48B51" w:rsidR="009F4A9D" w:rsidRDefault="009F4A9D" w:rsidP="00090156">
      <w:pPr>
        <w:autoSpaceDE w:val="0"/>
        <w:autoSpaceDN w:val="0"/>
        <w:adjustRightInd w:val="0"/>
        <w:spacing w:after="0" w:line="240" w:lineRule="auto"/>
      </w:pPr>
      <w:r>
        <w:t xml:space="preserve">The workshops created an environment where people could explore racialised histories without pressure or judgement. Participants described the environment as supportive, non-interrogative, restorative, and enabling honest reflection. Across cohorts, people shared how the sessions allowed them to express feelings, navigate grief, enjoy humour together, and feel valued. </w:t>
      </w:r>
      <w:r w:rsidR="00090156" w:rsidRPr="00090156">
        <w:t>This theme highlights</w:t>
      </w:r>
      <w:r w:rsidR="00090156" w:rsidRPr="00090156">
        <w:t xml:space="preserve"> </w:t>
      </w:r>
      <w:r w:rsidR="00090156" w:rsidRPr="00090156">
        <w:t>that more carefully facilitated,</w:t>
      </w:r>
      <w:r w:rsidR="00090156" w:rsidRPr="00090156">
        <w:t xml:space="preserve"> </w:t>
      </w:r>
      <w:r w:rsidR="00090156" w:rsidRPr="00090156">
        <w:t>racially literate spaces are need</w:t>
      </w:r>
      <w:r w:rsidR="00090156" w:rsidRPr="00090156">
        <w:t xml:space="preserve"> </w:t>
      </w:r>
      <w:r w:rsidR="00090156" w:rsidRPr="00090156">
        <w:t>within heritage and cultural settings</w:t>
      </w:r>
      <w:r>
        <w:t>, particularly for people who may not otherwise feel safe engaging with colonial histories.</w:t>
      </w:r>
    </w:p>
    <w:p w14:paraId="163B7C59" w14:textId="77777777" w:rsidR="00090156" w:rsidRDefault="00090156" w:rsidP="00090156">
      <w:pPr>
        <w:autoSpaceDE w:val="0"/>
        <w:autoSpaceDN w:val="0"/>
        <w:adjustRightInd w:val="0"/>
        <w:spacing w:after="0" w:line="240" w:lineRule="auto"/>
      </w:pPr>
    </w:p>
    <w:p w14:paraId="1AFECE35" w14:textId="35E8856E" w:rsidR="009F4A9D" w:rsidRDefault="009E14FF" w:rsidP="002839A1">
      <w:pPr>
        <w:pStyle w:val="ListParagraph"/>
        <w:numPr>
          <w:ilvl w:val="0"/>
          <w:numId w:val="2"/>
        </w:numPr>
      </w:pPr>
      <w:r>
        <w:t>“</w:t>
      </w:r>
      <w:r w:rsidR="009F4A9D">
        <w:t>There's laughter and joy here even though we're discussing trauma.</w:t>
      </w:r>
      <w:r>
        <w:t>”</w:t>
      </w:r>
    </w:p>
    <w:p w14:paraId="32046641" w14:textId="0FF29D69" w:rsidR="009E14FF" w:rsidRDefault="009E14FF" w:rsidP="002839A1">
      <w:pPr>
        <w:pStyle w:val="ListParagraph"/>
        <w:numPr>
          <w:ilvl w:val="0"/>
          <w:numId w:val="2"/>
        </w:numPr>
      </w:pPr>
      <w:r>
        <w:t>“My favourite part was laughing together. Hearing other people’s stories.</w:t>
      </w:r>
      <w:r w:rsidR="008832D3">
        <w:t>”</w:t>
      </w:r>
    </w:p>
    <w:p w14:paraId="526621AA" w14:textId="45463DC5" w:rsidR="00035843" w:rsidRDefault="00035843" w:rsidP="002839A1">
      <w:pPr>
        <w:pStyle w:val="ListParagraph"/>
        <w:numPr>
          <w:ilvl w:val="0"/>
          <w:numId w:val="2"/>
        </w:numPr>
      </w:pPr>
      <w:r>
        <w:t>“</w:t>
      </w:r>
      <w:r w:rsidR="00D87709">
        <w:t xml:space="preserve">Not my choice to come to Glasgow, I was in London first. I was told to get on a bus and we were asking ‘where are we going’ but nobody answered. Then the bus stopped and some people got off, then it stopped again, more lists of names and more people got off. Then after a long long time we were told to get off the bus and </w:t>
      </w:r>
      <w:r w:rsidR="002839A1">
        <w:t xml:space="preserve">were told you are in Glasgow. </w:t>
      </w:r>
      <w:r w:rsidR="002839A1">
        <w:lastRenderedPageBreak/>
        <w:t>Where is Glasgow? In Scotland, but where is Scotland?!... We should tell this story back to the Home Office!”</w:t>
      </w:r>
    </w:p>
    <w:p w14:paraId="38310AF2" w14:textId="68037DAA" w:rsidR="002839A1" w:rsidRDefault="002839A1" w:rsidP="002839A1">
      <w:pPr>
        <w:pStyle w:val="ListParagraph"/>
        <w:numPr>
          <w:ilvl w:val="0"/>
          <w:numId w:val="2"/>
        </w:numPr>
      </w:pPr>
      <w:r>
        <w:t>“It’s really healing.”</w:t>
      </w:r>
    </w:p>
    <w:p w14:paraId="66E0010F" w14:textId="28F44EE3" w:rsidR="002839A1" w:rsidRDefault="002839A1" w:rsidP="002839A1">
      <w:pPr>
        <w:pStyle w:val="ListParagraph"/>
        <w:numPr>
          <w:ilvl w:val="0"/>
          <w:numId w:val="2"/>
        </w:numPr>
      </w:pPr>
      <w:r>
        <w:t>“It’s so nice being able to talk about this [racialised heritage]. I can’t believe it, it’s amazing!</w:t>
      </w:r>
    </w:p>
    <w:p w14:paraId="540072AD" w14:textId="4A698461" w:rsidR="009F4A9D" w:rsidRDefault="009F4A9D" w:rsidP="009F4A9D"/>
    <w:p w14:paraId="0C88B0C3" w14:textId="77777777" w:rsidR="00C50182" w:rsidRDefault="00C50182" w:rsidP="00C50182">
      <w:pPr>
        <w:pStyle w:val="Heading1"/>
      </w:pPr>
      <w:bookmarkStart w:id="5" w:name="_Toc224564714"/>
      <w:r>
        <w:t>Belonging and Everyday Infrastructures</w:t>
      </w:r>
      <w:bookmarkEnd w:id="5"/>
    </w:p>
    <w:p w14:paraId="2EE1B82E" w14:textId="1A9C2ED1" w:rsidR="009F4A9D" w:rsidRDefault="009F4A9D" w:rsidP="009F4A9D">
      <w:r>
        <w:t>Participants reflected on their experiences of living in Glasgow, highlighting how parks, libraries, free museums, walking groups, and community spaces support orientation, safety, and belonging. They also described material barriers such as housing precarity, digital exclusion, and limited mobility. The discussions revealed how public infrastructures shape people’s everyday lives and their ability to participate in cultural life or engage with local heritage. This theme demonstrates the need for integrated cultural and equalities policies that recognise the role</w:t>
      </w:r>
      <w:r w:rsidR="00821C54">
        <w:t xml:space="preserve"> </w:t>
      </w:r>
      <w:r>
        <w:t>of accessible public spaces in fostering wellbeing and community connection.</w:t>
      </w:r>
    </w:p>
    <w:p w14:paraId="7713FE81" w14:textId="731BC365" w:rsidR="000A2304" w:rsidRDefault="008D5D45" w:rsidP="00FB493D">
      <w:pPr>
        <w:pStyle w:val="ListParagraph"/>
        <w:numPr>
          <w:ilvl w:val="0"/>
          <w:numId w:val="3"/>
        </w:numPr>
      </w:pPr>
      <w:r>
        <w:t>“This stuff isn’t done enough”</w:t>
      </w:r>
    </w:p>
    <w:p w14:paraId="7D22A45A" w14:textId="0B1C4762" w:rsidR="008D5D45" w:rsidRDefault="008D5D45" w:rsidP="00FB493D">
      <w:pPr>
        <w:pStyle w:val="ListParagraph"/>
        <w:numPr>
          <w:ilvl w:val="0"/>
          <w:numId w:val="3"/>
        </w:numPr>
      </w:pPr>
      <w:r>
        <w:t>“We need to have more of these discussions.”</w:t>
      </w:r>
    </w:p>
    <w:p w14:paraId="170E8A0B" w14:textId="2F1213DB" w:rsidR="008D5D45" w:rsidRPr="004A26ED" w:rsidRDefault="004A26ED" w:rsidP="00FB493D">
      <w:pPr>
        <w:pStyle w:val="ListParagraph"/>
        <w:numPr>
          <w:ilvl w:val="0"/>
          <w:numId w:val="3"/>
        </w:numPr>
      </w:pPr>
      <w:r>
        <w:rPr>
          <w:rFonts w:cstheme="minorHAnsi"/>
        </w:rPr>
        <w:t>“</w:t>
      </w:r>
      <w:r w:rsidRPr="00763093">
        <w:rPr>
          <w:rFonts w:cstheme="minorHAnsi"/>
        </w:rPr>
        <w:t>I would not have gone to see the parks if not for the asylum seeker's walking groups.”</w:t>
      </w:r>
    </w:p>
    <w:p w14:paraId="3AE5D4E5" w14:textId="6196B1D8" w:rsidR="004A26ED" w:rsidRPr="00D2614E" w:rsidRDefault="0078431B" w:rsidP="00FB493D">
      <w:pPr>
        <w:pStyle w:val="ListParagraph"/>
        <w:numPr>
          <w:ilvl w:val="0"/>
          <w:numId w:val="3"/>
        </w:numPr>
      </w:pPr>
      <w:r w:rsidRPr="00763093">
        <w:rPr>
          <w:rFonts w:cstheme="minorHAnsi"/>
        </w:rPr>
        <w:t>“Glasgow has lots of free museums which is really great because this is good for people who are new here to learn about Glasgow and have a good time with family/friends. My country doesn't have free museums.”</w:t>
      </w:r>
    </w:p>
    <w:p w14:paraId="0EB3440B" w14:textId="0E462501" w:rsidR="00D2614E" w:rsidRPr="00D2614E" w:rsidRDefault="00D2614E" w:rsidP="00FB493D">
      <w:pPr>
        <w:pStyle w:val="ListParagraph"/>
        <w:numPr>
          <w:ilvl w:val="0"/>
          <w:numId w:val="3"/>
        </w:numPr>
      </w:pPr>
      <w:r>
        <w:rPr>
          <w:rFonts w:cstheme="minorHAnsi"/>
        </w:rPr>
        <w:t>“</w:t>
      </w:r>
      <w:r w:rsidRPr="001463FA">
        <w:rPr>
          <w:rFonts w:cstheme="minorHAnsi"/>
        </w:rPr>
        <w:t>People are isolated because they don't have any money to go anywhere. Need to provide the smartphones. Migrant Help. Helps to give people something to do and find communities.</w:t>
      </w:r>
      <w:r>
        <w:rPr>
          <w:rFonts w:cstheme="minorHAnsi"/>
        </w:rPr>
        <w:t>”</w:t>
      </w:r>
    </w:p>
    <w:p w14:paraId="6F6C578B" w14:textId="77D18B89" w:rsidR="00D2614E" w:rsidRPr="00FB493D" w:rsidRDefault="00CC3B79" w:rsidP="00FB493D">
      <w:pPr>
        <w:pStyle w:val="ListParagraph"/>
        <w:numPr>
          <w:ilvl w:val="0"/>
          <w:numId w:val="3"/>
        </w:numPr>
      </w:pPr>
      <w:r w:rsidRPr="00763093">
        <w:rPr>
          <w:rFonts w:cstheme="minorHAnsi"/>
        </w:rPr>
        <w:t>“When I arrived I worked really hard to find a library, to learn. I volunteered and I did a lot to learn English. After 2 months or so I got a place in college to study. It was not easy because I was not allowed to work, so not enough money. We didn't know when we were going to move or when things would happen. W</w:t>
      </w:r>
      <w:r>
        <w:rPr>
          <w:rFonts w:cstheme="minorHAnsi"/>
        </w:rPr>
        <w:t>e</w:t>
      </w:r>
      <w:r w:rsidRPr="00763093">
        <w:rPr>
          <w:rFonts w:cstheme="minorHAnsi"/>
        </w:rPr>
        <w:t xml:space="preserve"> had time to go out and walk around Glasgow, near the river. That was a good time.”</w:t>
      </w:r>
    </w:p>
    <w:p w14:paraId="6E0CAB84" w14:textId="77777777" w:rsidR="00FB493D" w:rsidRDefault="00FB493D" w:rsidP="00FB493D"/>
    <w:p w14:paraId="2EFE6B19" w14:textId="77777777" w:rsidR="00B30F67" w:rsidRDefault="00B30F67" w:rsidP="002768A4">
      <w:pPr>
        <w:pStyle w:val="Heading1"/>
      </w:pPr>
      <w:bookmarkStart w:id="6" w:name="_Toc224564715"/>
      <w:r>
        <w:t>Growing Racial Literacy and Shifting Understanding</w:t>
      </w:r>
      <w:bookmarkEnd w:id="6"/>
    </w:p>
    <w:p w14:paraId="7C0D9EFA" w14:textId="77777777" w:rsidR="002E15EB" w:rsidRDefault="009F4A9D" w:rsidP="009F4A9D">
      <w:r>
        <w:t>The workshops prompted meaningful shifts in how participants understood colonialism, propaganda, representation, and Scotland’s role within empire. Many recognised</w:t>
      </w:r>
      <w:r w:rsidR="00FB493D">
        <w:t xml:space="preserve"> </w:t>
      </w:r>
      <w:r>
        <w:t>gaps in their knowledge, questioned established narratives, and linked historical dynamics to contemporary racism and political manipulation.</w:t>
      </w:r>
      <w:r w:rsidR="002E15EB">
        <w:t xml:space="preserve"> </w:t>
      </w:r>
    </w:p>
    <w:p w14:paraId="7779567E" w14:textId="2E653777" w:rsidR="009F4A9D" w:rsidRDefault="009F4A9D" w:rsidP="009F4A9D">
      <w:r>
        <w:t>Through visual methods and collective discussion, participants deepened their understanding and critically reframed assumptions. This theme underscores the importance of accessible, dialogic approaches for building racial literacy across cultural, educational, and equalities contexts.</w:t>
      </w:r>
    </w:p>
    <w:p w14:paraId="2A40A803" w14:textId="0FF44F2F" w:rsidR="000C69B8" w:rsidRPr="00FB493D" w:rsidRDefault="009F4A9D" w:rsidP="000C69B8">
      <w:pPr>
        <w:pStyle w:val="ListParagraph"/>
        <w:numPr>
          <w:ilvl w:val="0"/>
          <w:numId w:val="3"/>
        </w:numPr>
        <w:rPr>
          <w:rFonts w:cstheme="minorHAnsi"/>
          <w:color w:val="111111"/>
          <w:shd w:val="clear" w:color="auto" w:fill="FFFFFF"/>
        </w:rPr>
      </w:pPr>
      <w:r>
        <w:t xml:space="preserve"> </w:t>
      </w:r>
      <w:r w:rsidR="000C69B8">
        <w:rPr>
          <w:rFonts w:cstheme="minorHAnsi"/>
          <w:color w:val="111111"/>
          <w:shd w:val="clear" w:color="auto" w:fill="FFFFFF"/>
        </w:rPr>
        <w:t>“</w:t>
      </w:r>
      <w:r w:rsidR="000C69B8" w:rsidRPr="00FB493D">
        <w:rPr>
          <w:rFonts w:cstheme="minorHAnsi"/>
          <w:color w:val="111111"/>
          <w:shd w:val="clear" w:color="auto" w:fill="FFFFFF"/>
        </w:rPr>
        <w:t>I've tried to tell other people about last week's workshop but I'm finding it difficult to capture it because the discussions have been so rich.</w:t>
      </w:r>
      <w:r w:rsidR="000C69B8">
        <w:rPr>
          <w:rFonts w:cstheme="minorHAnsi"/>
          <w:color w:val="111111"/>
          <w:shd w:val="clear" w:color="auto" w:fill="FFFFFF"/>
        </w:rPr>
        <w:t>”</w:t>
      </w:r>
    </w:p>
    <w:p w14:paraId="0D7A4965" w14:textId="77777777" w:rsidR="000C69B8" w:rsidRPr="00FB493D" w:rsidRDefault="000C69B8" w:rsidP="000C69B8">
      <w:pPr>
        <w:pStyle w:val="ListParagraph"/>
        <w:numPr>
          <w:ilvl w:val="0"/>
          <w:numId w:val="3"/>
        </w:numPr>
        <w:rPr>
          <w:rFonts w:cstheme="minorHAnsi"/>
          <w:color w:val="111111"/>
          <w:shd w:val="clear" w:color="auto" w:fill="FFFFFF"/>
        </w:rPr>
      </w:pPr>
      <w:r w:rsidRPr="00FB493D">
        <w:rPr>
          <w:rFonts w:cstheme="minorHAnsi"/>
          <w:color w:val="111111"/>
          <w:shd w:val="clear" w:color="auto" w:fill="FFFFFF"/>
        </w:rPr>
        <w:t>“I kind of knew about the history, but realise now that really I knew nothing at all.”</w:t>
      </w:r>
    </w:p>
    <w:p w14:paraId="275E540D" w14:textId="77777777" w:rsidR="000C69B8" w:rsidRPr="00FB493D" w:rsidRDefault="000C69B8" w:rsidP="000C69B8">
      <w:pPr>
        <w:pStyle w:val="ListParagraph"/>
        <w:numPr>
          <w:ilvl w:val="0"/>
          <w:numId w:val="3"/>
        </w:numPr>
        <w:rPr>
          <w:rFonts w:cstheme="minorHAnsi"/>
          <w:color w:val="111111"/>
          <w:shd w:val="clear" w:color="auto" w:fill="FFFFFF"/>
        </w:rPr>
      </w:pPr>
      <w:r w:rsidRPr="00FB493D">
        <w:rPr>
          <w:rFonts w:cstheme="minorHAnsi"/>
          <w:color w:val="111111"/>
          <w:shd w:val="clear" w:color="auto" w:fill="FFFFFF"/>
        </w:rPr>
        <w:t>“I never ever thought until now about the colonial nature of it all. So I thought ‘oh we should rebuild it’ but now I’ve found out more I feel kind of ashamed about it.”</w:t>
      </w:r>
    </w:p>
    <w:p w14:paraId="68CB3E94" w14:textId="00A7685C" w:rsidR="000C69B8" w:rsidRPr="00FB493D" w:rsidRDefault="000C69B8" w:rsidP="000C69B8">
      <w:pPr>
        <w:pStyle w:val="ListParagraph"/>
        <w:numPr>
          <w:ilvl w:val="0"/>
          <w:numId w:val="3"/>
        </w:numPr>
        <w:rPr>
          <w:rFonts w:cstheme="minorHAnsi"/>
          <w:color w:val="111111"/>
          <w:shd w:val="clear" w:color="auto" w:fill="FFFFFF"/>
        </w:rPr>
      </w:pPr>
      <w:r>
        <w:rPr>
          <w:rFonts w:cstheme="minorHAnsi"/>
          <w:color w:val="111111"/>
          <w:shd w:val="clear" w:color="auto" w:fill="FFFFFF"/>
        </w:rPr>
        <w:lastRenderedPageBreak/>
        <w:t>“</w:t>
      </w:r>
      <w:r w:rsidRPr="00FB493D">
        <w:rPr>
          <w:rFonts w:cstheme="minorHAnsi"/>
          <w:color w:val="111111"/>
          <w:shd w:val="clear" w:color="auto" w:fill="FFFFFF"/>
        </w:rPr>
        <w:t>About it being an inherently colonialist event, I had literally never thought about it that way before...</w:t>
      </w:r>
      <w:r>
        <w:rPr>
          <w:rFonts w:cstheme="minorHAnsi"/>
          <w:color w:val="111111"/>
          <w:shd w:val="clear" w:color="auto" w:fill="FFFFFF"/>
        </w:rPr>
        <w:t>”</w:t>
      </w:r>
    </w:p>
    <w:p w14:paraId="75F9DFF5" w14:textId="77777777" w:rsidR="000C69B8" w:rsidRPr="000C69B8" w:rsidRDefault="000C69B8" w:rsidP="000C69B8">
      <w:pPr>
        <w:pStyle w:val="ListParagraph"/>
        <w:numPr>
          <w:ilvl w:val="0"/>
          <w:numId w:val="3"/>
        </w:numPr>
      </w:pPr>
      <w:r w:rsidRPr="000C69B8">
        <w:rPr>
          <w:rFonts w:cstheme="minorHAnsi"/>
          <w:color w:val="111111"/>
          <w:shd w:val="clear" w:color="auto" w:fill="FFFFFF"/>
        </w:rPr>
        <w:t>“Children need to be taught about this.”</w:t>
      </w:r>
    </w:p>
    <w:p w14:paraId="04F8296C" w14:textId="3B7A72B5" w:rsidR="009F4A9D" w:rsidRPr="000C69B8" w:rsidRDefault="00E95D8F" w:rsidP="000C69B8">
      <w:pPr>
        <w:pStyle w:val="ListParagraph"/>
        <w:numPr>
          <w:ilvl w:val="0"/>
          <w:numId w:val="3"/>
        </w:numPr>
      </w:pPr>
      <w:r>
        <w:rPr>
          <w:rFonts w:cstheme="minorHAnsi"/>
          <w:color w:val="111111"/>
          <w:shd w:val="clear" w:color="auto" w:fill="FFFFFF"/>
        </w:rPr>
        <w:t>“</w:t>
      </w:r>
      <w:r w:rsidR="000C69B8" w:rsidRPr="000C69B8">
        <w:rPr>
          <w:rFonts w:cstheme="minorHAnsi"/>
          <w:color w:val="111111"/>
          <w:shd w:val="clear" w:color="auto" w:fill="FFFFFF"/>
        </w:rPr>
        <w:t>I learned things I hadn’t picked up on previously to do with the colonialism aspects of it.”</w:t>
      </w:r>
    </w:p>
    <w:p w14:paraId="557DFEE7" w14:textId="77777777" w:rsidR="000C69B8" w:rsidRDefault="000C69B8" w:rsidP="000C69B8"/>
    <w:p w14:paraId="3F59BB46" w14:textId="3698E603" w:rsidR="009F4A9D" w:rsidRDefault="009A713F" w:rsidP="009A713F">
      <w:pPr>
        <w:pStyle w:val="Heading1"/>
      </w:pPr>
      <w:bookmarkStart w:id="7" w:name="_Toc224564716"/>
      <w:r>
        <w:t>Policy Implications</w:t>
      </w:r>
      <w:bookmarkEnd w:id="7"/>
    </w:p>
    <w:p w14:paraId="70723841" w14:textId="37095B19" w:rsidR="009F4A9D" w:rsidRDefault="009F4A9D" w:rsidP="009F4A9D">
      <w:r>
        <w:t>The insights shared through these workshops demonstrate how conversations around colonial history and its legacies can strengthen Scotland’s commitments to racial literacy, cultural inclusion, and community wellbeing.</w:t>
      </w:r>
    </w:p>
    <w:p w14:paraId="1337C020" w14:textId="17936928" w:rsidR="00320956" w:rsidRDefault="00320956" w:rsidP="00320956">
      <w:r>
        <w:t>Participants emphasised the need for approaches that hold complexity while centring lived experience. Their reflections show that when people engage with difficult histories in safe, well-facilitated environments, and when cultural spaces are accessible, affordable, and welcoming, heritage becomes a site for connection rather than exclusion. These findings suggest practical ways in which cultural, equalities, and educational policy can support more inclusive public memory – through intentional facilitation, accessible interpretation, and infrastructures that enable belonging.</w:t>
      </w:r>
    </w:p>
    <w:p w14:paraId="68E50EEC" w14:textId="4A9500ED" w:rsidR="009F4A9D" w:rsidRDefault="00EC7418" w:rsidP="00A33A94">
      <w:pPr>
        <w:pStyle w:val="ListParagraph"/>
        <w:numPr>
          <w:ilvl w:val="0"/>
          <w:numId w:val="4"/>
        </w:numPr>
      </w:pPr>
      <w:r>
        <w:t>“</w:t>
      </w:r>
      <w:r w:rsidR="009F4A9D">
        <w:t>Decolonisation is not about creating an alternate narrative but about creating a space for multiple narratives...”</w:t>
      </w:r>
    </w:p>
    <w:p w14:paraId="3987D21E" w14:textId="2E9D7126" w:rsidR="00EC7418" w:rsidRDefault="00EC7418" w:rsidP="00A33A94">
      <w:pPr>
        <w:pStyle w:val="ListParagraph"/>
        <w:numPr>
          <w:ilvl w:val="0"/>
          <w:numId w:val="4"/>
        </w:numPr>
      </w:pPr>
      <w:r>
        <w:t xml:space="preserve">“We wondered if something like this [paper fortune teller] </w:t>
      </w:r>
      <w:r w:rsidR="003B5FB0">
        <w:t>would be a good replacement for the Tower of Empire</w:t>
      </w:r>
      <w:r>
        <w:t xml:space="preserve"> </w:t>
      </w:r>
      <w:r w:rsidR="00A33A94">
        <w:t>– to show the variety and feeling of choice.”</w:t>
      </w:r>
    </w:p>
    <w:p w14:paraId="3AEA004A" w14:textId="77777777" w:rsidR="009F4A9D" w:rsidRDefault="009F4A9D" w:rsidP="009F4A9D">
      <w:r>
        <w:t>The following considerations outline how organisations and policymakers can build on what participants said matters most.</w:t>
      </w:r>
    </w:p>
    <w:p w14:paraId="4AC5EFB7" w14:textId="77777777" w:rsidR="00A33A94" w:rsidRDefault="00A33A94" w:rsidP="00320956">
      <w:pPr>
        <w:pStyle w:val="Heading2"/>
      </w:pPr>
      <w:bookmarkStart w:id="8" w:name="_Toc224564717"/>
      <w:r>
        <w:t>Participant Wellbeing</w:t>
      </w:r>
      <w:bookmarkEnd w:id="8"/>
    </w:p>
    <w:p w14:paraId="3064D7BF" w14:textId="77777777" w:rsidR="00320956" w:rsidRDefault="00320956" w:rsidP="00320956">
      <w:r>
        <w:t>Invest in racially literate, trauma-informed facilitation to ensure that engagement with racialised or colonial histories happens in safe, non-interrogative, and emotionally supportive ways.</w:t>
      </w:r>
    </w:p>
    <w:p w14:paraId="2E7887EC" w14:textId="12341389" w:rsidR="00320956" w:rsidRDefault="00320956" w:rsidP="00320956">
      <w:pPr>
        <w:pStyle w:val="Heading2"/>
      </w:pPr>
      <w:bookmarkStart w:id="9" w:name="_Toc224564718"/>
      <w:r>
        <w:t>Question History</w:t>
      </w:r>
      <w:bookmarkEnd w:id="9"/>
    </w:p>
    <w:p w14:paraId="2229B367" w14:textId="77777777" w:rsidR="00320956" w:rsidRDefault="00320956" w:rsidP="00320956">
      <w:r>
        <w:t>Embed local histories of empire into anti-racist and equalities work by using place-based case studies such as the 1938 Empire Exhibition to deepen understanding and challenge gaps in public memory.</w:t>
      </w:r>
    </w:p>
    <w:p w14:paraId="295E484F" w14:textId="564DAF9B" w:rsidR="009F4A9D" w:rsidRDefault="009F4A9D" w:rsidP="00320956">
      <w:pPr>
        <w:pStyle w:val="Heading2"/>
      </w:pPr>
      <w:bookmarkStart w:id="10" w:name="_Toc224564719"/>
      <w:r>
        <w:t xml:space="preserve">Belonging </w:t>
      </w:r>
      <w:r w:rsidR="00320956">
        <w:t>and</w:t>
      </w:r>
      <w:r>
        <w:t xml:space="preserve"> infrastructures</w:t>
      </w:r>
      <w:bookmarkEnd w:id="10"/>
    </w:p>
    <w:p w14:paraId="17FC659F" w14:textId="77777777" w:rsidR="00320956" w:rsidRDefault="00320956" w:rsidP="00320956">
      <w:r>
        <w:t>Recognise and resource everyday public infrastructures such as parks, libraries, free museums, and walking groups as belonging spaces that are essential for orientation, wellbeing, and community connection, particularly for people facing financial or mobility barriers.</w:t>
      </w:r>
    </w:p>
    <w:p w14:paraId="6B7EF6C5" w14:textId="432394FE" w:rsidR="009F4A9D" w:rsidRDefault="009F4A9D" w:rsidP="00320956">
      <w:pPr>
        <w:pStyle w:val="Heading2"/>
      </w:pPr>
      <w:bookmarkStart w:id="11" w:name="_Toc224564720"/>
      <w:r>
        <w:t>Multiple Pers</w:t>
      </w:r>
      <w:r w:rsidR="00320956">
        <w:t>p</w:t>
      </w:r>
      <w:r>
        <w:t>ectives</w:t>
      </w:r>
      <w:bookmarkEnd w:id="11"/>
    </w:p>
    <w:p w14:paraId="1D09B513" w14:textId="031E1AE8" w:rsidR="00320956" w:rsidRDefault="00320956" w:rsidP="00320956">
      <w:r>
        <w:t>Support heritage practice that values multiple perspectives, challenges singular narratives, and enables communities to contribute to how histories are interpreted and retold.</w:t>
      </w:r>
    </w:p>
    <w:p w14:paraId="00CDC25B" w14:textId="09FA8DEE" w:rsidR="009F4A9D" w:rsidRDefault="00320956" w:rsidP="00320956">
      <w:pPr>
        <w:pStyle w:val="Heading2"/>
      </w:pPr>
      <w:bookmarkStart w:id="12" w:name="_Toc224564721"/>
      <w:r>
        <w:t>Accessible Communication</w:t>
      </w:r>
      <w:bookmarkEnd w:id="12"/>
    </w:p>
    <w:p w14:paraId="4A9628F7" w14:textId="2F1D2670" w:rsidR="00FB4187" w:rsidRDefault="009F4A9D" w:rsidP="009F4A9D">
      <w:r>
        <w:t>Adopt accessible, multimodal communication methods including image interpretation, artefact handling, and sensory storytelling that make heritage easier to engage with for diverse audiences.</w:t>
      </w:r>
    </w:p>
    <w:sectPr w:rsidR="00FB41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E77E6"/>
    <w:multiLevelType w:val="hybridMultilevel"/>
    <w:tmpl w:val="1422B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BC0351"/>
    <w:multiLevelType w:val="hybridMultilevel"/>
    <w:tmpl w:val="CB482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F01995"/>
    <w:multiLevelType w:val="hybridMultilevel"/>
    <w:tmpl w:val="5B02E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0951E8"/>
    <w:multiLevelType w:val="hybridMultilevel"/>
    <w:tmpl w:val="D026C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D26B13"/>
    <w:multiLevelType w:val="hybridMultilevel"/>
    <w:tmpl w:val="0C14D4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7E2"/>
    <w:rsid w:val="00035843"/>
    <w:rsid w:val="00090156"/>
    <w:rsid w:val="000A2304"/>
    <w:rsid w:val="000A2D39"/>
    <w:rsid w:val="000C153C"/>
    <w:rsid w:val="000C69B8"/>
    <w:rsid w:val="000E358A"/>
    <w:rsid w:val="0022588E"/>
    <w:rsid w:val="002768A4"/>
    <w:rsid w:val="002839A1"/>
    <w:rsid w:val="002E15EB"/>
    <w:rsid w:val="00320956"/>
    <w:rsid w:val="00381C47"/>
    <w:rsid w:val="003B5FB0"/>
    <w:rsid w:val="004A26ED"/>
    <w:rsid w:val="005E2808"/>
    <w:rsid w:val="0078431B"/>
    <w:rsid w:val="0082041A"/>
    <w:rsid w:val="00821C54"/>
    <w:rsid w:val="008832D3"/>
    <w:rsid w:val="008D5D45"/>
    <w:rsid w:val="009A713F"/>
    <w:rsid w:val="009C13F4"/>
    <w:rsid w:val="009E14FF"/>
    <w:rsid w:val="009F4A9D"/>
    <w:rsid w:val="00A0163C"/>
    <w:rsid w:val="00A33A94"/>
    <w:rsid w:val="00AD27E2"/>
    <w:rsid w:val="00B30F67"/>
    <w:rsid w:val="00C50182"/>
    <w:rsid w:val="00C60B15"/>
    <w:rsid w:val="00CC3B79"/>
    <w:rsid w:val="00CF7F93"/>
    <w:rsid w:val="00D2614E"/>
    <w:rsid w:val="00D87709"/>
    <w:rsid w:val="00E95D8F"/>
    <w:rsid w:val="00EC7418"/>
    <w:rsid w:val="00F71CA8"/>
    <w:rsid w:val="00F83046"/>
    <w:rsid w:val="00FB4187"/>
    <w:rsid w:val="00FB49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28BE9"/>
  <w15:chartTrackingRefBased/>
  <w15:docId w15:val="{8CE0984D-5EF2-47A4-BFCF-A0BC5F42D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1C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209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4A9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A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A9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F4A9D"/>
    <w:rPr>
      <w:rFonts w:eastAsiaTheme="minorEastAsia"/>
      <w:color w:val="5A5A5A" w:themeColor="text1" w:themeTint="A5"/>
      <w:spacing w:val="15"/>
    </w:rPr>
  </w:style>
  <w:style w:type="paragraph" w:styleId="ListParagraph">
    <w:name w:val="List Paragraph"/>
    <w:basedOn w:val="Normal"/>
    <w:uiPriority w:val="34"/>
    <w:qFormat/>
    <w:rsid w:val="00F71CA8"/>
    <w:pPr>
      <w:ind w:left="720"/>
      <w:contextualSpacing/>
    </w:pPr>
  </w:style>
  <w:style w:type="character" w:customStyle="1" w:styleId="Heading1Char">
    <w:name w:val="Heading 1 Char"/>
    <w:basedOn w:val="DefaultParagraphFont"/>
    <w:link w:val="Heading1"/>
    <w:uiPriority w:val="9"/>
    <w:rsid w:val="00F71CA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9C13F4"/>
    <w:rPr>
      <w:color w:val="0563C1" w:themeColor="hyperlink"/>
      <w:u w:val="single"/>
    </w:rPr>
  </w:style>
  <w:style w:type="character" w:styleId="UnresolvedMention">
    <w:name w:val="Unresolved Mention"/>
    <w:basedOn w:val="DefaultParagraphFont"/>
    <w:uiPriority w:val="99"/>
    <w:semiHidden/>
    <w:unhideWhenUsed/>
    <w:rsid w:val="009C13F4"/>
    <w:rPr>
      <w:color w:val="605E5C"/>
      <w:shd w:val="clear" w:color="auto" w:fill="E1DFDD"/>
    </w:rPr>
  </w:style>
  <w:style w:type="character" w:customStyle="1" w:styleId="Heading2Char">
    <w:name w:val="Heading 2 Char"/>
    <w:basedOn w:val="DefaultParagraphFont"/>
    <w:link w:val="Heading2"/>
    <w:uiPriority w:val="9"/>
    <w:rsid w:val="00320956"/>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22588E"/>
    <w:pPr>
      <w:outlineLvl w:val="9"/>
    </w:pPr>
    <w:rPr>
      <w:lang w:val="en-US"/>
    </w:rPr>
  </w:style>
  <w:style w:type="paragraph" w:styleId="TOC1">
    <w:name w:val="toc 1"/>
    <w:basedOn w:val="Normal"/>
    <w:next w:val="Normal"/>
    <w:autoRedefine/>
    <w:uiPriority w:val="39"/>
    <w:unhideWhenUsed/>
    <w:rsid w:val="0022588E"/>
    <w:pPr>
      <w:spacing w:after="100"/>
    </w:pPr>
  </w:style>
  <w:style w:type="paragraph" w:styleId="TOC2">
    <w:name w:val="toc 2"/>
    <w:basedOn w:val="Normal"/>
    <w:next w:val="Normal"/>
    <w:autoRedefine/>
    <w:uiPriority w:val="39"/>
    <w:unhideWhenUsed/>
    <w:rsid w:val="0022588E"/>
    <w:pPr>
      <w:spacing w:after="100"/>
      <w:ind w:left="220"/>
    </w:pPr>
  </w:style>
  <w:style w:type="paragraph" w:customStyle="1" w:styleId="BasicParagraph">
    <w:name w:val="[Basic Paragraph]"/>
    <w:basedOn w:val="Normal"/>
    <w:uiPriority w:val="99"/>
    <w:rsid w:val="00381C47"/>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it.gsa.ac.uk/project/decolonising-augmented-realit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8B11E-65CD-4DF7-8713-5E33B76D3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1645</Words>
  <Characters>9377</Characters>
  <Application>Microsoft Office Word</Application>
  <DocSecurity>0</DocSecurity>
  <Lines>78</Lines>
  <Paragraphs>21</Paragraphs>
  <ScaleCrop>false</ScaleCrop>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Abbott, Daisy</dc:creator>
  <cp:keywords/>
  <dc:description/>
  <cp:lastModifiedBy>Abbott, Daisy</cp:lastModifiedBy>
  <cp:revision>40</cp:revision>
  <dcterms:created xsi:type="dcterms:W3CDTF">2026-03-16T14:11:00Z</dcterms:created>
  <dcterms:modified xsi:type="dcterms:W3CDTF">2026-03-23T10:56:00Z</dcterms:modified>
</cp:coreProperties>
</file>