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bookmarkStart w:id="0" w:name="_GoBack"/>
      <w:proofErr w:type="spellStart"/>
      <w:r w:rsidRPr="00124406">
        <w:rPr>
          <w:rFonts w:ascii="Calibri-Bold" w:hAnsi="Calibri-Bold" w:cs="Calibri-Bold"/>
          <w:b/>
          <w:bCs/>
          <w:color w:val="000000"/>
          <w:sz w:val="20"/>
          <w:szCs w:val="20"/>
        </w:rPr>
        <w:t>Humor</w:t>
      </w:r>
      <w:proofErr w:type="spellEnd"/>
      <w:r w:rsidRPr="00124406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in Design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Nicholas Oddy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124406">
        <w:rPr>
          <w:rFonts w:ascii="Calibri" w:hAnsi="Calibri" w:cs="Calibri"/>
          <w:color w:val="000000"/>
          <w:sz w:val="20"/>
          <w:szCs w:val="20"/>
        </w:rPr>
        <w:t>Humor</w:t>
      </w:r>
      <w:proofErr w:type="spellEnd"/>
      <w:r w:rsidRPr="00124406">
        <w:rPr>
          <w:rFonts w:ascii="Calibri" w:hAnsi="Calibri" w:cs="Calibri"/>
          <w:color w:val="000000"/>
          <w:sz w:val="20"/>
          <w:szCs w:val="20"/>
        </w:rPr>
        <w:t xml:space="preserve"> is something so subjective that it is difficult to define what </w:t>
      </w:r>
      <w:proofErr w:type="spellStart"/>
      <w:r w:rsidRPr="00124406">
        <w:rPr>
          <w:rFonts w:ascii="Calibri" w:hAnsi="Calibri" w:cs="Calibri"/>
          <w:color w:val="000000"/>
          <w:sz w:val="20"/>
          <w:szCs w:val="20"/>
        </w:rPr>
        <w:t>humor</w:t>
      </w:r>
      <w:proofErr w:type="spellEnd"/>
      <w:r w:rsidRPr="00124406">
        <w:rPr>
          <w:rFonts w:ascii="Calibri" w:hAnsi="Calibri" w:cs="Calibri"/>
          <w:color w:val="000000"/>
          <w:sz w:val="20"/>
          <w:szCs w:val="20"/>
        </w:rPr>
        <w:t xml:space="preserve"> in design might be. Most obviously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124406">
        <w:rPr>
          <w:rFonts w:ascii="Calibri" w:hAnsi="Calibri" w:cs="Calibri"/>
          <w:color w:val="000000"/>
          <w:sz w:val="20"/>
          <w:szCs w:val="20"/>
        </w:rPr>
        <w:t>humor</w:t>
      </w:r>
      <w:proofErr w:type="spellEnd"/>
      <w:r w:rsidRPr="00124406">
        <w:rPr>
          <w:rFonts w:ascii="Calibri" w:hAnsi="Calibri" w:cs="Calibri"/>
          <w:color w:val="000000"/>
          <w:sz w:val="20"/>
          <w:szCs w:val="20"/>
        </w:rPr>
        <w:t xml:space="preserve"> is an essential component of much illustration, in particular cartoons and for many children’s books. It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has also been an essential part of advertising and, in the UK in particular, public information and propaganda.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 xml:space="preserve">A notable use of </w:t>
      </w:r>
      <w:proofErr w:type="spellStart"/>
      <w:r w:rsidRPr="00124406">
        <w:rPr>
          <w:rFonts w:ascii="Calibri" w:hAnsi="Calibri" w:cs="Calibri"/>
          <w:color w:val="000000"/>
          <w:sz w:val="20"/>
          <w:szCs w:val="20"/>
        </w:rPr>
        <w:t>humor</w:t>
      </w:r>
      <w:proofErr w:type="spellEnd"/>
      <w:r w:rsidRPr="00124406">
        <w:rPr>
          <w:rFonts w:ascii="Calibri" w:hAnsi="Calibri" w:cs="Calibri"/>
          <w:color w:val="000000"/>
          <w:sz w:val="20"/>
          <w:szCs w:val="20"/>
        </w:rPr>
        <w:t xml:space="preserve"> in this respect was the “careless talk” campaign in the Second World War.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124406">
        <w:rPr>
          <w:rFonts w:ascii="Calibri" w:hAnsi="Calibri" w:cs="Calibri"/>
          <w:color w:val="000000"/>
          <w:sz w:val="20"/>
          <w:szCs w:val="20"/>
        </w:rPr>
        <w:t>Humor</w:t>
      </w:r>
      <w:proofErr w:type="spellEnd"/>
      <w:r w:rsidRPr="00124406">
        <w:rPr>
          <w:rFonts w:ascii="Calibri" w:hAnsi="Calibri" w:cs="Calibri"/>
          <w:color w:val="000000"/>
          <w:sz w:val="20"/>
          <w:szCs w:val="20"/>
        </w:rPr>
        <w:t xml:space="preserve"> and novelty are closely linked in many areas of three-dimensional design. Traditionally much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 xml:space="preserve">has been in the form of </w:t>
      </w:r>
      <w:r w:rsidRPr="00124406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trompe </w:t>
      </w:r>
      <w:proofErr w:type="spellStart"/>
      <w:r w:rsidRPr="00124406">
        <w:rPr>
          <w:rFonts w:ascii="Calibri-Italic" w:hAnsi="Calibri-Italic" w:cs="Calibri-Italic"/>
          <w:i/>
          <w:iCs/>
          <w:color w:val="000000"/>
          <w:sz w:val="20"/>
          <w:szCs w:val="20"/>
        </w:rPr>
        <w:t>l’oiel</w:t>
      </w:r>
      <w:proofErr w:type="spellEnd"/>
      <w:r w:rsidRPr="00124406">
        <w:rPr>
          <w:rFonts w:ascii="Calibri" w:hAnsi="Calibri" w:cs="Calibri"/>
          <w:color w:val="000000"/>
          <w:sz w:val="20"/>
          <w:szCs w:val="20"/>
        </w:rPr>
        <w:t xml:space="preserve">, particularly in ceramics. Here </w:t>
      </w:r>
      <w:proofErr w:type="spellStart"/>
      <w:r w:rsidRPr="00124406">
        <w:rPr>
          <w:rFonts w:ascii="Calibri" w:hAnsi="Calibri" w:cs="Calibri"/>
          <w:color w:val="000000"/>
          <w:sz w:val="20"/>
          <w:szCs w:val="20"/>
        </w:rPr>
        <w:t>tablewares</w:t>
      </w:r>
      <w:proofErr w:type="spellEnd"/>
      <w:r w:rsidRPr="00124406">
        <w:rPr>
          <w:rFonts w:ascii="Calibri" w:hAnsi="Calibri" w:cs="Calibri"/>
          <w:color w:val="000000"/>
          <w:sz w:val="20"/>
          <w:szCs w:val="20"/>
        </w:rPr>
        <w:t xml:space="preserve"> formed to look like fruit and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vegetables have been commonplace for centuries. Ceramic is also frequently employed to model novelty items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 xml:space="preserve">that look like figurines or simple ornaments, but in fact turn out to be functional </w:t>
      </w:r>
      <w:proofErr w:type="spellStart"/>
      <w:r w:rsidRPr="00124406">
        <w:rPr>
          <w:rFonts w:ascii="Calibri" w:hAnsi="Calibri" w:cs="Calibri"/>
          <w:color w:val="000000"/>
          <w:sz w:val="20"/>
          <w:szCs w:val="20"/>
        </w:rPr>
        <w:t>tablewares</w:t>
      </w:r>
      <w:proofErr w:type="spellEnd"/>
      <w:r w:rsidRPr="00124406">
        <w:rPr>
          <w:rFonts w:ascii="Calibri" w:hAnsi="Calibri" w:cs="Calibri"/>
          <w:color w:val="000000"/>
          <w:sz w:val="20"/>
          <w:szCs w:val="20"/>
        </w:rPr>
        <w:t>; tea pots are a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 xml:space="preserve">particular </w:t>
      </w:r>
      <w:proofErr w:type="spellStart"/>
      <w:r w:rsidRPr="00124406">
        <w:rPr>
          <w:rFonts w:ascii="Calibri" w:hAnsi="Calibri" w:cs="Calibri"/>
          <w:color w:val="000000"/>
          <w:sz w:val="20"/>
          <w:szCs w:val="20"/>
        </w:rPr>
        <w:t>favorite</w:t>
      </w:r>
      <w:proofErr w:type="spellEnd"/>
      <w:r w:rsidRPr="00124406">
        <w:rPr>
          <w:rFonts w:ascii="Calibri" w:hAnsi="Calibri" w:cs="Calibri"/>
          <w:color w:val="000000"/>
          <w:sz w:val="20"/>
          <w:szCs w:val="20"/>
        </w:rPr>
        <w:t xml:space="preserve"> for such treatment. Novelty items of this type began to proliferate during the second half of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Pr="00124406">
        <w:rPr>
          <w:rFonts w:ascii="Calibri" w:hAnsi="Calibri" w:cs="Calibri"/>
          <w:color w:val="2E98D4"/>
          <w:sz w:val="20"/>
          <w:szCs w:val="20"/>
        </w:rPr>
        <w:t xml:space="preserve">nineteenth </w:t>
      </w:r>
      <w:r w:rsidRPr="00124406">
        <w:rPr>
          <w:rFonts w:ascii="Calibri" w:hAnsi="Calibri" w:cs="Calibri"/>
          <w:color w:val="000000"/>
          <w:sz w:val="20"/>
          <w:szCs w:val="20"/>
        </w:rPr>
        <w:t>century with rising mass production.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Associated with the mass market and “bad taste</w:t>
      </w:r>
      <w:r w:rsidRPr="00124406">
        <w:rPr>
          <w:rFonts w:ascii="Calibri" w:hAnsi="Calibri" w:cs="Calibri"/>
          <w:color w:val="F47E43"/>
          <w:sz w:val="20"/>
          <w:szCs w:val="20"/>
        </w:rPr>
        <w:t>,</w:t>
      </w:r>
      <w:r w:rsidRPr="00124406">
        <w:rPr>
          <w:rFonts w:ascii="Calibri" w:hAnsi="Calibri" w:cs="Calibri"/>
          <w:color w:val="000000"/>
          <w:sz w:val="20"/>
          <w:szCs w:val="20"/>
        </w:rPr>
        <w:t>” humorous, novelty designs were generally derided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by western European design critics, particularly those subscribing to modernist beliefs in the twentieth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 xml:space="preserve">century, but they were embraced in postmodernism. Famously, </w:t>
      </w:r>
      <w:proofErr w:type="spellStart"/>
      <w:r w:rsidRPr="00124406">
        <w:rPr>
          <w:rFonts w:ascii="Calibri" w:hAnsi="Calibri" w:cs="Calibri"/>
          <w:color w:val="000000"/>
          <w:sz w:val="20"/>
          <w:szCs w:val="20"/>
        </w:rPr>
        <w:t>Venturi</w:t>
      </w:r>
      <w:proofErr w:type="spellEnd"/>
      <w:r w:rsidRPr="00124406">
        <w:rPr>
          <w:rFonts w:ascii="Calibri" w:hAnsi="Calibri" w:cs="Calibri"/>
          <w:color w:val="000000"/>
          <w:sz w:val="20"/>
          <w:szCs w:val="20"/>
        </w:rPr>
        <w:t xml:space="preserve"> and Scott-Brown’s concept of the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 xml:space="preserve">decorated shed in </w:t>
      </w:r>
      <w:r w:rsidRPr="00124406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Learning From Las Vegas </w:t>
      </w:r>
      <w:r w:rsidRPr="00124406">
        <w:rPr>
          <w:rFonts w:ascii="Calibri" w:hAnsi="Calibri" w:cs="Calibri"/>
          <w:color w:val="000000"/>
          <w:sz w:val="20"/>
          <w:szCs w:val="20"/>
        </w:rPr>
        <w:t>(1972) looked particularly at a shop selling duck products, itself in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the form of a duck, legitimi</w:t>
      </w:r>
      <w:r w:rsidRPr="00124406">
        <w:rPr>
          <w:rFonts w:ascii="Calibri" w:hAnsi="Calibri" w:cs="Calibri"/>
          <w:color w:val="F47E43"/>
          <w:sz w:val="20"/>
          <w:szCs w:val="20"/>
        </w:rPr>
        <w:t>z</w:t>
      </w:r>
      <w:r w:rsidRPr="00124406">
        <w:rPr>
          <w:rFonts w:ascii="Calibri" w:hAnsi="Calibri" w:cs="Calibri"/>
          <w:color w:val="000000"/>
          <w:sz w:val="20"/>
          <w:szCs w:val="20"/>
        </w:rPr>
        <w:t>ing this type of design as one worthy of critical attention. Postmodernists termed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this sort of design “product semantic” in that the object visually represents its purpose, although traditionally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it would be described as a “visual pun</w:t>
      </w:r>
      <w:r w:rsidRPr="00124406">
        <w:rPr>
          <w:rFonts w:ascii="Calibri" w:hAnsi="Calibri" w:cs="Calibri"/>
          <w:color w:val="F47E43"/>
          <w:sz w:val="20"/>
          <w:szCs w:val="20"/>
        </w:rPr>
        <w:t>.</w:t>
      </w:r>
      <w:r w:rsidRPr="00124406">
        <w:rPr>
          <w:rFonts w:ascii="Calibri" w:hAnsi="Calibri" w:cs="Calibri"/>
          <w:color w:val="000000"/>
          <w:sz w:val="20"/>
          <w:szCs w:val="20"/>
        </w:rPr>
        <w:t>” There is a long history of such products, such as “cow creamers” (milk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jugs in the form of cows</w:t>
      </w:r>
      <w:r w:rsidRPr="00124406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124406">
        <w:rPr>
          <w:rFonts w:ascii="Calibri" w:hAnsi="Calibri" w:cs="Calibri"/>
          <w:color w:val="000000"/>
          <w:sz w:val="20"/>
          <w:szCs w:val="20"/>
        </w:rPr>
        <w:t>pouring from the mouth with the tail the handle). Indeed, a Minton’s wine jug,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enclosed by grape vine with its stem the handle, won a UK Society of Arts prize in 1846, something that would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be unthinkable a generation later.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 xml:space="preserve">A </w:t>
      </w:r>
      <w:proofErr w:type="gramStart"/>
      <w:r w:rsidRPr="00124406">
        <w:rPr>
          <w:rFonts w:ascii="Calibri" w:hAnsi="Calibri" w:cs="Calibri"/>
          <w:color w:val="000000"/>
          <w:sz w:val="20"/>
          <w:szCs w:val="20"/>
        </w:rPr>
        <w:t>more subtle</w:t>
      </w:r>
      <w:proofErr w:type="gramEnd"/>
      <w:r w:rsidRPr="00124406">
        <w:rPr>
          <w:rFonts w:ascii="Calibri" w:hAnsi="Calibri" w:cs="Calibri"/>
          <w:color w:val="000000"/>
          <w:sz w:val="20"/>
          <w:szCs w:val="20"/>
        </w:rPr>
        <w:t xml:space="preserve"> type of </w:t>
      </w:r>
      <w:proofErr w:type="spellStart"/>
      <w:r w:rsidRPr="00124406">
        <w:rPr>
          <w:rFonts w:ascii="Calibri" w:hAnsi="Calibri" w:cs="Calibri"/>
          <w:color w:val="000000"/>
          <w:sz w:val="20"/>
          <w:szCs w:val="20"/>
        </w:rPr>
        <w:t>humor</w:t>
      </w:r>
      <w:proofErr w:type="spellEnd"/>
      <w:r w:rsidRPr="00124406">
        <w:rPr>
          <w:rFonts w:ascii="Calibri" w:hAnsi="Calibri" w:cs="Calibri"/>
          <w:color w:val="000000"/>
          <w:sz w:val="20"/>
          <w:szCs w:val="20"/>
        </w:rPr>
        <w:t xml:space="preserve"> in design often works on a principle of “knowingness” in which ironic or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 xml:space="preserve">“witty” references are made to past styles, but where </w:t>
      </w:r>
      <w:proofErr w:type="spellStart"/>
      <w:r w:rsidRPr="00124406">
        <w:rPr>
          <w:rFonts w:ascii="Calibri" w:hAnsi="Calibri" w:cs="Calibri"/>
          <w:color w:val="000000"/>
          <w:sz w:val="20"/>
          <w:szCs w:val="20"/>
        </w:rPr>
        <w:t>humor</w:t>
      </w:r>
      <w:proofErr w:type="spellEnd"/>
      <w:r w:rsidRPr="00124406">
        <w:rPr>
          <w:rFonts w:ascii="Calibri" w:hAnsi="Calibri" w:cs="Calibri"/>
          <w:color w:val="000000"/>
          <w:sz w:val="20"/>
          <w:szCs w:val="20"/>
        </w:rPr>
        <w:t xml:space="preserve"> ends and historicism takes over is a matter of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2E98D4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 xml:space="preserve">opinion. A lot of 1950s European whimsical design made reference to that of the </w:t>
      </w:r>
      <w:r w:rsidRPr="00124406">
        <w:rPr>
          <w:rFonts w:ascii="Calibri" w:hAnsi="Calibri" w:cs="Calibri"/>
          <w:color w:val="2E98D4"/>
          <w:sz w:val="20"/>
          <w:szCs w:val="20"/>
        </w:rPr>
        <w:t xml:space="preserve">eighteenth </w:t>
      </w:r>
      <w:r w:rsidRPr="00124406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Pr="00124406">
        <w:rPr>
          <w:rFonts w:ascii="Calibri" w:hAnsi="Calibri" w:cs="Calibri"/>
          <w:color w:val="2E98D4"/>
          <w:sz w:val="20"/>
          <w:szCs w:val="20"/>
        </w:rPr>
        <w:t>nineteenth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centuries as a type of counterpoise to modernism and were often created in conjunction with it. This is seen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particularly at expos, such as the 1951 Festival of Britain, where it not only characteri</w:t>
      </w:r>
      <w:r w:rsidRPr="00124406">
        <w:rPr>
          <w:rFonts w:ascii="Calibri" w:hAnsi="Calibri" w:cs="Calibri"/>
          <w:color w:val="F47E43"/>
          <w:sz w:val="20"/>
          <w:szCs w:val="20"/>
        </w:rPr>
        <w:t>z</w:t>
      </w:r>
      <w:r w:rsidRPr="00124406">
        <w:rPr>
          <w:rFonts w:ascii="Calibri" w:hAnsi="Calibri" w:cs="Calibri"/>
          <w:color w:val="000000"/>
          <w:sz w:val="20"/>
          <w:szCs w:val="20"/>
        </w:rPr>
        <w:t>ed the entertainment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side of the event but was also used to explore national identity.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Witty references to past precedent are a feature of much design of the “postmodern” style of the early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1980s that only fully make sense to those with knowledge of the grand narrative of architectural and design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history, or to particular specialist disciplines. With a long history and a huge resource of objects to exploit for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references, studio and small production ceramics were, and remain</w:t>
      </w:r>
      <w:r w:rsidRPr="00124406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124406">
        <w:rPr>
          <w:rFonts w:ascii="Calibri" w:hAnsi="Calibri" w:cs="Calibri"/>
          <w:color w:val="000000"/>
          <w:sz w:val="20"/>
          <w:szCs w:val="20"/>
        </w:rPr>
        <w:t xml:space="preserve">particularly strong in such </w:t>
      </w:r>
      <w:proofErr w:type="spellStart"/>
      <w:r w:rsidRPr="00124406">
        <w:rPr>
          <w:rFonts w:ascii="Calibri" w:hAnsi="Calibri" w:cs="Calibri"/>
          <w:color w:val="000000"/>
          <w:sz w:val="20"/>
          <w:szCs w:val="20"/>
        </w:rPr>
        <w:t>humor</w:t>
      </w:r>
      <w:proofErr w:type="spellEnd"/>
      <w:r w:rsidRPr="00124406">
        <w:rPr>
          <w:rFonts w:ascii="Calibri" w:hAnsi="Calibri" w:cs="Calibri"/>
          <w:color w:val="000000"/>
          <w:sz w:val="20"/>
          <w:szCs w:val="20"/>
        </w:rPr>
        <w:t>. Such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design is often termed “playful</w:t>
      </w:r>
      <w:r w:rsidRPr="00124406">
        <w:rPr>
          <w:rFonts w:ascii="Calibri" w:hAnsi="Calibri" w:cs="Calibri"/>
          <w:color w:val="F47E43"/>
          <w:sz w:val="20"/>
          <w:szCs w:val="20"/>
        </w:rPr>
        <w:t>.</w:t>
      </w:r>
      <w:r w:rsidRPr="00124406">
        <w:rPr>
          <w:rFonts w:ascii="Calibri" w:hAnsi="Calibri" w:cs="Calibri"/>
          <w:color w:val="000000"/>
          <w:sz w:val="20"/>
          <w:szCs w:val="20"/>
        </w:rPr>
        <w:t>” The products of the Italian Memphis Studio, with their 1950s-looking plastic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 xml:space="preserve">laminate surfaces, references to </w:t>
      </w:r>
      <w:r w:rsidRPr="00124406">
        <w:rPr>
          <w:rFonts w:ascii="Calibri" w:hAnsi="Calibri" w:cs="Calibri"/>
          <w:color w:val="F47E43"/>
          <w:sz w:val="20"/>
          <w:szCs w:val="20"/>
        </w:rPr>
        <w:t>a</w:t>
      </w:r>
      <w:r w:rsidRPr="00124406">
        <w:rPr>
          <w:rFonts w:ascii="Calibri" w:hAnsi="Calibri" w:cs="Calibri"/>
          <w:color w:val="000000"/>
          <w:sz w:val="20"/>
          <w:szCs w:val="20"/>
        </w:rPr>
        <w:t xml:space="preserve">rt </w:t>
      </w:r>
      <w:r w:rsidRPr="00124406">
        <w:rPr>
          <w:rFonts w:ascii="Calibri" w:hAnsi="Calibri" w:cs="Calibri"/>
          <w:color w:val="F47E43"/>
          <w:sz w:val="20"/>
          <w:szCs w:val="20"/>
        </w:rPr>
        <w:t>d</w:t>
      </w:r>
      <w:r w:rsidRPr="00124406">
        <w:rPr>
          <w:rFonts w:ascii="Calibri" w:hAnsi="Calibri" w:cs="Calibri"/>
          <w:color w:val="000000"/>
          <w:sz w:val="20"/>
          <w:szCs w:val="20"/>
        </w:rPr>
        <w:t>eco</w:t>
      </w:r>
      <w:r w:rsidRPr="00124406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124406">
        <w:rPr>
          <w:rFonts w:ascii="Calibri" w:hAnsi="Calibri" w:cs="Calibri"/>
          <w:color w:val="000000"/>
          <w:sz w:val="20"/>
          <w:szCs w:val="20"/>
        </w:rPr>
        <w:t>and a host of other historic popular styles, could be seen to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>epitomi</w:t>
      </w:r>
      <w:r w:rsidRPr="00124406">
        <w:rPr>
          <w:rFonts w:ascii="Calibri" w:hAnsi="Calibri" w:cs="Calibri"/>
          <w:color w:val="F47E43"/>
          <w:sz w:val="20"/>
          <w:szCs w:val="20"/>
        </w:rPr>
        <w:t>z</w:t>
      </w:r>
      <w:r w:rsidRPr="00124406">
        <w:rPr>
          <w:rFonts w:ascii="Calibri" w:hAnsi="Calibri" w:cs="Calibri"/>
          <w:color w:val="000000"/>
          <w:sz w:val="20"/>
          <w:szCs w:val="20"/>
        </w:rPr>
        <w:t>e “playful” and thus humorous use of the past in design.</w:t>
      </w: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E10D99" w:rsidRPr="00124406" w:rsidRDefault="00E10D99" w:rsidP="00E10D99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124406">
        <w:rPr>
          <w:rFonts w:ascii="Calibri-Bold" w:hAnsi="Calibri-Bold" w:cs="Calibri-Bold"/>
          <w:b/>
          <w:bCs/>
          <w:color w:val="000000"/>
          <w:sz w:val="20"/>
          <w:szCs w:val="20"/>
        </w:rPr>
        <w:t>References and further reading</w:t>
      </w:r>
    </w:p>
    <w:p w:rsidR="00D134FC" w:rsidRPr="00124406" w:rsidRDefault="00E10D99" w:rsidP="00E10D99">
      <w:pPr>
        <w:rPr>
          <w:sz w:val="20"/>
          <w:szCs w:val="20"/>
        </w:rPr>
      </w:pPr>
      <w:r w:rsidRPr="00124406">
        <w:rPr>
          <w:rFonts w:ascii="Calibri" w:hAnsi="Calibri" w:cs="Calibri"/>
          <w:color w:val="000000"/>
          <w:sz w:val="20"/>
          <w:szCs w:val="20"/>
        </w:rPr>
        <w:t xml:space="preserve">Heller, Steven and Gail Anderson. </w:t>
      </w:r>
      <w:r w:rsidRPr="00124406">
        <w:rPr>
          <w:rFonts w:ascii="Calibri" w:hAnsi="Calibri" w:cs="Calibri"/>
          <w:color w:val="F47E43"/>
          <w:sz w:val="20"/>
          <w:szCs w:val="20"/>
        </w:rPr>
        <w:t xml:space="preserve">1991. </w:t>
      </w:r>
      <w:r w:rsidRPr="00124406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Graphic Wit: The Art of </w:t>
      </w:r>
      <w:proofErr w:type="spellStart"/>
      <w:r w:rsidRPr="00124406">
        <w:rPr>
          <w:rFonts w:ascii="Calibri-Italic" w:hAnsi="Calibri-Italic" w:cs="Calibri-Italic"/>
          <w:i/>
          <w:iCs/>
          <w:color w:val="000000"/>
          <w:sz w:val="20"/>
          <w:szCs w:val="20"/>
        </w:rPr>
        <w:t>Humor</w:t>
      </w:r>
      <w:proofErr w:type="spellEnd"/>
      <w:r w:rsidRPr="00124406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in Design</w:t>
      </w:r>
      <w:r w:rsidRPr="00124406">
        <w:rPr>
          <w:rFonts w:ascii="Calibri" w:hAnsi="Calibri" w:cs="Calibri"/>
          <w:color w:val="000000"/>
          <w:sz w:val="20"/>
          <w:szCs w:val="20"/>
        </w:rPr>
        <w:t>. New York: Watson-</w:t>
      </w:r>
      <w:proofErr w:type="spellStart"/>
      <w:r w:rsidRPr="00124406">
        <w:rPr>
          <w:rFonts w:ascii="Calibri" w:hAnsi="Calibri" w:cs="Calibri"/>
          <w:color w:val="000000"/>
          <w:sz w:val="20"/>
          <w:szCs w:val="20"/>
        </w:rPr>
        <w:t>Guptill</w:t>
      </w:r>
      <w:bookmarkEnd w:id="0"/>
      <w:proofErr w:type="spellEnd"/>
    </w:p>
    <w:sectPr w:rsidR="00D134FC" w:rsidRPr="00124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BA"/>
    <w:rsid w:val="00124406"/>
    <w:rsid w:val="00D134FC"/>
    <w:rsid w:val="00D975BA"/>
    <w:rsid w:val="00E1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EC4DF-B4B9-4C76-9FC1-258AF135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Company>The Glasgow School of Art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Nicholas</dc:creator>
  <cp:keywords/>
  <dc:description/>
  <cp:lastModifiedBy>Oddy, Nicholas</cp:lastModifiedBy>
  <cp:revision>3</cp:revision>
  <dcterms:created xsi:type="dcterms:W3CDTF">2022-03-30T12:49:00Z</dcterms:created>
  <dcterms:modified xsi:type="dcterms:W3CDTF">2022-03-30T14:53:00Z</dcterms:modified>
</cp:coreProperties>
</file>