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01A" w:rsidRPr="00EF7B73" w:rsidRDefault="005A501A" w:rsidP="00E957C0">
      <w:pPr>
        <w:pStyle w:val="Heading10"/>
        <w:spacing w:before="0"/>
        <w:ind w:left="0" w:firstLine="0"/>
        <w:jc w:val="center"/>
        <w:rPr>
          <w:rFonts w:ascii="Arial Unicode MS" w:eastAsia="Arial Unicode MS" w:hAnsi="Arial Unicode MS" w:cs="Arial Unicode MS"/>
          <w:sz w:val="28"/>
          <w:szCs w:val="28"/>
        </w:rPr>
      </w:pPr>
      <w:bookmarkStart w:id="0" w:name="_GoBack"/>
      <w:bookmarkEnd w:id="0"/>
      <w:r w:rsidRPr="00EF7B73">
        <w:rPr>
          <w:rFonts w:ascii="Arial Unicode MS" w:eastAsia="Arial Unicode MS" w:hAnsi="Arial Unicode MS" w:cs="Arial Unicode MS"/>
          <w:sz w:val="28"/>
          <w:szCs w:val="28"/>
        </w:rPr>
        <w:t>An investigation of indoor air quality, thermal comfort and SBS symptoms in UK energy efficient homes: A case study</w:t>
      </w:r>
    </w:p>
    <w:p w:rsidR="00E957C0" w:rsidRPr="00E957C0" w:rsidRDefault="00E957C0" w:rsidP="00E957C0"/>
    <w:p w:rsidR="003E5B7F" w:rsidRDefault="00C9764D" w:rsidP="00E957C0">
      <w:pPr>
        <w:pStyle w:val="abstract"/>
        <w:spacing w:before="0" w:after="0" w:line="240" w:lineRule="auto"/>
        <w:ind w:left="0" w:right="-46"/>
        <w:jc w:val="both"/>
        <w:rPr>
          <w:rFonts w:eastAsia="Arial Unicode MS" w:cs="Arial Unicode MS"/>
          <w:b/>
          <w:sz w:val="20"/>
        </w:rPr>
      </w:pPr>
      <w:r w:rsidRPr="00E957C0">
        <w:rPr>
          <w:rFonts w:eastAsia="Arial Unicode MS" w:cs="Arial Unicode MS"/>
          <w:b/>
          <w:sz w:val="20"/>
        </w:rPr>
        <w:t>Abstract</w:t>
      </w:r>
    </w:p>
    <w:p w:rsidR="00FC111A" w:rsidRDefault="00C9764D" w:rsidP="00E957C0">
      <w:pPr>
        <w:pStyle w:val="abstract"/>
        <w:spacing w:before="0" w:after="0" w:line="240" w:lineRule="auto"/>
        <w:ind w:left="0" w:right="-46"/>
        <w:jc w:val="both"/>
        <w:rPr>
          <w:rFonts w:eastAsia="Arial Unicode MS" w:cs="Arial Unicode MS"/>
          <w:sz w:val="20"/>
        </w:rPr>
      </w:pPr>
      <w:r w:rsidRPr="00E957C0">
        <w:rPr>
          <w:rFonts w:eastAsia="Arial Unicode MS" w:cs="Arial Unicode MS"/>
          <w:sz w:val="20"/>
        </w:rPr>
        <w:t xml:space="preserve"> </w:t>
      </w:r>
    </w:p>
    <w:p w:rsidR="003E5B7F" w:rsidRDefault="003E5B7F" w:rsidP="003E5B7F">
      <w:pPr>
        <w:pStyle w:val="NoSpacing"/>
        <w:spacing w:line="276" w:lineRule="auto"/>
        <w:jc w:val="both"/>
      </w:pPr>
      <w:r w:rsidRPr="00B770BC">
        <w:rPr>
          <w:b/>
        </w:rPr>
        <w:t>Purpose</w:t>
      </w:r>
      <w:r w:rsidRPr="00B770BC">
        <w:t xml:space="preserve"> - </w:t>
      </w:r>
      <w:r w:rsidRPr="00412B7B">
        <w:t>Awareness of the deterioration of indoor air quality as a result of energy efficient building design strategies is growing. Apprehensions of the effect of airtight, super insulated envelopes, the reduction of ventilation rates, and the reliance on mechanical systems to provide adequate air supply is promoting emerging new research in this field. This paper discusses recent findings and presents results of an indoor air quality and thermal comfort investigation in UK energy efficient homes, through a case study investigation.</w:t>
      </w:r>
    </w:p>
    <w:p w:rsidR="003E5B7F" w:rsidRPr="00B770BC" w:rsidRDefault="003E5B7F" w:rsidP="003E5B7F">
      <w:pPr>
        <w:pStyle w:val="NoSpacing"/>
        <w:spacing w:line="276" w:lineRule="auto"/>
        <w:jc w:val="both"/>
      </w:pPr>
    </w:p>
    <w:p w:rsidR="003E5B7F" w:rsidRPr="00B770BC" w:rsidRDefault="003E5B7F" w:rsidP="003E5B7F">
      <w:pPr>
        <w:pStyle w:val="NoSpacing"/>
        <w:spacing w:line="276" w:lineRule="auto"/>
        <w:jc w:val="both"/>
      </w:pPr>
      <w:r w:rsidRPr="00B770BC">
        <w:rPr>
          <w:b/>
          <w:color w:val="000000"/>
        </w:rPr>
        <w:t>Design/Methodology/Approach</w:t>
      </w:r>
      <w:r w:rsidRPr="00B770BC">
        <w:rPr>
          <w:color w:val="000000"/>
        </w:rPr>
        <w:t xml:space="preserve"> </w:t>
      </w:r>
      <w:r w:rsidRPr="00B770BC">
        <w:rPr>
          <w:b/>
          <w:color w:val="000000"/>
        </w:rPr>
        <w:t>–</w:t>
      </w:r>
      <w:r w:rsidRPr="00B770BC">
        <w:rPr>
          <w:color w:val="000000"/>
        </w:rPr>
        <w:t xml:space="preserve"> </w:t>
      </w:r>
      <w:r w:rsidRPr="00412B7B">
        <w:rPr>
          <w:color w:val="000000"/>
        </w:rPr>
        <w:t>The case study dwellings consisted of a row of six new build homes which utilize mechanical ventilation with heat recovery (MVHR) systems, are built to an average air tightness of 2m</w:t>
      </w:r>
      <w:r w:rsidRPr="00412B7B">
        <w:rPr>
          <w:color w:val="000000"/>
          <w:vertAlign w:val="superscript"/>
        </w:rPr>
        <w:t>3</w:t>
      </w:r>
      <w:r w:rsidRPr="00412B7B">
        <w:rPr>
          <w:color w:val="000000"/>
        </w:rPr>
        <w:t>/m</w:t>
      </w:r>
      <w:r w:rsidRPr="00412B7B">
        <w:rPr>
          <w:color w:val="000000"/>
          <w:vertAlign w:val="superscript"/>
        </w:rPr>
        <w:t>2</w:t>
      </w:r>
      <w:r w:rsidRPr="00412B7B">
        <w:rPr>
          <w:color w:val="000000"/>
        </w:rPr>
        <w:t>/hr @ 50 Pascal’s, and constructed without a central heating system.  Physical indoor air quality measurements and occupant interviews were conducted during the summer and winter months over a 24 hour period</w:t>
      </w:r>
      <w:r>
        <w:rPr>
          <w:color w:val="000000"/>
        </w:rPr>
        <w:t xml:space="preserve">, </w:t>
      </w:r>
      <w:r w:rsidRPr="00E97DF6">
        <w:rPr>
          <w:lang w:val="en-US"/>
        </w:rPr>
        <w:t>to gain information on occupant activities, perception of the interior environment, building related health and building use</w:t>
      </w:r>
      <w:r>
        <w:rPr>
          <w:lang w:val="en-US"/>
        </w:rPr>
        <w:t>.</w:t>
      </w:r>
    </w:p>
    <w:p w:rsidR="003E5B7F" w:rsidRPr="00B770BC" w:rsidRDefault="003E5B7F" w:rsidP="003E5B7F">
      <w:pPr>
        <w:pStyle w:val="NoSpacing"/>
        <w:spacing w:line="276" w:lineRule="auto"/>
        <w:jc w:val="both"/>
      </w:pPr>
    </w:p>
    <w:p w:rsidR="003E5B7F" w:rsidRPr="00412B7B" w:rsidRDefault="003E5B7F" w:rsidP="003E5B7F">
      <w:pPr>
        <w:pStyle w:val="NoSpacing"/>
        <w:spacing w:line="276" w:lineRule="auto"/>
        <w:jc w:val="both"/>
        <w:rPr>
          <w:color w:val="000000"/>
          <w:lang w:val="en-US"/>
        </w:rPr>
      </w:pPr>
      <w:r w:rsidRPr="00B770BC">
        <w:rPr>
          <w:b/>
          <w:color w:val="000000"/>
        </w:rPr>
        <w:t>Findings</w:t>
      </w:r>
      <w:r w:rsidRPr="00B770BC">
        <w:rPr>
          <w:color w:val="000000"/>
        </w:rPr>
        <w:t xml:space="preserve"> </w:t>
      </w:r>
      <w:r w:rsidRPr="00B770BC">
        <w:rPr>
          <w:b/>
          <w:color w:val="000000"/>
        </w:rPr>
        <w:t xml:space="preserve">– </w:t>
      </w:r>
      <w:r w:rsidRPr="00412B7B">
        <w:rPr>
          <w:color w:val="000000"/>
          <w:lang w:val="en-US"/>
        </w:rPr>
        <w:t xml:space="preserve">The results suggest inadequate indoor air quality and perceived thermal comfort, insufficient use of purge ventilation, presence of fungal growth, significant variances in heating patterns, occurrence of Sick Building Syndrome (SBS) symptoms and issues with the MVHR system. </w:t>
      </w:r>
    </w:p>
    <w:p w:rsidR="003E5B7F" w:rsidRPr="00B770BC" w:rsidRDefault="003E5B7F" w:rsidP="003E5B7F">
      <w:pPr>
        <w:pStyle w:val="NoSpacing"/>
        <w:spacing w:line="276" w:lineRule="auto"/>
        <w:jc w:val="both"/>
      </w:pPr>
    </w:p>
    <w:p w:rsidR="003E5B7F" w:rsidRPr="00B770BC" w:rsidRDefault="003E5B7F" w:rsidP="003E5B7F">
      <w:pPr>
        <w:pStyle w:val="NoSpacing"/>
        <w:spacing w:line="276" w:lineRule="auto"/>
        <w:jc w:val="both"/>
      </w:pPr>
      <w:r w:rsidRPr="00B770BC">
        <w:rPr>
          <w:b/>
          <w:color w:val="000000"/>
        </w:rPr>
        <w:t>Practical Implications</w:t>
      </w:r>
      <w:r w:rsidRPr="00B770BC">
        <w:rPr>
          <w:color w:val="000000"/>
        </w:rPr>
        <w:t xml:space="preserve"> </w:t>
      </w:r>
      <w:r w:rsidRPr="00B770BC">
        <w:rPr>
          <w:b/>
          <w:color w:val="000000"/>
        </w:rPr>
        <w:t xml:space="preserve">– </w:t>
      </w:r>
      <w:r w:rsidRPr="00E97DF6">
        <w:rPr>
          <w:color w:val="000000"/>
          <w:lang w:val="en-US"/>
        </w:rPr>
        <w:t>The findings will provide relevant data on the applicability of air-tight, mechanically ventilated homes in a UK climate, with particular reference to indoor air quality</w:t>
      </w:r>
      <w:r w:rsidRPr="00B770BC">
        <w:t>.</w:t>
      </w:r>
    </w:p>
    <w:p w:rsidR="003E5B7F" w:rsidRPr="00B770BC" w:rsidRDefault="003E5B7F" w:rsidP="003E5B7F">
      <w:pPr>
        <w:pStyle w:val="NoSpacing"/>
        <w:spacing w:line="276" w:lineRule="auto"/>
        <w:jc w:val="both"/>
      </w:pPr>
    </w:p>
    <w:p w:rsidR="003E5B7F" w:rsidRPr="00B770BC" w:rsidRDefault="003E5B7F" w:rsidP="003E5B7F">
      <w:pPr>
        <w:pStyle w:val="NoSpacing"/>
        <w:spacing w:line="276" w:lineRule="auto"/>
        <w:jc w:val="both"/>
      </w:pPr>
      <w:r w:rsidRPr="00B770BC">
        <w:rPr>
          <w:b/>
          <w:color w:val="000000"/>
        </w:rPr>
        <w:t>Originality/Value</w:t>
      </w:r>
      <w:r w:rsidRPr="00B770BC">
        <w:rPr>
          <w:color w:val="000000"/>
        </w:rPr>
        <w:t xml:space="preserve"> </w:t>
      </w:r>
      <w:r w:rsidRPr="00B770BC">
        <w:rPr>
          <w:b/>
          <w:color w:val="000000"/>
        </w:rPr>
        <w:t>–</w:t>
      </w:r>
      <w:r w:rsidRPr="00B770BC">
        <w:t xml:space="preserve"> </w:t>
      </w:r>
      <w:r w:rsidRPr="00412B7B">
        <w:t>Indoor air quality (IAQ) data of this nature is essentially lacking, particularly in the UK context.</w:t>
      </w:r>
      <w:r>
        <w:t xml:space="preserve"> </w:t>
      </w:r>
      <w:r>
        <w:rPr>
          <w:lang w:val="en-US"/>
        </w:rPr>
        <w:t>The findings will</w:t>
      </w:r>
      <w:r w:rsidRPr="00E97DF6">
        <w:rPr>
          <w:lang w:val="en-US"/>
        </w:rPr>
        <w:t xml:space="preserve"> aid the development of effective sustainable building design that is appropriate to localized climatic conditions and sensitive to the health of building occupants.</w:t>
      </w:r>
    </w:p>
    <w:p w:rsidR="00C9764D" w:rsidRDefault="00C9764D" w:rsidP="003E5B7F">
      <w:pPr>
        <w:pStyle w:val="abstract"/>
        <w:spacing w:after="0" w:line="240" w:lineRule="auto"/>
        <w:ind w:left="0" w:right="-46"/>
        <w:jc w:val="both"/>
        <w:rPr>
          <w:rFonts w:eastAsia="Arial Unicode MS" w:cs="Arial Unicode MS"/>
        </w:rPr>
      </w:pPr>
      <w:r w:rsidRPr="00D73287">
        <w:rPr>
          <w:rFonts w:eastAsia="Arial Unicode MS" w:cs="Arial Unicode MS"/>
          <w:b/>
        </w:rPr>
        <w:t>Keywords</w:t>
      </w:r>
      <w:r w:rsidR="003E5B7F">
        <w:rPr>
          <w:rFonts w:eastAsia="Arial Unicode MS" w:cs="Arial Unicode MS"/>
          <w:b/>
        </w:rPr>
        <w:t>:</w:t>
      </w:r>
      <w:r w:rsidRPr="00D73287">
        <w:rPr>
          <w:rFonts w:eastAsia="Arial Unicode MS" w:cs="Arial Unicode MS"/>
        </w:rPr>
        <w:t xml:space="preserve"> </w:t>
      </w:r>
      <w:r w:rsidR="00F712ED">
        <w:rPr>
          <w:rFonts w:eastAsia="Arial Unicode MS" w:cs="Arial Unicode MS"/>
        </w:rPr>
        <w:t>Indoor air quality; Energy E</w:t>
      </w:r>
      <w:r w:rsidR="00AD639D">
        <w:rPr>
          <w:rFonts w:eastAsia="Arial Unicode MS" w:cs="Arial Unicode MS"/>
        </w:rPr>
        <w:t>fficiency;</w:t>
      </w:r>
      <w:r w:rsidR="005A501A">
        <w:rPr>
          <w:rFonts w:eastAsia="Arial Unicode MS" w:cs="Arial Unicode MS"/>
        </w:rPr>
        <w:t xml:space="preserve"> </w:t>
      </w:r>
      <w:r w:rsidR="00F712ED">
        <w:rPr>
          <w:rFonts w:eastAsia="Arial Unicode MS" w:cs="Arial Unicode MS"/>
          <w:sz w:val="20"/>
        </w:rPr>
        <w:t>Sick Building Syndrome (SBS) S</w:t>
      </w:r>
      <w:r w:rsidR="00AD639D" w:rsidRPr="00E957C0">
        <w:rPr>
          <w:rFonts w:eastAsia="Arial Unicode MS" w:cs="Arial Unicode MS"/>
          <w:sz w:val="20"/>
        </w:rPr>
        <w:t>ymptoms</w:t>
      </w:r>
      <w:r w:rsidR="005A501A">
        <w:rPr>
          <w:rFonts w:eastAsia="Arial Unicode MS" w:cs="Arial Unicode MS"/>
        </w:rPr>
        <w:t xml:space="preserve">, </w:t>
      </w:r>
      <w:r w:rsidR="00F712ED">
        <w:rPr>
          <w:rFonts w:eastAsia="Arial Unicode MS" w:cs="Arial Unicode MS"/>
        </w:rPr>
        <w:t>Thermal C</w:t>
      </w:r>
      <w:r w:rsidR="00AD639D">
        <w:rPr>
          <w:rFonts w:eastAsia="Arial Unicode MS" w:cs="Arial Unicode MS"/>
        </w:rPr>
        <w:t xml:space="preserve">omfort; </w:t>
      </w:r>
      <w:r w:rsidR="00F712ED">
        <w:rPr>
          <w:rFonts w:eastAsia="Arial Unicode MS" w:cs="Arial Unicode MS"/>
        </w:rPr>
        <w:t>Case S</w:t>
      </w:r>
      <w:r w:rsidR="00AD639D">
        <w:rPr>
          <w:rFonts w:eastAsia="Arial Unicode MS" w:cs="Arial Unicode MS"/>
        </w:rPr>
        <w:t>tudy;</w:t>
      </w:r>
      <w:r w:rsidR="005A501A">
        <w:rPr>
          <w:rFonts w:eastAsia="Arial Unicode MS" w:cs="Arial Unicode MS"/>
        </w:rPr>
        <w:t xml:space="preserve"> UK</w:t>
      </w:r>
    </w:p>
    <w:p w:rsidR="00DD4A10" w:rsidRDefault="00DD4A10" w:rsidP="00E957C0">
      <w:pPr>
        <w:pStyle w:val="abstract"/>
        <w:spacing w:after="0" w:line="240" w:lineRule="auto"/>
        <w:ind w:left="0" w:right="-46"/>
        <w:jc w:val="both"/>
        <w:rPr>
          <w:rFonts w:eastAsia="Arial Unicode MS" w:cs="Arial Unicode MS"/>
        </w:rPr>
      </w:pPr>
    </w:p>
    <w:p w:rsidR="00DD4A10" w:rsidRDefault="00DD4A10" w:rsidP="00E957C0">
      <w:pPr>
        <w:pStyle w:val="abstract"/>
        <w:spacing w:after="0" w:line="240" w:lineRule="auto"/>
        <w:ind w:left="0" w:right="-46"/>
        <w:jc w:val="both"/>
        <w:rPr>
          <w:rFonts w:eastAsia="Arial Unicode MS" w:cs="Arial Unicode MS"/>
        </w:rPr>
      </w:pPr>
    </w:p>
    <w:p w:rsidR="005A501A" w:rsidRPr="005A501A" w:rsidRDefault="00C9764D" w:rsidP="005A501A">
      <w:pPr>
        <w:pStyle w:val="Heading10"/>
        <w:numPr>
          <w:ilvl w:val="0"/>
          <w:numId w:val="10"/>
        </w:numPr>
        <w:rPr>
          <w:rFonts w:ascii="Arial Unicode MS" w:eastAsia="Arial Unicode MS" w:hAnsi="Arial Unicode MS" w:cs="Arial Unicode MS"/>
        </w:rPr>
      </w:pPr>
      <w:r w:rsidRPr="004941C4">
        <w:rPr>
          <w:rFonts w:eastAsia="Arial Unicode MS" w:cs="Arial"/>
        </w:rPr>
        <w:t>Introduction</w:t>
      </w:r>
    </w:p>
    <w:p w:rsidR="005A501A" w:rsidRPr="00472335" w:rsidRDefault="005A501A" w:rsidP="005A501A">
      <w:pPr>
        <w:pStyle w:val="06BodyMaintext"/>
        <w:spacing w:line="240" w:lineRule="auto"/>
        <w:ind w:right="95" w:firstLine="0"/>
        <w:rPr>
          <w:rFonts w:ascii="Arial Unicode MS" w:eastAsia="Arial Unicode MS" w:hAnsi="Arial Unicode MS" w:cs="Arial Unicode MS"/>
          <w:sz w:val="20"/>
        </w:rPr>
      </w:pPr>
      <w:r w:rsidRPr="00472335">
        <w:rPr>
          <w:rFonts w:ascii="Arial Unicode MS" w:eastAsia="Arial Unicode MS" w:hAnsi="Arial Unicode MS" w:cs="Arial Unicode MS"/>
          <w:sz w:val="20"/>
        </w:rPr>
        <w:t xml:space="preserve">Household energy use accounts for over a quarter of the total energy consumption and subsequent carbon dioxide emissions in the UK </w:t>
      </w:r>
      <w:r w:rsidR="007F40FF" w:rsidRPr="00472335">
        <w:rPr>
          <w:rFonts w:ascii="Arial Unicode MS" w:eastAsia="Arial Unicode MS" w:hAnsi="Arial Unicode MS" w:cs="Arial Unicode MS"/>
          <w:sz w:val="20"/>
        </w:rPr>
        <w:fldChar w:fldCharType="begin"/>
      </w:r>
      <w:r w:rsidR="0007252F" w:rsidRPr="00472335">
        <w:rPr>
          <w:rFonts w:ascii="Arial Unicode MS" w:eastAsia="Arial Unicode MS" w:hAnsi="Arial Unicode MS" w:cs="Arial Unicode MS"/>
          <w:sz w:val="20"/>
        </w:rPr>
        <w:instrText>ADDIN RW.CITE{{568 Palmer,Jason 2011}}</w:instrText>
      </w:r>
      <w:r w:rsidR="007F40FF" w:rsidRPr="00472335">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(Palmer et al. 2011)</w:t>
      </w:r>
      <w:r w:rsidR="007F40FF" w:rsidRPr="00472335">
        <w:rPr>
          <w:rFonts w:ascii="Arial Unicode MS" w:eastAsia="Arial Unicode MS" w:hAnsi="Arial Unicode MS" w:cs="Arial Unicode MS"/>
          <w:sz w:val="20"/>
        </w:rPr>
        <w:fldChar w:fldCharType="end"/>
      </w:r>
      <w:r w:rsidR="0007252F" w:rsidRPr="00472335">
        <w:rPr>
          <w:rFonts w:ascii="Arial Unicode MS" w:eastAsia="Arial Unicode MS" w:hAnsi="Arial Unicode MS" w:cs="Arial Unicode MS"/>
          <w:sz w:val="20"/>
        </w:rPr>
        <w:t>.</w:t>
      </w:r>
      <w:r w:rsidRPr="00472335">
        <w:rPr>
          <w:rFonts w:ascii="Arial Unicode MS" w:eastAsia="Arial Unicode MS" w:hAnsi="Arial Unicode MS" w:cs="Arial Unicode MS"/>
          <w:sz w:val="20"/>
        </w:rPr>
        <w:t xml:space="preserve"> Through the introduction of the Climate Change Act </w:t>
      </w:r>
      <w:r w:rsidR="007F40FF" w:rsidRPr="00472335">
        <w:rPr>
          <w:rFonts w:ascii="Arial Unicode MS" w:eastAsia="Arial Unicode MS" w:hAnsi="Arial Unicode MS" w:cs="Arial Unicode MS"/>
          <w:sz w:val="20"/>
        </w:rPr>
        <w:fldChar w:fldCharType="begin"/>
      </w:r>
      <w:r w:rsidR="0007252F" w:rsidRPr="00472335">
        <w:rPr>
          <w:rFonts w:ascii="Arial Unicode MS" w:eastAsia="Arial Unicode MS" w:hAnsi="Arial Unicode MS" w:cs="Arial Unicode MS"/>
          <w:sz w:val="20"/>
        </w:rPr>
        <w:instrText>ADDIN RW.CITE{{429 HMGovernment 2008}}</w:instrText>
      </w:r>
      <w:r w:rsidR="007F40FF" w:rsidRPr="00472335">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(HM Government 2008)</w:t>
      </w:r>
      <w:r w:rsidR="007F40FF" w:rsidRPr="00472335">
        <w:rPr>
          <w:rFonts w:ascii="Arial Unicode MS" w:eastAsia="Arial Unicode MS" w:hAnsi="Arial Unicode MS" w:cs="Arial Unicode MS"/>
          <w:sz w:val="20"/>
        </w:rPr>
        <w:fldChar w:fldCharType="end"/>
      </w:r>
      <w:r w:rsidRPr="00472335">
        <w:rPr>
          <w:rFonts w:ascii="Arial Unicode MS" w:eastAsia="Arial Unicode MS" w:hAnsi="Arial Unicode MS" w:cs="Arial Unicode MS"/>
          <w:sz w:val="20"/>
        </w:rPr>
        <w:t xml:space="preserve">, a legally binding target of an 80% reduction in carbon emissions by 2050 from 1990 figures has been established by the UK parliament </w:t>
      </w:r>
      <w:r w:rsidR="007F40FF" w:rsidRPr="00472335">
        <w:rPr>
          <w:rFonts w:ascii="Arial Unicode MS" w:eastAsia="Arial Unicode MS" w:hAnsi="Arial Unicode MS" w:cs="Arial Unicode MS"/>
          <w:sz w:val="20"/>
        </w:rPr>
        <w:fldChar w:fldCharType="begin"/>
      </w:r>
      <w:r w:rsidR="0007252F" w:rsidRPr="00472335">
        <w:rPr>
          <w:rFonts w:ascii="Arial Unicode MS" w:eastAsia="Arial Unicode MS" w:hAnsi="Arial Unicode MS" w:cs="Arial Unicode MS"/>
          <w:sz w:val="20"/>
        </w:rPr>
        <w:instrText>ADDIN RW.CITE{{552 DEFRA 2007}}</w:instrText>
      </w:r>
      <w:r w:rsidR="007F40FF" w:rsidRPr="00472335">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(DEFRA 2007)</w:t>
      </w:r>
      <w:r w:rsidR="007F40FF" w:rsidRPr="00472335">
        <w:rPr>
          <w:rFonts w:ascii="Arial Unicode MS" w:eastAsia="Arial Unicode MS" w:hAnsi="Arial Unicode MS" w:cs="Arial Unicode MS"/>
          <w:sz w:val="20"/>
        </w:rPr>
        <w:fldChar w:fldCharType="end"/>
      </w:r>
      <w:r w:rsidRPr="00472335">
        <w:rPr>
          <w:rFonts w:ascii="Arial Unicode MS" w:eastAsia="Arial Unicode MS" w:hAnsi="Arial Unicode MS" w:cs="Arial Unicode MS"/>
          <w:sz w:val="20"/>
        </w:rPr>
        <w:t xml:space="preserve">. As </w:t>
      </w:r>
      <w:r w:rsidRPr="00472335">
        <w:rPr>
          <w:rFonts w:ascii="Arial Unicode MS" w:eastAsia="Arial Unicode MS" w:hAnsi="Arial Unicode MS" w:cs="Arial Unicode MS"/>
          <w:sz w:val="20"/>
        </w:rPr>
        <w:lastRenderedPageBreak/>
        <w:t xml:space="preserve">a result, there has been a significant drive towards low energy and/or energy efficient housing designs and refurbishment strategies. Rigorous changes to </w:t>
      </w:r>
      <w:r w:rsidR="00707A28" w:rsidRPr="00472335">
        <w:rPr>
          <w:rFonts w:ascii="Arial Unicode MS" w:eastAsia="Arial Unicode MS" w:hAnsi="Arial Unicode MS" w:cs="Arial Unicode MS"/>
          <w:sz w:val="20"/>
        </w:rPr>
        <w:t xml:space="preserve">  </w:t>
      </w:r>
      <w:r w:rsidRPr="00472335">
        <w:rPr>
          <w:rFonts w:ascii="Arial Unicode MS" w:eastAsia="Arial Unicode MS" w:hAnsi="Arial Unicode MS" w:cs="Arial Unicode MS"/>
          <w:sz w:val="20"/>
        </w:rPr>
        <w:t xml:space="preserve">UK building regulations require all new dwellings to achieve a maximum permissible air permeability of 10m3/(h.m2) @50Pa, Target Emission Rates (TER), and maximum U-values for building elements </w:t>
      </w:r>
      <w:r w:rsidR="007F40FF" w:rsidRPr="00472335">
        <w:rPr>
          <w:rFonts w:ascii="Arial Unicode MS" w:eastAsia="Arial Unicode MS" w:hAnsi="Arial Unicode MS" w:cs="Arial Unicode MS"/>
          <w:sz w:val="20"/>
        </w:rPr>
        <w:fldChar w:fldCharType="begin"/>
      </w:r>
      <w:r w:rsidR="0007252F" w:rsidRPr="00472335">
        <w:rPr>
          <w:rFonts w:ascii="Arial Unicode MS" w:eastAsia="Arial Unicode MS" w:hAnsi="Arial Unicode MS" w:cs="Arial Unicode MS"/>
          <w:sz w:val="20"/>
        </w:rPr>
        <w:instrText>ADDIN RW.CITE{{553 DFPNI(DepartmentofFinanceandPersonnelNI) 2012}}</w:instrText>
      </w:r>
      <w:r w:rsidR="007F40FF" w:rsidRPr="00472335">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(DFPNI (Department of Finance and Personnel NI) 2012)</w:t>
      </w:r>
      <w:r w:rsidR="007F40FF" w:rsidRPr="00472335">
        <w:rPr>
          <w:rFonts w:ascii="Arial Unicode MS" w:eastAsia="Arial Unicode MS" w:hAnsi="Arial Unicode MS" w:cs="Arial Unicode MS"/>
          <w:sz w:val="20"/>
        </w:rPr>
        <w:fldChar w:fldCharType="end"/>
      </w:r>
      <w:r w:rsidRPr="00472335">
        <w:rPr>
          <w:rFonts w:ascii="Arial Unicode MS" w:eastAsia="Arial Unicode MS" w:hAnsi="Arial Unicode MS" w:cs="Arial Unicode MS"/>
          <w:sz w:val="20"/>
        </w:rPr>
        <w:t xml:space="preserve">. Mandatory airtightness tests are therefore necessary for all (or samples of) new build UK dwellings </w:t>
      </w:r>
      <w:r w:rsidR="007F40FF" w:rsidRPr="00472335">
        <w:rPr>
          <w:rFonts w:ascii="Arial Unicode MS" w:eastAsia="Arial Unicode MS" w:hAnsi="Arial Unicode MS" w:cs="Arial Unicode MS"/>
          <w:sz w:val="20"/>
        </w:rPr>
        <w:fldChar w:fldCharType="begin"/>
      </w:r>
      <w:r w:rsidR="0007252F" w:rsidRPr="00472335">
        <w:rPr>
          <w:rFonts w:ascii="Arial Unicode MS" w:eastAsia="Arial Unicode MS" w:hAnsi="Arial Unicode MS" w:cs="Arial Unicode MS"/>
          <w:sz w:val="20"/>
        </w:rPr>
        <w:instrText>ADDIN RW.CITE{{558 EnergySavingTrust 2007; 562 Jaggs,M 2009}}</w:instrText>
      </w:r>
      <w:r w:rsidR="007F40FF" w:rsidRPr="00472335">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(Energy Saving Trust 2007, Jaggs, Scivyer 2009)</w:t>
      </w:r>
      <w:r w:rsidR="007F40FF" w:rsidRPr="00472335">
        <w:rPr>
          <w:rFonts w:ascii="Arial Unicode MS" w:eastAsia="Arial Unicode MS" w:hAnsi="Arial Unicode MS" w:cs="Arial Unicode MS"/>
          <w:sz w:val="20"/>
        </w:rPr>
        <w:fldChar w:fldCharType="end"/>
      </w:r>
      <w:r w:rsidR="0007252F" w:rsidRPr="00472335">
        <w:rPr>
          <w:rFonts w:ascii="Arial Unicode MS" w:eastAsia="Arial Unicode MS" w:hAnsi="Arial Unicode MS" w:cs="Arial Unicode MS"/>
          <w:sz w:val="20"/>
        </w:rPr>
        <w:t>.</w:t>
      </w:r>
      <w:r w:rsidRPr="00472335">
        <w:rPr>
          <w:rFonts w:ascii="Arial Unicode MS" w:eastAsia="Arial Unicode MS" w:hAnsi="Arial Unicode MS" w:cs="Arial Unicode MS"/>
          <w:sz w:val="20"/>
        </w:rPr>
        <w:t xml:space="preserve"> In response however, modern buildings are significantly exceeding airtightness standards legislated by UK building regulations, with achievable air airtightness values of 3-4m3/(h.m2) @50Pa utilizing standard methods of construction </w:t>
      </w:r>
      <w:r w:rsidR="007F40FF" w:rsidRPr="00472335">
        <w:rPr>
          <w:rFonts w:ascii="Arial Unicode MS" w:eastAsia="Arial Unicode MS" w:hAnsi="Arial Unicode MS" w:cs="Arial Unicode MS"/>
          <w:sz w:val="20"/>
        </w:rPr>
        <w:fldChar w:fldCharType="begin"/>
      </w:r>
      <w:r w:rsidR="0007252F" w:rsidRPr="00472335">
        <w:rPr>
          <w:rFonts w:ascii="Arial Unicode MS" w:eastAsia="Arial Unicode MS" w:hAnsi="Arial Unicode MS" w:cs="Arial Unicode MS"/>
          <w:sz w:val="20"/>
        </w:rPr>
        <w:instrText>ADDIN RW.CITE{{280 Yu,C.W.F. 2012}}</w:instrText>
      </w:r>
      <w:r w:rsidR="007F40FF" w:rsidRPr="00472335">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(Yu, Kim 2012)</w:t>
      </w:r>
      <w:r w:rsidR="007F40FF" w:rsidRPr="00472335">
        <w:rPr>
          <w:rFonts w:ascii="Arial Unicode MS" w:eastAsia="Arial Unicode MS" w:hAnsi="Arial Unicode MS" w:cs="Arial Unicode MS"/>
          <w:sz w:val="20"/>
        </w:rPr>
        <w:fldChar w:fldCharType="end"/>
      </w:r>
      <w:r w:rsidRPr="00472335">
        <w:rPr>
          <w:rFonts w:ascii="Arial Unicode MS" w:eastAsia="Arial Unicode MS" w:hAnsi="Arial Unicode MS" w:cs="Arial Unicode MS"/>
          <w:sz w:val="20"/>
        </w:rPr>
        <w:t>.</w:t>
      </w:r>
    </w:p>
    <w:p w:rsidR="005A501A" w:rsidRPr="00472335" w:rsidRDefault="005A501A" w:rsidP="005A501A">
      <w:pPr>
        <w:pStyle w:val="06BodyMaintext"/>
        <w:spacing w:line="240" w:lineRule="auto"/>
        <w:ind w:right="95" w:firstLine="0"/>
        <w:rPr>
          <w:rFonts w:ascii="Arial Unicode MS" w:eastAsia="Arial Unicode MS" w:hAnsi="Arial Unicode MS" w:cs="Arial Unicode MS"/>
          <w:sz w:val="20"/>
        </w:rPr>
      </w:pPr>
    </w:p>
    <w:p w:rsidR="005A501A" w:rsidRPr="00472335" w:rsidRDefault="005A501A" w:rsidP="005A501A">
      <w:pPr>
        <w:pStyle w:val="06BodyMaintext"/>
        <w:spacing w:line="240" w:lineRule="auto"/>
        <w:ind w:right="95" w:firstLine="0"/>
        <w:rPr>
          <w:rFonts w:ascii="Arial Unicode MS" w:eastAsia="Arial Unicode MS" w:hAnsi="Arial Unicode MS" w:cs="Arial Unicode MS"/>
          <w:sz w:val="20"/>
        </w:rPr>
      </w:pPr>
      <w:r w:rsidRPr="00472335">
        <w:rPr>
          <w:rFonts w:ascii="Arial Unicode MS" w:eastAsia="Arial Unicode MS" w:hAnsi="Arial Unicode MS" w:cs="Arial Unicode MS"/>
          <w:sz w:val="20"/>
        </w:rPr>
        <w:t xml:space="preserve">Emphasis on airtightness and fabric efficiency is likely to increase, given the UK target of zero carbon new build homes by 2016 </w:t>
      </w:r>
      <w:r w:rsidR="007F40FF" w:rsidRPr="00472335">
        <w:rPr>
          <w:rFonts w:ascii="Arial Unicode MS" w:eastAsia="Arial Unicode MS" w:hAnsi="Arial Unicode MS" w:cs="Arial Unicode MS"/>
          <w:sz w:val="20"/>
        </w:rPr>
        <w:fldChar w:fldCharType="begin"/>
      </w:r>
      <w:r w:rsidR="00D46611" w:rsidRPr="00472335">
        <w:rPr>
          <w:rFonts w:ascii="Arial Unicode MS" w:eastAsia="Arial Unicode MS" w:hAnsi="Arial Unicode MS" w:cs="Arial Unicode MS"/>
          <w:sz w:val="20"/>
        </w:rPr>
        <w:instrText>ADDIN RW.CITE{{574 Zerocarbonhub 2013}}</w:instrText>
      </w:r>
      <w:r w:rsidR="007F40FF" w:rsidRPr="00472335">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(Zero carbon hub, NHBC 2013)</w:t>
      </w:r>
      <w:r w:rsidR="007F40FF" w:rsidRPr="00472335">
        <w:rPr>
          <w:rFonts w:ascii="Arial Unicode MS" w:eastAsia="Arial Unicode MS" w:hAnsi="Arial Unicode MS" w:cs="Arial Unicode MS"/>
          <w:sz w:val="20"/>
        </w:rPr>
        <w:fldChar w:fldCharType="end"/>
      </w:r>
      <w:r w:rsidR="00D46611" w:rsidRPr="00472335">
        <w:rPr>
          <w:rFonts w:ascii="Arial Unicode MS" w:eastAsia="Arial Unicode MS" w:hAnsi="Arial Unicode MS" w:cs="Arial Unicode MS"/>
          <w:sz w:val="20"/>
        </w:rPr>
        <w:t>.</w:t>
      </w:r>
      <w:r w:rsidRPr="00472335">
        <w:rPr>
          <w:rFonts w:ascii="Arial Unicode MS" w:eastAsia="Arial Unicode MS" w:hAnsi="Arial Unicode MS" w:cs="Arial Unicode MS"/>
          <w:sz w:val="20"/>
        </w:rPr>
        <w:t xml:space="preserve"> The consequences of these design strategies on the quality of the i</w:t>
      </w:r>
      <w:r w:rsidR="009633F9">
        <w:rPr>
          <w:rFonts w:ascii="Arial Unicode MS" w:eastAsia="Arial Unicode MS" w:hAnsi="Arial Unicode MS" w:cs="Arial Unicode MS"/>
          <w:sz w:val="20"/>
        </w:rPr>
        <w:t>ndoor</w:t>
      </w:r>
      <w:r w:rsidRPr="00472335">
        <w:rPr>
          <w:rFonts w:ascii="Arial Unicode MS" w:eastAsia="Arial Unicode MS" w:hAnsi="Arial Unicode MS" w:cs="Arial Unicode MS"/>
          <w:sz w:val="20"/>
        </w:rPr>
        <w:t xml:space="preserve"> environment however are generally unknown. As suggested by the Innovation and Growth Team </w:t>
      </w:r>
      <w:r w:rsidR="007F40FF" w:rsidRPr="00472335">
        <w:rPr>
          <w:rFonts w:ascii="Arial Unicode MS" w:eastAsia="Arial Unicode MS" w:hAnsi="Arial Unicode MS" w:cs="Arial Unicode MS"/>
          <w:sz w:val="20"/>
        </w:rPr>
        <w:fldChar w:fldCharType="begin"/>
      </w:r>
      <w:r w:rsidR="00AF0C6D">
        <w:rPr>
          <w:rFonts w:ascii="Arial Unicode MS" w:eastAsia="Arial Unicode MS" w:hAnsi="Arial Unicode MS" w:cs="Arial Unicode MS"/>
          <w:sz w:val="20"/>
        </w:rPr>
        <w:instrText>ADDIN RW.CITE{{484 Innovation&amp;GrowthTeam 2010 /a}}</w:instrText>
      </w:r>
      <w:r w:rsidR="007F40FF" w:rsidRPr="00472335">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(2010)</w:t>
      </w:r>
      <w:r w:rsidR="007F40FF" w:rsidRPr="00472335">
        <w:rPr>
          <w:rFonts w:ascii="Arial Unicode MS" w:eastAsia="Arial Unicode MS" w:hAnsi="Arial Unicode MS" w:cs="Arial Unicode MS"/>
          <w:sz w:val="20"/>
        </w:rPr>
        <w:fldChar w:fldCharType="end"/>
      </w:r>
      <w:r w:rsidR="00D46611" w:rsidRPr="00472335">
        <w:rPr>
          <w:rFonts w:ascii="Arial Unicode MS" w:eastAsia="Arial Unicode MS" w:hAnsi="Arial Unicode MS" w:cs="Arial Unicode MS"/>
          <w:sz w:val="20"/>
        </w:rPr>
        <w:t>,</w:t>
      </w:r>
      <w:r w:rsidR="00472335">
        <w:rPr>
          <w:rFonts w:ascii="Arial Unicode MS" w:eastAsia="Arial Unicode MS" w:hAnsi="Arial Unicode MS" w:cs="Arial Unicode MS"/>
          <w:sz w:val="20"/>
        </w:rPr>
        <w:t xml:space="preserve"> there is a “</w:t>
      </w:r>
      <w:r w:rsidRPr="00472335">
        <w:rPr>
          <w:rFonts w:ascii="Arial Unicode MS" w:eastAsia="Arial Unicode MS" w:hAnsi="Arial Unicode MS" w:cs="Arial Unicode MS"/>
          <w:sz w:val="20"/>
        </w:rPr>
        <w:t>worrying absence of skills regarding indoor air quali</w:t>
      </w:r>
      <w:r w:rsidR="00472335">
        <w:rPr>
          <w:rFonts w:ascii="Arial Unicode MS" w:eastAsia="Arial Unicode MS" w:hAnsi="Arial Unicode MS" w:cs="Arial Unicode MS"/>
          <w:sz w:val="20"/>
        </w:rPr>
        <w:t>ty in low carbon buildings”, which “</w:t>
      </w:r>
      <w:r w:rsidRPr="00472335">
        <w:rPr>
          <w:rFonts w:ascii="Arial Unicode MS" w:eastAsia="Arial Unicode MS" w:hAnsi="Arial Unicode MS" w:cs="Arial Unicode MS"/>
          <w:sz w:val="20"/>
        </w:rPr>
        <w:t>sh</w:t>
      </w:r>
      <w:r w:rsidR="00472335">
        <w:rPr>
          <w:rFonts w:ascii="Arial Unicode MS" w:eastAsia="Arial Unicode MS" w:hAnsi="Arial Unicode MS" w:cs="Arial Unicode MS"/>
          <w:sz w:val="20"/>
        </w:rPr>
        <w:t>ould be addressed as a priority”</w:t>
      </w:r>
      <w:r w:rsidRPr="00472335">
        <w:rPr>
          <w:rFonts w:ascii="Arial Unicode MS" w:eastAsia="Arial Unicode MS" w:hAnsi="Arial Unicode MS" w:cs="Arial Unicode MS"/>
          <w:sz w:val="20"/>
        </w:rPr>
        <w:t xml:space="preserve">. This is supported by VIAQ Task Group </w:t>
      </w:r>
      <w:r w:rsidR="007F40FF" w:rsidRPr="00472335">
        <w:rPr>
          <w:rFonts w:ascii="Arial Unicode MS" w:eastAsia="Arial Unicode MS" w:hAnsi="Arial Unicode MS" w:cs="Arial Unicode MS"/>
          <w:sz w:val="20"/>
        </w:rPr>
        <w:fldChar w:fldCharType="begin"/>
      </w:r>
      <w:r w:rsidR="00D46611" w:rsidRPr="00472335">
        <w:rPr>
          <w:rFonts w:ascii="Arial Unicode MS" w:eastAsia="Arial Unicode MS" w:hAnsi="Arial Unicode MS" w:cs="Arial Unicode MS"/>
          <w:sz w:val="20"/>
        </w:rPr>
        <w:instrText>ADDIN RW.CITE{{364 Sullivan,L. 2012}}</w:instrText>
      </w:r>
      <w:r w:rsidR="007F40FF" w:rsidRPr="00472335">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(Sullivan et al. 2012)</w:t>
      </w:r>
      <w:r w:rsidR="007F40FF" w:rsidRPr="00472335">
        <w:rPr>
          <w:rFonts w:ascii="Arial Unicode MS" w:eastAsia="Arial Unicode MS" w:hAnsi="Arial Unicode MS" w:cs="Arial Unicode MS"/>
          <w:sz w:val="20"/>
        </w:rPr>
        <w:fldChar w:fldCharType="end"/>
      </w:r>
      <w:r w:rsidRPr="00472335">
        <w:rPr>
          <w:rFonts w:ascii="Arial Unicode MS" w:eastAsia="Arial Unicode MS" w:hAnsi="Arial Unicode MS" w:cs="Arial Unicode MS"/>
          <w:sz w:val="20"/>
        </w:rPr>
        <w:t xml:space="preserve">, who state further evidence on the effect of MVHR on IAQ in homes is required as a matter of urgently. </w:t>
      </w:r>
    </w:p>
    <w:p w:rsidR="005A501A" w:rsidRPr="00472335" w:rsidRDefault="005A501A" w:rsidP="005A501A">
      <w:pPr>
        <w:pStyle w:val="06BodyMaintext"/>
        <w:spacing w:line="240" w:lineRule="auto"/>
        <w:ind w:right="95" w:firstLine="0"/>
        <w:rPr>
          <w:rFonts w:ascii="Arial Unicode MS" w:eastAsia="Arial Unicode MS" w:hAnsi="Arial Unicode MS" w:cs="Arial Unicode MS"/>
          <w:sz w:val="20"/>
        </w:rPr>
      </w:pPr>
    </w:p>
    <w:p w:rsidR="005A501A" w:rsidRPr="00472335" w:rsidRDefault="005A501A" w:rsidP="005A501A">
      <w:pPr>
        <w:pStyle w:val="06BodyMaintext"/>
        <w:spacing w:line="240" w:lineRule="auto"/>
        <w:ind w:right="95" w:firstLine="0"/>
        <w:rPr>
          <w:rFonts w:ascii="Arial Unicode MS" w:eastAsia="Arial Unicode MS" w:hAnsi="Arial Unicode MS" w:cs="Arial Unicode MS"/>
          <w:sz w:val="20"/>
        </w:rPr>
      </w:pPr>
      <w:r w:rsidRPr="00472335">
        <w:rPr>
          <w:rFonts w:ascii="Arial Unicode MS" w:eastAsia="Arial Unicode MS" w:hAnsi="Arial Unicode MS" w:cs="Arial Unicode MS"/>
          <w:sz w:val="20"/>
        </w:rPr>
        <w:t xml:space="preserve">Post occupancy evaluations and IAQ assessments in energy efficient homes remains disturbingly low. The limited research that is available suggests significant problems with reduced ventilation rates in the home environment. For instance, in a multidisciplinary review of the scientific literature, Sundell et al. </w:t>
      </w:r>
      <w:r w:rsidR="007F40FF" w:rsidRPr="00472335">
        <w:rPr>
          <w:rFonts w:ascii="Arial Unicode MS" w:eastAsia="Arial Unicode MS" w:hAnsi="Arial Unicode MS" w:cs="Arial Unicode MS"/>
          <w:sz w:val="20"/>
        </w:rPr>
        <w:fldChar w:fldCharType="begin"/>
      </w:r>
      <w:r w:rsidR="00AF0C6D">
        <w:rPr>
          <w:rFonts w:ascii="Arial Unicode MS" w:eastAsia="Arial Unicode MS" w:hAnsi="Arial Unicode MS" w:cs="Arial Unicode MS"/>
          <w:sz w:val="20"/>
        </w:rPr>
        <w:instrText>ADDIN RW.CITE{{282 Sundell,J. 2011 /a}}</w:instrText>
      </w:r>
      <w:r w:rsidR="007F40FF" w:rsidRPr="00472335">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(2011)</w:t>
      </w:r>
      <w:r w:rsidR="007F40FF" w:rsidRPr="00472335">
        <w:rPr>
          <w:rFonts w:ascii="Arial Unicode MS" w:eastAsia="Arial Unicode MS" w:hAnsi="Arial Unicode MS" w:cs="Arial Unicode MS"/>
          <w:sz w:val="20"/>
        </w:rPr>
        <w:fldChar w:fldCharType="end"/>
      </w:r>
      <w:r w:rsidRPr="00472335">
        <w:rPr>
          <w:rFonts w:ascii="Arial Unicode MS" w:eastAsia="Arial Unicode MS" w:hAnsi="Arial Unicode MS" w:cs="Arial Unicode MS"/>
          <w:sz w:val="20"/>
        </w:rPr>
        <w:t xml:space="preserve"> identified an association between ventilation rates above 0.5 ach (air changes per hour) and reduced risk of allergic manifestations in a Nordic climate among children. This is supported by Gilbert et al. </w:t>
      </w:r>
      <w:r w:rsidR="007F40FF" w:rsidRPr="00472335">
        <w:rPr>
          <w:rFonts w:ascii="Arial Unicode MS" w:eastAsia="Arial Unicode MS" w:hAnsi="Arial Unicode MS" w:cs="Arial Unicode MS"/>
          <w:sz w:val="20"/>
        </w:rPr>
        <w:fldChar w:fldCharType="begin"/>
      </w:r>
      <w:r w:rsidR="00AF0C6D">
        <w:rPr>
          <w:rFonts w:ascii="Arial Unicode MS" w:eastAsia="Arial Unicode MS" w:hAnsi="Arial Unicode MS" w:cs="Arial Unicode MS"/>
          <w:sz w:val="20"/>
        </w:rPr>
        <w:instrText>ADDIN RW.CITE{{560 Gilbert,NicolasL. 2008 /a}}</w:instrText>
      </w:r>
      <w:r w:rsidR="007F40FF" w:rsidRPr="00472335">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(2008)</w:t>
      </w:r>
      <w:r w:rsidR="007F40FF" w:rsidRPr="00472335">
        <w:rPr>
          <w:rFonts w:ascii="Arial Unicode MS" w:eastAsia="Arial Unicode MS" w:hAnsi="Arial Unicode MS" w:cs="Arial Unicode MS"/>
          <w:sz w:val="20"/>
        </w:rPr>
        <w:fldChar w:fldCharType="end"/>
      </w:r>
      <w:r w:rsidRPr="00472335">
        <w:rPr>
          <w:rFonts w:ascii="Arial Unicode MS" w:eastAsia="Arial Unicode MS" w:hAnsi="Arial Unicode MS" w:cs="Arial Unicode MS"/>
          <w:sz w:val="20"/>
        </w:rPr>
        <w:t xml:space="preserve"> who explain reduced air changes may significantly increase the concentration of pollutants such as formaldehyde in homes, since most sources originate indoors. </w:t>
      </w:r>
    </w:p>
    <w:p w:rsidR="005A501A" w:rsidRPr="00472335" w:rsidRDefault="005A501A" w:rsidP="005A501A">
      <w:pPr>
        <w:pStyle w:val="06BodyMaintext"/>
        <w:spacing w:line="240" w:lineRule="auto"/>
        <w:ind w:right="95" w:firstLine="0"/>
        <w:rPr>
          <w:rFonts w:ascii="Arial Unicode MS" w:eastAsia="Arial Unicode MS" w:hAnsi="Arial Unicode MS" w:cs="Arial Unicode MS"/>
          <w:sz w:val="20"/>
        </w:rPr>
      </w:pPr>
    </w:p>
    <w:p w:rsidR="005A501A" w:rsidRPr="00472335" w:rsidRDefault="005A501A" w:rsidP="005A501A">
      <w:pPr>
        <w:pStyle w:val="06BodyMaintext"/>
        <w:spacing w:line="240" w:lineRule="auto"/>
        <w:ind w:right="95" w:firstLine="0"/>
        <w:rPr>
          <w:rFonts w:ascii="Arial Unicode MS" w:eastAsia="Arial Unicode MS" w:hAnsi="Arial Unicode MS" w:cs="Arial Unicode MS"/>
          <w:sz w:val="20"/>
        </w:rPr>
      </w:pPr>
      <w:r w:rsidRPr="00472335">
        <w:rPr>
          <w:rFonts w:ascii="Arial Unicode MS" w:eastAsia="Arial Unicode MS" w:hAnsi="Arial Unicode MS" w:cs="Arial Unicode MS"/>
          <w:sz w:val="20"/>
        </w:rPr>
        <w:t xml:space="preserve">In Europe, a review by Dimitroupoulou </w:t>
      </w:r>
      <w:r w:rsidR="007F40FF" w:rsidRPr="00472335">
        <w:rPr>
          <w:rFonts w:ascii="Arial Unicode MS" w:eastAsia="Arial Unicode MS" w:hAnsi="Arial Unicode MS" w:cs="Arial Unicode MS"/>
          <w:sz w:val="20"/>
        </w:rPr>
        <w:fldChar w:fldCharType="begin"/>
      </w:r>
      <w:r w:rsidR="00AF0C6D">
        <w:rPr>
          <w:rFonts w:ascii="Arial Unicode MS" w:eastAsia="Arial Unicode MS" w:hAnsi="Arial Unicode MS" w:cs="Arial Unicode MS"/>
          <w:sz w:val="20"/>
        </w:rPr>
        <w:instrText>ADDIN RW.CITE{{370 Dimitroulopoulou,C. 2012 /a}}</w:instrText>
      </w:r>
      <w:r w:rsidR="007F40FF" w:rsidRPr="00472335">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(2012)</w:t>
      </w:r>
      <w:r w:rsidR="007F40FF" w:rsidRPr="00472335">
        <w:rPr>
          <w:rFonts w:ascii="Arial Unicode MS" w:eastAsia="Arial Unicode MS" w:hAnsi="Arial Unicode MS" w:cs="Arial Unicode MS"/>
          <w:sz w:val="20"/>
        </w:rPr>
        <w:fldChar w:fldCharType="end"/>
      </w:r>
      <w:r w:rsidRPr="00472335">
        <w:rPr>
          <w:rFonts w:ascii="Arial Unicode MS" w:eastAsia="Arial Unicode MS" w:hAnsi="Arial Unicode MS" w:cs="Arial Unicode MS"/>
          <w:sz w:val="20"/>
        </w:rPr>
        <w:t xml:space="preserve"> found dwelling ventilation rates in practice were often insufficient (&lt;0.5h-1), resulting in increased pollutant exposure and adverse hea</w:t>
      </w:r>
      <w:r w:rsidR="009B5EC2" w:rsidRPr="00472335">
        <w:rPr>
          <w:rFonts w:ascii="Arial Unicode MS" w:eastAsia="Arial Unicode MS" w:hAnsi="Arial Unicode MS" w:cs="Arial Unicode MS"/>
          <w:sz w:val="20"/>
        </w:rPr>
        <w:t>lth effects. As suggested by Off</w:t>
      </w:r>
      <w:r w:rsidRPr="00472335">
        <w:rPr>
          <w:rFonts w:ascii="Arial Unicode MS" w:eastAsia="Arial Unicode MS" w:hAnsi="Arial Unicode MS" w:cs="Arial Unicode MS"/>
          <w:sz w:val="20"/>
        </w:rPr>
        <w:t xml:space="preserve">ermann </w:t>
      </w:r>
      <w:r w:rsidR="007F40FF" w:rsidRPr="00472335">
        <w:rPr>
          <w:rFonts w:ascii="Arial Unicode MS" w:eastAsia="Arial Unicode MS" w:hAnsi="Arial Unicode MS" w:cs="Arial Unicode MS"/>
          <w:sz w:val="20"/>
        </w:rPr>
        <w:fldChar w:fldCharType="begin"/>
      </w:r>
      <w:r w:rsidR="00AF0C6D">
        <w:rPr>
          <w:rFonts w:ascii="Arial Unicode MS" w:eastAsia="Arial Unicode MS" w:hAnsi="Arial Unicode MS" w:cs="Arial Unicode MS"/>
          <w:sz w:val="20"/>
        </w:rPr>
        <w:instrText>ADDIN RW.CITE{{469 Offermann,FrancisJ 2009 /a}}</w:instrText>
      </w:r>
      <w:r w:rsidR="007F40FF" w:rsidRPr="00472335">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(2009)</w:t>
      </w:r>
      <w:r w:rsidR="007F40FF" w:rsidRPr="00472335">
        <w:rPr>
          <w:rFonts w:ascii="Arial Unicode MS" w:eastAsia="Arial Unicode MS" w:hAnsi="Arial Unicode MS" w:cs="Arial Unicode MS"/>
          <w:sz w:val="20"/>
        </w:rPr>
        <w:fldChar w:fldCharType="end"/>
      </w:r>
      <w:r w:rsidRPr="00472335">
        <w:rPr>
          <w:rFonts w:ascii="Arial Unicode MS" w:eastAsia="Arial Unicode MS" w:hAnsi="Arial Unicode MS" w:cs="Arial Unicode MS"/>
          <w:sz w:val="20"/>
        </w:rPr>
        <w:t xml:space="preserve">, energy efficient building practices and standards have resulted in a reliance on appropriate occupant engagement to ensure adequate ventilation. However as stated by </w:t>
      </w:r>
      <w:r w:rsidR="00AF0C6D">
        <w:rPr>
          <w:rFonts w:ascii="Arial Unicode MS" w:eastAsia="Arial Unicode MS" w:hAnsi="Arial Unicode MS" w:cs="Arial Unicode MS"/>
          <w:sz w:val="20"/>
        </w:rPr>
        <w:t>Clausen et al.</w:t>
      </w:r>
      <w:r w:rsidRPr="00472335">
        <w:rPr>
          <w:rFonts w:ascii="Arial Unicode MS" w:eastAsia="Arial Unicode MS" w:hAnsi="Arial Unicode MS" w:cs="Arial Unicode MS"/>
          <w:sz w:val="20"/>
        </w:rPr>
        <w:t xml:space="preserve"> </w:t>
      </w:r>
      <w:r w:rsidR="007F40FF" w:rsidRPr="00472335">
        <w:rPr>
          <w:rFonts w:ascii="Arial Unicode MS" w:eastAsia="Arial Unicode MS" w:hAnsi="Arial Unicode MS" w:cs="Arial Unicode MS"/>
          <w:sz w:val="20"/>
        </w:rPr>
        <w:fldChar w:fldCharType="begin"/>
      </w:r>
      <w:r w:rsidR="00AF0C6D">
        <w:rPr>
          <w:rFonts w:ascii="Arial Unicode MS" w:eastAsia="Arial Unicode MS" w:hAnsi="Arial Unicode MS" w:cs="Arial Unicode MS"/>
          <w:sz w:val="20"/>
        </w:rPr>
        <w:instrText>ADDIN RW.CITE{{559 Clausen,Geo. 2003 /a}}</w:instrText>
      </w:r>
      <w:r w:rsidR="007F40FF" w:rsidRPr="00472335">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(2003)</w:t>
      </w:r>
      <w:r w:rsidR="007F40FF" w:rsidRPr="00472335">
        <w:rPr>
          <w:rFonts w:ascii="Arial Unicode MS" w:eastAsia="Arial Unicode MS" w:hAnsi="Arial Unicode MS" w:cs="Arial Unicode MS"/>
          <w:sz w:val="20"/>
        </w:rPr>
        <w:fldChar w:fldCharType="end"/>
      </w:r>
      <w:r w:rsidRPr="00472335">
        <w:rPr>
          <w:rFonts w:ascii="Arial Unicode MS" w:eastAsia="Arial Unicode MS" w:hAnsi="Arial Unicode MS" w:cs="Arial Unicode MS"/>
          <w:sz w:val="20"/>
        </w:rPr>
        <w:t>, poor building operation such as reducing ventilation for energy conservation is common, and may result in significant deterioration of the in</w:t>
      </w:r>
      <w:r w:rsidR="00472335" w:rsidRPr="00472335">
        <w:rPr>
          <w:rFonts w:ascii="Arial Unicode MS" w:eastAsia="Arial Unicode MS" w:hAnsi="Arial Unicode MS" w:cs="Arial Unicode MS"/>
          <w:sz w:val="20"/>
        </w:rPr>
        <w:t>door</w:t>
      </w:r>
      <w:r w:rsidRPr="00472335">
        <w:rPr>
          <w:rFonts w:ascii="Arial Unicode MS" w:eastAsia="Arial Unicode MS" w:hAnsi="Arial Unicode MS" w:cs="Arial Unicode MS"/>
          <w:sz w:val="20"/>
        </w:rPr>
        <w:t xml:space="preserve"> environment.</w:t>
      </w:r>
    </w:p>
    <w:p w:rsidR="005A501A" w:rsidRPr="00472335" w:rsidRDefault="005A501A" w:rsidP="005A501A">
      <w:pPr>
        <w:pStyle w:val="06BodyMaintext"/>
        <w:spacing w:line="240" w:lineRule="auto"/>
        <w:ind w:right="95" w:firstLine="0"/>
        <w:rPr>
          <w:rFonts w:ascii="Arial Unicode MS" w:eastAsia="Arial Unicode MS" w:hAnsi="Arial Unicode MS" w:cs="Arial Unicode MS"/>
          <w:sz w:val="20"/>
        </w:rPr>
      </w:pPr>
    </w:p>
    <w:p w:rsidR="005A501A" w:rsidRPr="00472335" w:rsidRDefault="005A501A" w:rsidP="005A501A">
      <w:pPr>
        <w:pStyle w:val="08BodySpaceBelowApplytomaintextbeforeanumberedlist"/>
        <w:spacing w:line="240" w:lineRule="auto"/>
        <w:ind w:right="95" w:firstLine="0"/>
        <w:rPr>
          <w:rFonts w:ascii="Arial Unicode MS" w:eastAsia="Arial Unicode MS" w:hAnsi="Arial Unicode MS" w:cs="Arial Unicode MS"/>
          <w:sz w:val="20"/>
        </w:rPr>
      </w:pPr>
      <w:r w:rsidRPr="00472335">
        <w:rPr>
          <w:rFonts w:ascii="Arial Unicode MS" w:eastAsia="Arial Unicode MS" w:hAnsi="Arial Unicode MS" w:cs="Arial Unicode MS"/>
          <w:sz w:val="20"/>
        </w:rPr>
        <w:t xml:space="preserve">A further problem arises with the increased air tightening of building envelopes, which reduces natural ventilation through infiltration and may potentially lead to problems with ‘back-drafting’ of combustion appliances </w:t>
      </w:r>
      <w:r w:rsidR="007F40FF" w:rsidRPr="00472335">
        <w:rPr>
          <w:rFonts w:ascii="Arial Unicode MS" w:eastAsia="Arial Unicode MS" w:hAnsi="Arial Unicode MS" w:cs="Arial Unicode MS"/>
          <w:sz w:val="20"/>
        </w:rPr>
        <w:fldChar w:fldCharType="begin"/>
      </w:r>
      <w:r w:rsidR="009B5EC2" w:rsidRPr="00472335">
        <w:rPr>
          <w:rFonts w:ascii="Arial Unicode MS" w:eastAsia="Arial Unicode MS" w:hAnsi="Arial Unicode MS" w:cs="Arial Unicode MS"/>
          <w:sz w:val="20"/>
        </w:rPr>
        <w:instrText>ADDIN RW.CITE{{567 Nazaroff,WilliamW 2013}}</w:instrText>
      </w:r>
      <w:r w:rsidR="007F40FF" w:rsidRPr="00472335">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(Nazaroff 2013)</w:t>
      </w:r>
      <w:r w:rsidR="007F40FF" w:rsidRPr="00472335">
        <w:rPr>
          <w:rFonts w:ascii="Arial Unicode MS" w:eastAsia="Arial Unicode MS" w:hAnsi="Arial Unicode MS" w:cs="Arial Unicode MS"/>
          <w:sz w:val="20"/>
        </w:rPr>
        <w:fldChar w:fldCharType="end"/>
      </w:r>
      <w:r w:rsidRPr="00472335">
        <w:rPr>
          <w:rFonts w:ascii="Arial Unicode MS" w:eastAsia="Arial Unicode MS" w:hAnsi="Arial Unicode MS" w:cs="Arial Unicode MS"/>
          <w:sz w:val="20"/>
        </w:rPr>
        <w:t xml:space="preserve">. As suggested by Wal et al. </w:t>
      </w:r>
      <w:r w:rsidR="007F40FF" w:rsidRPr="00472335">
        <w:rPr>
          <w:rFonts w:ascii="Arial Unicode MS" w:eastAsia="Arial Unicode MS" w:hAnsi="Arial Unicode MS" w:cs="Arial Unicode MS"/>
          <w:sz w:val="20"/>
        </w:rPr>
        <w:fldChar w:fldCharType="begin"/>
      </w:r>
      <w:r w:rsidR="00AF0C6D">
        <w:rPr>
          <w:rFonts w:ascii="Arial Unicode MS" w:eastAsia="Arial Unicode MS" w:hAnsi="Arial Unicode MS" w:cs="Arial Unicode MS"/>
          <w:sz w:val="20"/>
        </w:rPr>
        <w:instrText>ADDIN RW.CITE{{571 Wal,JanF 1991 /a}}</w:instrText>
      </w:r>
      <w:r w:rsidR="007F40FF" w:rsidRPr="00472335">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(1991)</w:t>
      </w:r>
      <w:r w:rsidR="007F40FF" w:rsidRPr="00472335">
        <w:rPr>
          <w:rFonts w:ascii="Arial Unicode MS" w:eastAsia="Arial Unicode MS" w:hAnsi="Arial Unicode MS" w:cs="Arial Unicode MS"/>
          <w:sz w:val="20"/>
        </w:rPr>
        <w:fldChar w:fldCharType="end"/>
      </w:r>
      <w:r w:rsidRPr="00472335">
        <w:rPr>
          <w:rFonts w:ascii="Arial Unicode MS" w:eastAsia="Arial Unicode MS" w:hAnsi="Arial Unicode MS" w:cs="Arial Unicode MS"/>
          <w:sz w:val="20"/>
        </w:rPr>
        <w:t xml:space="preserve">, increasing dwelling airtightness subsequently leads to increased concentration of indoor air pollutants. This is supported by BRE </w:t>
      </w:r>
      <w:r w:rsidR="007F40FF" w:rsidRPr="00472335">
        <w:rPr>
          <w:rFonts w:ascii="Arial Unicode MS" w:eastAsia="Arial Unicode MS" w:hAnsi="Arial Unicode MS" w:cs="Arial Unicode MS"/>
          <w:sz w:val="20"/>
        </w:rPr>
        <w:fldChar w:fldCharType="begin"/>
      </w:r>
      <w:r w:rsidR="00AF0C6D">
        <w:rPr>
          <w:rFonts w:ascii="Arial Unicode MS" w:eastAsia="Arial Unicode MS" w:hAnsi="Arial Unicode MS" w:cs="Arial Unicode MS"/>
          <w:sz w:val="20"/>
        </w:rPr>
        <w:instrText>ADDIN RW.CITE{{550 BuildingResearchEstablishment 2006 /a}}</w:instrText>
      </w:r>
      <w:r w:rsidR="007F40FF" w:rsidRPr="00472335">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(2006)</w:t>
      </w:r>
      <w:r w:rsidR="007F40FF" w:rsidRPr="00472335">
        <w:rPr>
          <w:rFonts w:ascii="Arial Unicode MS" w:eastAsia="Arial Unicode MS" w:hAnsi="Arial Unicode MS" w:cs="Arial Unicode MS"/>
          <w:sz w:val="20"/>
        </w:rPr>
        <w:fldChar w:fldCharType="end"/>
      </w:r>
      <w:r w:rsidRPr="00472335">
        <w:rPr>
          <w:rFonts w:ascii="Arial Unicode MS" w:eastAsia="Arial Unicode MS" w:hAnsi="Arial Unicode MS" w:cs="Arial Unicode MS"/>
          <w:sz w:val="20"/>
        </w:rPr>
        <w:t>, who ex</w:t>
      </w:r>
      <w:r w:rsidR="00472335">
        <w:rPr>
          <w:rFonts w:ascii="Arial Unicode MS" w:eastAsia="Arial Unicode MS" w:hAnsi="Arial Unicode MS" w:cs="Arial Unicode MS"/>
          <w:sz w:val="20"/>
        </w:rPr>
        <w:t>plain, “</w:t>
      </w:r>
      <w:r w:rsidR="0067161C" w:rsidRPr="00472335">
        <w:rPr>
          <w:rFonts w:ascii="Arial Unicode MS" w:eastAsia="Arial Unicode MS" w:hAnsi="Arial Unicode MS" w:cs="Arial Unicode MS"/>
          <w:sz w:val="20"/>
        </w:rPr>
        <w:t>As</w:t>
      </w:r>
      <w:r w:rsidRPr="00472335">
        <w:rPr>
          <w:rFonts w:ascii="Arial Unicode MS" w:eastAsia="Arial Unicode MS" w:hAnsi="Arial Unicode MS" w:cs="Arial Unicode MS"/>
          <w:sz w:val="20"/>
        </w:rPr>
        <w:t xml:space="preserve"> dwellings are made more airtight, internal pollutant sources can have a greater impact on indoor air quality and occupants may experience adverse health effects u</w:t>
      </w:r>
      <w:r w:rsidR="00472335">
        <w:rPr>
          <w:rFonts w:ascii="Arial Unicode MS" w:eastAsia="Arial Unicode MS" w:hAnsi="Arial Unicode MS" w:cs="Arial Unicode MS"/>
          <w:sz w:val="20"/>
        </w:rPr>
        <w:t>nless ventilation is effective”.</w:t>
      </w:r>
      <w:r w:rsidRPr="00472335">
        <w:rPr>
          <w:rFonts w:ascii="Arial Unicode MS" w:eastAsia="Arial Unicode MS" w:hAnsi="Arial Unicode MS" w:cs="Arial Unicode MS"/>
          <w:sz w:val="20"/>
        </w:rPr>
        <w:t xml:space="preserve"> As suggested by Stellman </w:t>
      </w:r>
      <w:r w:rsidR="007F40FF" w:rsidRPr="00472335">
        <w:rPr>
          <w:rFonts w:ascii="Arial Unicode MS" w:eastAsia="Arial Unicode MS" w:hAnsi="Arial Unicode MS" w:cs="Arial Unicode MS"/>
          <w:sz w:val="20"/>
        </w:rPr>
        <w:fldChar w:fldCharType="begin"/>
      </w:r>
      <w:r w:rsidR="00AF0C6D">
        <w:rPr>
          <w:rFonts w:ascii="Arial Unicode MS" w:eastAsia="Arial Unicode MS" w:hAnsi="Arial Unicode MS" w:cs="Arial Unicode MS"/>
          <w:sz w:val="20"/>
        </w:rPr>
        <w:instrText>ADDIN RW.CITE{{570 Stellman,JeanneMager 1998 /a}}</w:instrText>
      </w:r>
      <w:r w:rsidR="007F40FF" w:rsidRPr="00472335">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(1998)</w:t>
      </w:r>
      <w:r w:rsidR="007F40FF" w:rsidRPr="00472335">
        <w:rPr>
          <w:rFonts w:ascii="Arial Unicode MS" w:eastAsia="Arial Unicode MS" w:hAnsi="Arial Unicode MS" w:cs="Arial Unicode MS"/>
          <w:sz w:val="20"/>
        </w:rPr>
        <w:fldChar w:fldCharType="end"/>
      </w:r>
      <w:r w:rsidR="00472335" w:rsidRPr="00472335">
        <w:rPr>
          <w:rFonts w:ascii="Arial Unicode MS" w:eastAsia="Arial Unicode MS" w:hAnsi="Arial Unicode MS" w:cs="Arial Unicode MS"/>
          <w:sz w:val="20"/>
        </w:rPr>
        <w:t>,</w:t>
      </w:r>
      <w:r w:rsidRPr="00472335">
        <w:rPr>
          <w:rFonts w:ascii="Arial Unicode MS" w:eastAsia="Arial Unicode MS" w:hAnsi="Arial Unicode MS" w:cs="Arial Unicode MS"/>
          <w:sz w:val="20"/>
        </w:rPr>
        <w:t xml:space="preserve"> prevalent features of Sick Building Syndrome (SBS) cases are buildings of energy efficient, modern design or recently retrofitted buildings. This is supported by Molina et al. </w:t>
      </w:r>
      <w:r w:rsidR="007F40FF" w:rsidRPr="00472335">
        <w:rPr>
          <w:rFonts w:ascii="Arial Unicode MS" w:eastAsia="Arial Unicode MS" w:hAnsi="Arial Unicode MS" w:cs="Arial Unicode MS"/>
          <w:sz w:val="20"/>
        </w:rPr>
        <w:fldChar w:fldCharType="begin"/>
      </w:r>
      <w:r w:rsidR="00AF0C6D">
        <w:rPr>
          <w:rFonts w:ascii="Arial Unicode MS" w:eastAsia="Arial Unicode MS" w:hAnsi="Arial Unicode MS" w:cs="Arial Unicode MS"/>
          <w:sz w:val="20"/>
        </w:rPr>
        <w:instrText>ADDIN RW.CITE{{564 Molina,Claude 1989 /a}}</w:instrText>
      </w:r>
      <w:r w:rsidR="007F40FF" w:rsidRPr="00472335">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(1989)</w:t>
      </w:r>
      <w:r w:rsidR="007F40FF" w:rsidRPr="00472335">
        <w:rPr>
          <w:rFonts w:ascii="Arial Unicode MS" w:eastAsia="Arial Unicode MS" w:hAnsi="Arial Unicode MS" w:cs="Arial Unicode MS"/>
          <w:sz w:val="20"/>
        </w:rPr>
        <w:fldChar w:fldCharType="end"/>
      </w:r>
      <w:r w:rsidR="00EA4FC6" w:rsidRPr="00472335">
        <w:rPr>
          <w:rFonts w:ascii="Arial Unicode MS" w:eastAsia="Arial Unicode MS" w:hAnsi="Arial Unicode MS" w:cs="Arial Unicode MS"/>
          <w:sz w:val="20"/>
        </w:rPr>
        <w:t xml:space="preserve"> who state</w:t>
      </w:r>
      <w:r w:rsidR="00472335" w:rsidRPr="00472335">
        <w:rPr>
          <w:rFonts w:ascii="Arial Unicode MS" w:eastAsia="Arial Unicode MS" w:hAnsi="Arial Unicode MS" w:cs="Arial Unicode MS"/>
          <w:sz w:val="20"/>
        </w:rPr>
        <w:t>,</w:t>
      </w:r>
      <w:r w:rsidR="00472335">
        <w:rPr>
          <w:rFonts w:ascii="Arial Unicode MS" w:eastAsia="Arial Unicode MS" w:hAnsi="Arial Unicode MS" w:cs="Arial Unicode MS"/>
          <w:sz w:val="20"/>
        </w:rPr>
        <w:t xml:space="preserve"> “</w:t>
      </w:r>
      <w:r w:rsidR="0067161C" w:rsidRPr="00472335">
        <w:rPr>
          <w:rFonts w:ascii="Arial Unicode MS" w:eastAsia="Arial Unicode MS" w:hAnsi="Arial Unicode MS" w:cs="Arial Unicode MS"/>
          <w:sz w:val="20"/>
        </w:rPr>
        <w:t>Insufficient</w:t>
      </w:r>
      <w:r w:rsidRPr="00472335">
        <w:rPr>
          <w:rFonts w:ascii="Arial Unicode MS" w:eastAsia="Arial Unicode MS" w:hAnsi="Arial Unicode MS" w:cs="Arial Unicode MS"/>
          <w:sz w:val="20"/>
        </w:rPr>
        <w:t xml:space="preserve"> ventilation due to energy saving measures following the oil crisis has been claimed as one of th</w:t>
      </w:r>
      <w:r w:rsidR="00472335">
        <w:rPr>
          <w:rFonts w:ascii="Arial Unicode MS" w:eastAsia="Arial Unicode MS" w:hAnsi="Arial Unicode MS" w:cs="Arial Unicode MS"/>
          <w:sz w:val="20"/>
        </w:rPr>
        <w:t>e main causes for SBS symptoms”.</w:t>
      </w:r>
      <w:r w:rsidRPr="00472335">
        <w:rPr>
          <w:rFonts w:ascii="Arial Unicode MS" w:eastAsia="Arial Unicode MS" w:hAnsi="Arial Unicode MS" w:cs="Arial Unicode MS"/>
          <w:sz w:val="20"/>
        </w:rPr>
        <w:t xml:space="preserve"> This is reflected in the UK NHBC report </w:t>
      </w:r>
      <w:r w:rsidR="007F40FF" w:rsidRPr="00472335">
        <w:rPr>
          <w:rFonts w:ascii="Arial Unicode MS" w:eastAsia="Arial Unicode MS" w:hAnsi="Arial Unicode MS" w:cs="Arial Unicode MS"/>
          <w:sz w:val="20"/>
        </w:rPr>
        <w:fldChar w:fldCharType="begin"/>
      </w:r>
      <w:r w:rsidR="004503DE" w:rsidRPr="00472335">
        <w:rPr>
          <w:rFonts w:ascii="Arial Unicode MS" w:eastAsia="Arial Unicode MS" w:hAnsi="Arial Unicode MS" w:cs="Arial Unicode MS"/>
          <w:sz w:val="20"/>
        </w:rPr>
        <w:instrText>ADDIN RW.CITE{{493 Davis,Ian 2008}}</w:instrText>
      </w:r>
      <w:r w:rsidR="007F40FF" w:rsidRPr="00472335">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(Davis, Harvey 2008)</w:t>
      </w:r>
      <w:r w:rsidR="007F40FF" w:rsidRPr="00472335">
        <w:rPr>
          <w:rFonts w:ascii="Arial Unicode MS" w:eastAsia="Arial Unicode MS" w:hAnsi="Arial Unicode MS" w:cs="Arial Unicode MS"/>
          <w:sz w:val="20"/>
        </w:rPr>
        <w:fldChar w:fldCharType="end"/>
      </w:r>
      <w:r w:rsidRPr="00472335">
        <w:rPr>
          <w:rFonts w:ascii="Arial Unicode MS" w:eastAsia="Arial Unicode MS" w:hAnsi="Arial Unicode MS" w:cs="Arial Unicode MS"/>
          <w:sz w:val="20"/>
        </w:rPr>
        <w:t xml:space="preserve">, which states 76% of homeowners interviewed were put off by the levels of airtightness in highly energy efficient homes because of apprehensions on restrictions to ventilation and/or fresh air. </w:t>
      </w:r>
    </w:p>
    <w:p w:rsidR="005A501A" w:rsidRPr="00472335" w:rsidRDefault="005A501A" w:rsidP="005A501A">
      <w:pPr>
        <w:pStyle w:val="06BodyMaintext"/>
        <w:spacing w:line="240" w:lineRule="auto"/>
        <w:ind w:right="95" w:firstLine="0"/>
        <w:rPr>
          <w:rFonts w:ascii="Arial Unicode MS" w:eastAsia="Arial Unicode MS" w:hAnsi="Arial Unicode MS" w:cs="Arial Unicode MS"/>
          <w:sz w:val="20"/>
        </w:rPr>
      </w:pPr>
      <w:r w:rsidRPr="00472335">
        <w:rPr>
          <w:rFonts w:ascii="Arial Unicode MS" w:eastAsia="Arial Unicode MS" w:hAnsi="Arial Unicode MS" w:cs="Arial Unicode MS"/>
          <w:sz w:val="20"/>
        </w:rPr>
        <w:t xml:space="preserve">In the UK, the use of mechanical ventilation strategies (particularly MVHR) is virtually standard in new build energy efficient dwellings </w:t>
      </w:r>
      <w:r w:rsidR="007F40FF" w:rsidRPr="00472335">
        <w:rPr>
          <w:rFonts w:ascii="Arial Unicode MS" w:eastAsia="Arial Unicode MS" w:hAnsi="Arial Unicode MS" w:cs="Arial Unicode MS"/>
          <w:sz w:val="20"/>
        </w:rPr>
        <w:fldChar w:fldCharType="begin"/>
      </w:r>
      <w:r w:rsidR="004503DE" w:rsidRPr="00472335">
        <w:rPr>
          <w:rFonts w:ascii="Arial Unicode MS" w:eastAsia="Arial Unicode MS" w:hAnsi="Arial Unicode MS" w:cs="Arial Unicode MS"/>
          <w:sz w:val="20"/>
        </w:rPr>
        <w:instrText>ADDIN RW.CITE{{457 NHBC 2009}}</w:instrText>
      </w:r>
      <w:r w:rsidR="007F40FF" w:rsidRPr="00472335">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(NHBC 2009)</w:t>
      </w:r>
      <w:r w:rsidR="007F40FF" w:rsidRPr="00472335">
        <w:rPr>
          <w:rFonts w:ascii="Arial Unicode MS" w:eastAsia="Arial Unicode MS" w:hAnsi="Arial Unicode MS" w:cs="Arial Unicode MS"/>
          <w:sz w:val="20"/>
        </w:rPr>
        <w:fldChar w:fldCharType="end"/>
      </w:r>
      <w:r w:rsidRPr="00472335">
        <w:rPr>
          <w:rFonts w:ascii="Arial Unicode MS" w:eastAsia="Arial Unicode MS" w:hAnsi="Arial Unicode MS" w:cs="Arial Unicode MS"/>
          <w:sz w:val="20"/>
        </w:rPr>
        <w:t xml:space="preserve">. If installed and operated correctly, MVHR has the potential to improve IAQ by reducing exposure to dust mite allergens </w:t>
      </w:r>
      <w:r w:rsidR="007F40FF" w:rsidRPr="00472335">
        <w:rPr>
          <w:rFonts w:ascii="Arial Unicode MS" w:eastAsia="Arial Unicode MS" w:hAnsi="Arial Unicode MS" w:cs="Arial Unicode MS"/>
          <w:sz w:val="20"/>
        </w:rPr>
        <w:fldChar w:fldCharType="begin"/>
      </w:r>
      <w:r w:rsidR="004503DE" w:rsidRPr="00472335">
        <w:rPr>
          <w:rFonts w:ascii="Arial Unicode MS" w:eastAsia="Arial Unicode MS" w:hAnsi="Arial Unicode MS" w:cs="Arial Unicode MS"/>
          <w:sz w:val="20"/>
        </w:rPr>
        <w:instrText>ADDIN RW.CITE{{288 Eick,SusanAnn 2011}}</w:instrText>
      </w:r>
      <w:r w:rsidR="007F40FF" w:rsidRPr="00472335">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(Eick, Richardson 2011)</w:t>
      </w:r>
      <w:r w:rsidR="007F40FF" w:rsidRPr="00472335">
        <w:rPr>
          <w:rFonts w:ascii="Arial Unicode MS" w:eastAsia="Arial Unicode MS" w:hAnsi="Arial Unicode MS" w:cs="Arial Unicode MS"/>
          <w:sz w:val="20"/>
        </w:rPr>
        <w:fldChar w:fldCharType="end"/>
      </w:r>
      <w:r w:rsidRPr="00472335">
        <w:rPr>
          <w:rFonts w:ascii="Arial Unicode MS" w:eastAsia="Arial Unicode MS" w:hAnsi="Arial Unicode MS" w:cs="Arial Unicode MS"/>
          <w:sz w:val="20"/>
        </w:rPr>
        <w:t xml:space="preserve">, particles through filtration </w:t>
      </w:r>
      <w:r w:rsidR="007F40FF" w:rsidRPr="00472335">
        <w:rPr>
          <w:rFonts w:ascii="Arial Unicode MS" w:eastAsia="Arial Unicode MS" w:hAnsi="Arial Unicode MS" w:cs="Arial Unicode MS"/>
          <w:sz w:val="20"/>
        </w:rPr>
        <w:fldChar w:fldCharType="begin"/>
      </w:r>
      <w:r w:rsidR="004503DE" w:rsidRPr="00472335">
        <w:rPr>
          <w:rFonts w:ascii="Arial Unicode MS" w:eastAsia="Arial Unicode MS" w:hAnsi="Arial Unicode MS" w:cs="Arial Unicode MS"/>
          <w:sz w:val="20"/>
        </w:rPr>
        <w:instrText>ADDIN RW.CITE{{386 Bone,A. 2010}}</w:instrText>
      </w:r>
      <w:r w:rsidR="007F40FF" w:rsidRPr="00472335">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(Bone et al. 2010)</w:t>
      </w:r>
      <w:r w:rsidR="007F40FF" w:rsidRPr="00472335">
        <w:rPr>
          <w:rFonts w:ascii="Arial Unicode MS" w:eastAsia="Arial Unicode MS" w:hAnsi="Arial Unicode MS" w:cs="Arial Unicode MS"/>
          <w:sz w:val="20"/>
        </w:rPr>
        <w:fldChar w:fldCharType="end"/>
      </w:r>
      <w:r w:rsidRPr="00472335">
        <w:rPr>
          <w:rFonts w:ascii="Arial Unicode MS" w:eastAsia="Arial Unicode MS" w:hAnsi="Arial Unicode MS" w:cs="Arial Unicode MS"/>
          <w:sz w:val="20"/>
        </w:rPr>
        <w:t xml:space="preserve"> and air pollutants through provision of fresh air and climate control </w:t>
      </w:r>
      <w:r w:rsidR="007F40FF" w:rsidRPr="00472335">
        <w:rPr>
          <w:rFonts w:ascii="Arial Unicode MS" w:eastAsia="Arial Unicode MS" w:hAnsi="Arial Unicode MS" w:cs="Arial Unicode MS"/>
          <w:sz w:val="20"/>
        </w:rPr>
        <w:fldChar w:fldCharType="begin"/>
      </w:r>
      <w:r w:rsidR="004503DE" w:rsidRPr="00472335">
        <w:rPr>
          <w:rFonts w:ascii="Arial Unicode MS" w:eastAsia="Arial Unicode MS" w:hAnsi="Arial Unicode MS" w:cs="Arial Unicode MS"/>
          <w:sz w:val="20"/>
        </w:rPr>
        <w:instrText>ADDIN RW.CITE{{197 Mardiana-Idayu,A. 2012}}</w:instrText>
      </w:r>
      <w:r w:rsidR="007F40FF" w:rsidRPr="00472335">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(Mardiana-Idayu, Riffat 2012)</w:t>
      </w:r>
      <w:r w:rsidR="007F40FF" w:rsidRPr="00472335">
        <w:rPr>
          <w:rFonts w:ascii="Arial Unicode MS" w:eastAsia="Arial Unicode MS" w:hAnsi="Arial Unicode MS" w:cs="Arial Unicode MS"/>
          <w:sz w:val="20"/>
        </w:rPr>
        <w:fldChar w:fldCharType="end"/>
      </w:r>
      <w:r w:rsidR="004503DE" w:rsidRPr="00472335">
        <w:rPr>
          <w:rFonts w:ascii="Arial Unicode MS" w:eastAsia="Arial Unicode MS" w:hAnsi="Arial Unicode MS" w:cs="Arial Unicode MS"/>
          <w:sz w:val="20"/>
        </w:rPr>
        <w:t>.</w:t>
      </w:r>
      <w:r w:rsidRPr="00472335">
        <w:rPr>
          <w:rFonts w:ascii="Arial Unicode MS" w:eastAsia="Arial Unicode MS" w:hAnsi="Arial Unicode MS" w:cs="Arial Unicode MS"/>
          <w:sz w:val="20"/>
        </w:rPr>
        <w:t xml:space="preserve"> Recent research however suggests short-comings of MVHR systems, particularly in the UK climate. For instance, a study by Sullivan et al. </w:t>
      </w:r>
      <w:r w:rsidR="007F40FF" w:rsidRPr="00472335">
        <w:rPr>
          <w:rFonts w:ascii="Arial Unicode MS" w:eastAsia="Arial Unicode MS" w:hAnsi="Arial Unicode MS" w:cs="Arial Unicode MS"/>
          <w:sz w:val="20"/>
        </w:rPr>
        <w:fldChar w:fldCharType="begin"/>
      </w:r>
      <w:r w:rsidR="00AF0C6D">
        <w:rPr>
          <w:rFonts w:ascii="Arial Unicode MS" w:eastAsia="Arial Unicode MS" w:hAnsi="Arial Unicode MS" w:cs="Arial Unicode MS"/>
          <w:sz w:val="20"/>
        </w:rPr>
        <w:instrText>ADDIN RW.CITE{{364 Sullivan,L. 2012 /a}}</w:instrText>
      </w:r>
      <w:r w:rsidR="007F40FF" w:rsidRPr="00472335">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(2012)</w:t>
      </w:r>
      <w:r w:rsidR="007F40FF" w:rsidRPr="00472335">
        <w:rPr>
          <w:rFonts w:ascii="Arial Unicode MS" w:eastAsia="Arial Unicode MS" w:hAnsi="Arial Unicode MS" w:cs="Arial Unicode MS"/>
          <w:sz w:val="20"/>
        </w:rPr>
        <w:fldChar w:fldCharType="end"/>
      </w:r>
      <w:r w:rsidRPr="00472335">
        <w:rPr>
          <w:rFonts w:ascii="Arial Unicode MS" w:eastAsia="Arial Unicode MS" w:hAnsi="Arial Unicode MS" w:cs="Arial Unicode MS"/>
          <w:sz w:val="20"/>
        </w:rPr>
        <w:t xml:space="preserve"> highlights issues with maintenance access, low standards of installation, lack of competently trained individuals, insufficient operation and poor commissioning. </w:t>
      </w:r>
    </w:p>
    <w:p w:rsidR="005A501A" w:rsidRPr="00472335" w:rsidRDefault="005A501A" w:rsidP="005A501A">
      <w:pPr>
        <w:pStyle w:val="06BodyMaintext"/>
        <w:spacing w:line="240" w:lineRule="auto"/>
        <w:ind w:right="95" w:firstLine="0"/>
        <w:rPr>
          <w:rFonts w:ascii="Arial Unicode MS" w:eastAsia="Arial Unicode MS" w:hAnsi="Arial Unicode MS" w:cs="Arial Unicode MS"/>
          <w:sz w:val="20"/>
        </w:rPr>
      </w:pPr>
    </w:p>
    <w:p w:rsidR="005A501A" w:rsidRPr="00472335" w:rsidRDefault="005A501A" w:rsidP="005A501A">
      <w:pPr>
        <w:pStyle w:val="06BodyMaintext"/>
        <w:spacing w:line="240" w:lineRule="auto"/>
        <w:ind w:right="95" w:firstLine="0"/>
        <w:rPr>
          <w:rFonts w:ascii="Arial Unicode MS" w:eastAsia="Arial Unicode MS" w:hAnsi="Arial Unicode MS" w:cs="Arial Unicode MS"/>
          <w:sz w:val="20"/>
        </w:rPr>
      </w:pPr>
      <w:r w:rsidRPr="00472335">
        <w:rPr>
          <w:rFonts w:ascii="Arial Unicode MS" w:eastAsia="Arial Unicode MS" w:hAnsi="Arial Unicode MS" w:cs="Arial Unicode MS"/>
          <w:sz w:val="20"/>
        </w:rPr>
        <w:t xml:space="preserve">This is supported by Turner et al. </w:t>
      </w:r>
      <w:r w:rsidR="007F40FF" w:rsidRPr="00472335">
        <w:rPr>
          <w:rFonts w:ascii="Arial Unicode MS" w:eastAsia="Arial Unicode MS" w:hAnsi="Arial Unicode MS" w:cs="Arial Unicode MS"/>
          <w:sz w:val="20"/>
        </w:rPr>
        <w:fldChar w:fldCharType="begin"/>
      </w:r>
      <w:r w:rsidR="00AF0C6D">
        <w:rPr>
          <w:rFonts w:ascii="Arial Unicode MS" w:eastAsia="Arial Unicode MS" w:hAnsi="Arial Unicode MS" w:cs="Arial Unicode MS"/>
          <w:sz w:val="20"/>
        </w:rPr>
        <w:instrText>ADDIN RW.CITE{{525 Turner,WilliamJ.N. 2013 /a}}</w:instrText>
      </w:r>
      <w:r w:rsidR="007F40FF" w:rsidRPr="00472335">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(2013)</w:t>
      </w:r>
      <w:r w:rsidR="007F40FF" w:rsidRPr="00472335">
        <w:rPr>
          <w:rFonts w:ascii="Arial Unicode MS" w:eastAsia="Arial Unicode MS" w:hAnsi="Arial Unicode MS" w:cs="Arial Unicode MS"/>
          <w:sz w:val="20"/>
        </w:rPr>
        <w:fldChar w:fldCharType="end"/>
      </w:r>
      <w:r w:rsidR="0067161C">
        <w:rPr>
          <w:rFonts w:ascii="Arial Unicode MS" w:eastAsia="Arial Unicode MS" w:hAnsi="Arial Unicode MS" w:cs="Arial Unicode MS"/>
          <w:sz w:val="20"/>
        </w:rPr>
        <w:t>, who explain, “D</w:t>
      </w:r>
      <w:r w:rsidRPr="00472335">
        <w:rPr>
          <w:rFonts w:ascii="Arial Unicode MS" w:eastAsia="Arial Unicode MS" w:hAnsi="Arial Unicode MS" w:cs="Arial Unicode MS"/>
          <w:sz w:val="20"/>
        </w:rPr>
        <w:t>eficiencies occur because systems are field assembled (usually without design specifications), there is no consistent process to identify and correct problems, and the value of such activities in terms of reducing energy u</w:t>
      </w:r>
      <w:r w:rsidR="0067161C">
        <w:rPr>
          <w:rFonts w:ascii="Arial Unicode MS" w:eastAsia="Arial Unicode MS" w:hAnsi="Arial Unicode MS" w:cs="Arial Unicode MS"/>
          <w:sz w:val="20"/>
        </w:rPr>
        <w:t>se and improving IAQ is unknown”</w:t>
      </w:r>
      <w:r w:rsidRPr="00472335">
        <w:rPr>
          <w:rFonts w:ascii="Arial Unicode MS" w:eastAsia="Arial Unicode MS" w:hAnsi="Arial Unicode MS" w:cs="Arial Unicode MS"/>
          <w:sz w:val="20"/>
        </w:rPr>
        <w:t xml:space="preserve">. Furthermore, a report by </w:t>
      </w:r>
      <w:r w:rsidR="00AF0C6D">
        <w:rPr>
          <w:rFonts w:ascii="Arial Unicode MS" w:eastAsia="Arial Unicode MS" w:hAnsi="Arial Unicode MS" w:cs="Arial Unicode MS"/>
          <w:sz w:val="20"/>
        </w:rPr>
        <w:t>Clausen et al.</w:t>
      </w:r>
      <w:r w:rsidR="004503DE" w:rsidRPr="00472335">
        <w:rPr>
          <w:rFonts w:ascii="Arial Unicode MS" w:eastAsia="Arial Unicode MS" w:hAnsi="Arial Unicode MS" w:cs="Arial Unicode MS"/>
          <w:sz w:val="20"/>
        </w:rPr>
        <w:t xml:space="preserve"> </w:t>
      </w:r>
      <w:r w:rsidR="007F40FF" w:rsidRPr="00472335">
        <w:rPr>
          <w:rFonts w:ascii="Arial Unicode MS" w:eastAsia="Arial Unicode MS" w:hAnsi="Arial Unicode MS" w:cs="Arial Unicode MS"/>
          <w:sz w:val="20"/>
        </w:rPr>
        <w:fldChar w:fldCharType="begin"/>
      </w:r>
      <w:r w:rsidR="00AF0C6D">
        <w:rPr>
          <w:rFonts w:ascii="Arial Unicode MS" w:eastAsia="Arial Unicode MS" w:hAnsi="Arial Unicode MS" w:cs="Arial Unicode MS"/>
          <w:sz w:val="20"/>
        </w:rPr>
        <w:instrText>ADDIN RW.CITE{{559 Clausen,Geo. 2003 /a}}</w:instrText>
      </w:r>
      <w:r w:rsidR="007F40FF" w:rsidRPr="00472335">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(2003)</w:t>
      </w:r>
      <w:r w:rsidR="007F40FF" w:rsidRPr="00472335">
        <w:rPr>
          <w:rFonts w:ascii="Arial Unicode MS" w:eastAsia="Arial Unicode MS" w:hAnsi="Arial Unicode MS" w:cs="Arial Unicode MS"/>
          <w:sz w:val="20"/>
        </w:rPr>
        <w:fldChar w:fldCharType="end"/>
      </w:r>
      <w:r w:rsidR="004503DE" w:rsidRPr="00472335">
        <w:rPr>
          <w:rFonts w:ascii="Arial Unicode MS" w:eastAsia="Arial Unicode MS" w:hAnsi="Arial Unicode MS" w:cs="Arial Unicode MS"/>
          <w:sz w:val="20"/>
        </w:rPr>
        <w:t xml:space="preserve"> </w:t>
      </w:r>
      <w:r w:rsidRPr="00472335">
        <w:rPr>
          <w:rFonts w:ascii="Arial Unicode MS" w:eastAsia="Arial Unicode MS" w:hAnsi="Arial Unicode MS" w:cs="Arial Unicode MS"/>
          <w:sz w:val="20"/>
        </w:rPr>
        <w:t>identifies the following risks with m</w:t>
      </w:r>
      <w:r w:rsidR="0067161C">
        <w:rPr>
          <w:rFonts w:ascii="Arial Unicode MS" w:eastAsia="Arial Unicode MS" w:hAnsi="Arial Unicode MS" w:cs="Arial Unicode MS"/>
          <w:sz w:val="20"/>
        </w:rPr>
        <w:t>echanical ventilation systems; “</w:t>
      </w:r>
      <w:r w:rsidRPr="00472335">
        <w:rPr>
          <w:rFonts w:ascii="Arial Unicode MS" w:eastAsia="Arial Unicode MS" w:hAnsi="Arial Unicode MS" w:cs="Arial Unicode MS"/>
          <w:sz w:val="20"/>
          <w:lang w:val="en-GB" w:eastAsia="en-GB"/>
        </w:rPr>
        <w:t>HVAC-components may be dirty when installed or become dirty and release pollutants and odours; poor control of indoor temperature due to absence of cooling; low humidity in winter; noise generated by forced air flow and fans; dr</w:t>
      </w:r>
      <w:r w:rsidR="0067161C">
        <w:rPr>
          <w:rFonts w:ascii="Arial Unicode MS" w:eastAsia="Arial Unicode MS" w:hAnsi="Arial Unicode MS" w:cs="Arial Unicode MS"/>
          <w:sz w:val="20"/>
          <w:lang w:val="en-GB" w:eastAsia="en-GB"/>
        </w:rPr>
        <w:t>aft caused by forced air flows”.</w:t>
      </w:r>
    </w:p>
    <w:p w:rsidR="005A501A" w:rsidRPr="00472335" w:rsidRDefault="005A501A" w:rsidP="005A501A">
      <w:pPr>
        <w:pStyle w:val="06BodyMaintext"/>
        <w:spacing w:line="240" w:lineRule="auto"/>
        <w:ind w:right="95" w:firstLine="0"/>
        <w:rPr>
          <w:rFonts w:ascii="Arial Unicode MS" w:eastAsia="Arial Unicode MS" w:hAnsi="Arial Unicode MS" w:cs="Arial Unicode MS"/>
          <w:sz w:val="20"/>
          <w:lang w:val="en-GB" w:eastAsia="en-GB"/>
        </w:rPr>
      </w:pPr>
    </w:p>
    <w:p w:rsidR="005A501A" w:rsidRPr="00472335" w:rsidRDefault="005A501A" w:rsidP="005A501A">
      <w:pPr>
        <w:pStyle w:val="06BodyMaintext"/>
        <w:spacing w:line="240" w:lineRule="auto"/>
        <w:ind w:right="95" w:firstLine="0"/>
        <w:rPr>
          <w:rFonts w:ascii="Arial Unicode MS" w:eastAsia="Arial Unicode MS" w:hAnsi="Arial Unicode MS" w:cs="Arial Unicode MS"/>
          <w:sz w:val="20"/>
        </w:rPr>
      </w:pPr>
      <w:r w:rsidRPr="00472335">
        <w:rPr>
          <w:rFonts w:ascii="Arial Unicode MS" w:eastAsia="Arial Unicode MS" w:hAnsi="Arial Unicode MS" w:cs="Arial Unicode MS"/>
          <w:sz w:val="20"/>
        </w:rPr>
        <w:t xml:space="preserve">As suggested by Sullivan et al. </w:t>
      </w:r>
      <w:r w:rsidR="007F40FF" w:rsidRPr="00472335">
        <w:rPr>
          <w:rFonts w:ascii="Arial Unicode MS" w:eastAsia="Arial Unicode MS" w:hAnsi="Arial Unicode MS" w:cs="Arial Unicode MS"/>
          <w:sz w:val="20"/>
        </w:rPr>
        <w:fldChar w:fldCharType="begin"/>
      </w:r>
      <w:r w:rsidR="00AF0C6D">
        <w:rPr>
          <w:rFonts w:ascii="Arial Unicode MS" w:eastAsia="Arial Unicode MS" w:hAnsi="Arial Unicode MS" w:cs="Arial Unicode MS"/>
          <w:sz w:val="20"/>
        </w:rPr>
        <w:instrText>ADDIN RW.CITE{{364 Sullivan,L. 2012 /a}}</w:instrText>
      </w:r>
      <w:r w:rsidR="007F40FF" w:rsidRPr="00472335">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(2012)</w:t>
      </w:r>
      <w:r w:rsidR="007F40FF" w:rsidRPr="00472335">
        <w:rPr>
          <w:rFonts w:ascii="Arial Unicode MS" w:eastAsia="Arial Unicode MS" w:hAnsi="Arial Unicode MS" w:cs="Arial Unicode MS"/>
          <w:sz w:val="20"/>
        </w:rPr>
        <w:fldChar w:fldCharType="end"/>
      </w:r>
      <w:r w:rsidR="0067161C">
        <w:rPr>
          <w:rFonts w:ascii="Arial Unicode MS" w:eastAsia="Arial Unicode MS" w:hAnsi="Arial Unicode MS" w:cs="Arial Unicode MS"/>
          <w:sz w:val="20"/>
        </w:rPr>
        <w:t>, “T</w:t>
      </w:r>
      <w:r w:rsidRPr="00472335">
        <w:rPr>
          <w:rFonts w:ascii="Arial Unicode MS" w:eastAsia="Arial Unicode MS" w:hAnsi="Arial Unicode MS" w:cs="Arial Unicode MS"/>
          <w:sz w:val="20"/>
        </w:rPr>
        <w:t>he current trend towards mechanical ventilation with heat recovery (MVHR) will continue and it is likely to become the dominant f</w:t>
      </w:r>
      <w:r w:rsidR="0067161C">
        <w:rPr>
          <w:rFonts w:ascii="Arial Unicode MS" w:eastAsia="Arial Unicode MS" w:hAnsi="Arial Unicode MS" w:cs="Arial Unicode MS"/>
          <w:sz w:val="20"/>
        </w:rPr>
        <w:t>orm of ventilation in new homes”</w:t>
      </w:r>
      <w:r w:rsidRPr="00472335">
        <w:rPr>
          <w:rFonts w:ascii="Arial Unicode MS" w:eastAsia="Arial Unicode MS" w:hAnsi="Arial Unicode MS" w:cs="Arial Unicode MS"/>
          <w:sz w:val="20"/>
        </w:rPr>
        <w:t xml:space="preserve">. It is therefore fundamental that, to ensure occupant health is not adversely affected in the process of energy conservation, more research investigating the effects of these new technologies and strategies are employed. </w:t>
      </w:r>
    </w:p>
    <w:p w:rsidR="005A501A" w:rsidRPr="00472335" w:rsidRDefault="005A501A" w:rsidP="005A501A">
      <w:pPr>
        <w:pStyle w:val="06BodyMaintext"/>
        <w:spacing w:line="240" w:lineRule="auto"/>
        <w:ind w:right="95" w:firstLine="0"/>
        <w:rPr>
          <w:rFonts w:ascii="Arial Unicode MS" w:eastAsia="Arial Unicode MS" w:hAnsi="Arial Unicode MS" w:cs="Arial Unicode MS"/>
          <w:sz w:val="20"/>
        </w:rPr>
      </w:pPr>
    </w:p>
    <w:p w:rsidR="005A501A" w:rsidRDefault="00707A28" w:rsidP="005A501A">
      <w:pPr>
        <w:pStyle w:val="06BodyMaintext"/>
        <w:spacing w:line="240" w:lineRule="auto"/>
        <w:ind w:right="95" w:firstLine="0"/>
        <w:rPr>
          <w:rFonts w:ascii="Arial Unicode MS" w:eastAsia="Arial Unicode MS" w:hAnsi="Arial Unicode MS" w:cs="Arial Unicode MS"/>
          <w:sz w:val="20"/>
        </w:rPr>
      </w:pPr>
      <w:r w:rsidRPr="00472335">
        <w:rPr>
          <w:rFonts w:ascii="Arial Unicode MS" w:eastAsia="Arial Unicode MS" w:hAnsi="Arial Unicode MS" w:cs="Arial Unicode MS"/>
          <w:sz w:val="20"/>
        </w:rPr>
        <w:t>The objective of this study</w:t>
      </w:r>
      <w:r w:rsidR="005A501A" w:rsidRPr="00472335">
        <w:rPr>
          <w:rFonts w:ascii="Arial Unicode MS" w:eastAsia="Arial Unicode MS" w:hAnsi="Arial Unicode MS" w:cs="Arial Unicode MS"/>
          <w:sz w:val="20"/>
        </w:rPr>
        <w:t xml:space="preserve"> th</w:t>
      </w:r>
      <w:r w:rsidRPr="00472335">
        <w:rPr>
          <w:rFonts w:ascii="Arial Unicode MS" w:eastAsia="Arial Unicode MS" w:hAnsi="Arial Unicode MS" w:cs="Arial Unicode MS"/>
          <w:sz w:val="20"/>
        </w:rPr>
        <w:t>us</w:t>
      </w:r>
      <w:r w:rsidR="005A501A" w:rsidRPr="00472335">
        <w:rPr>
          <w:rFonts w:ascii="Arial Unicode MS" w:eastAsia="Arial Unicode MS" w:hAnsi="Arial Unicode MS" w:cs="Arial Unicode MS"/>
          <w:sz w:val="20"/>
        </w:rPr>
        <w:t xml:space="preserve"> is to investigate the effects of energy efficient building design strategies on the indoor air quality, perceived environmental quality and health/wellbeing of building occupants. A case study approach was adopted in a UK context, through employment of physical indoor/outdoor air quality measurements, available energy data and building information, occupant interviews, activity diary, weather monitoring and building survey. Ventilation was also discussed, with particular reference to the use of MVHR. The findings may be used to support the growing body of knowledge on IAQ in energy efficient homes, including recommendations and future research needs. </w:t>
      </w:r>
    </w:p>
    <w:p w:rsidR="00DD4A10" w:rsidRPr="00472335" w:rsidRDefault="00DD4A10" w:rsidP="00DD4A10">
      <w:pPr>
        <w:pStyle w:val="06BodyMaintext"/>
        <w:spacing w:before="240" w:after="240" w:line="240" w:lineRule="auto"/>
        <w:ind w:right="95" w:firstLine="0"/>
        <w:rPr>
          <w:rFonts w:ascii="Arial Unicode MS" w:eastAsia="Arial Unicode MS" w:hAnsi="Arial Unicode MS" w:cs="Arial Unicode MS"/>
          <w:sz w:val="20"/>
        </w:rPr>
      </w:pPr>
    </w:p>
    <w:p w:rsidR="005A501A" w:rsidRDefault="005A501A" w:rsidP="001C7875">
      <w:pPr>
        <w:pStyle w:val="Heading10"/>
        <w:numPr>
          <w:ilvl w:val="0"/>
          <w:numId w:val="13"/>
        </w:numPr>
        <w:spacing w:line="240" w:lineRule="auto"/>
        <w:rPr>
          <w:rFonts w:eastAsia="Arial Unicode MS" w:cs="Arial"/>
        </w:rPr>
      </w:pPr>
      <w:r>
        <w:rPr>
          <w:rFonts w:eastAsia="Arial Unicode MS" w:cs="Arial"/>
        </w:rPr>
        <w:t>Household Characteristics</w:t>
      </w:r>
    </w:p>
    <w:p w:rsidR="005A501A" w:rsidRPr="005A501A" w:rsidRDefault="005A501A" w:rsidP="005A501A">
      <w:pPr>
        <w:pStyle w:val="07BodySpaceAboveApplytomaintextafternumberedlist"/>
        <w:spacing w:line="240" w:lineRule="auto"/>
        <w:ind w:firstLine="0"/>
        <w:rPr>
          <w:rFonts w:ascii="Arial Unicode MS" w:eastAsia="Arial Unicode MS" w:hAnsi="Arial Unicode MS" w:cs="Arial Unicode MS"/>
          <w:sz w:val="20"/>
        </w:rPr>
      </w:pPr>
      <w:r w:rsidRPr="005A501A">
        <w:rPr>
          <w:rFonts w:ascii="Arial Unicode MS" w:eastAsia="Arial Unicode MS" w:hAnsi="Arial Unicode MS" w:cs="Arial Unicode MS"/>
          <w:sz w:val="20"/>
        </w:rPr>
        <w:t>This study investigated the IAQ of a row of six airtight, energy efficient case study homes located in the UK. The hom</w:t>
      </w:r>
      <w:r>
        <w:rPr>
          <w:rFonts w:ascii="Arial Unicode MS" w:eastAsia="Arial Unicode MS" w:hAnsi="Arial Unicode MS" w:cs="Arial Unicode MS"/>
          <w:sz w:val="20"/>
        </w:rPr>
        <w:t>es (</w:t>
      </w:r>
      <w:r w:rsidRPr="005A501A">
        <w:rPr>
          <w:rFonts w:ascii="Arial Unicode MS" w:eastAsia="Arial Unicode MS" w:hAnsi="Arial Unicode MS" w:cs="Arial Unicode MS"/>
          <w:sz w:val="20"/>
        </w:rPr>
        <w:t>approximately 1,100sq/f</w:t>
      </w:r>
      <w:r>
        <w:rPr>
          <w:rFonts w:ascii="Arial Unicode MS" w:eastAsia="Arial Unicode MS" w:hAnsi="Arial Unicode MS" w:cs="Arial Unicode MS"/>
          <w:sz w:val="20"/>
        </w:rPr>
        <w:t>)</w:t>
      </w:r>
      <w:r w:rsidRPr="005A501A">
        <w:rPr>
          <w:rFonts w:ascii="Arial Unicode MS" w:eastAsia="Arial Unicode MS" w:hAnsi="Arial Unicode MS" w:cs="Arial Unicode MS"/>
          <w:sz w:val="20"/>
        </w:rPr>
        <w:t xml:space="preserve"> consist of three bedrooms, open plan living room/kitchen and two bathrooms. The construction is based on a standard timber frame with brick outer leaf. The homes are two storied owner occupied with off street parking, and are located in a residential area of moderate population and traffic flow. Mechanical Ventilation with Heat Recovery </w:t>
      </w:r>
      <w:r w:rsidR="00F01201">
        <w:rPr>
          <w:rFonts w:ascii="Arial Unicode MS" w:eastAsia="Arial Unicode MS" w:hAnsi="Arial Unicode MS" w:cs="Arial Unicode MS"/>
          <w:sz w:val="20"/>
        </w:rPr>
        <w:t xml:space="preserve">systems </w:t>
      </w:r>
      <w:r w:rsidRPr="005A501A">
        <w:rPr>
          <w:rFonts w:ascii="Arial Unicode MS" w:eastAsia="Arial Unicode MS" w:hAnsi="Arial Unicode MS" w:cs="Arial Unicode MS"/>
          <w:sz w:val="20"/>
        </w:rPr>
        <w:t xml:space="preserve">(MVHR) </w:t>
      </w:r>
      <w:r w:rsidR="00F01201">
        <w:rPr>
          <w:rFonts w:ascii="Arial Unicode MS" w:eastAsia="Arial Unicode MS" w:hAnsi="Arial Unicode MS" w:cs="Arial Unicode MS"/>
          <w:sz w:val="20"/>
        </w:rPr>
        <w:t>are</w:t>
      </w:r>
      <w:r w:rsidRPr="005A501A">
        <w:rPr>
          <w:rFonts w:ascii="Arial Unicode MS" w:eastAsia="Arial Unicode MS" w:hAnsi="Arial Unicode MS" w:cs="Arial Unicode MS"/>
          <w:sz w:val="20"/>
        </w:rPr>
        <w:t xml:space="preserve"> used in all homes, with a specified efficiency of &gt;80%. The homes are highly insulated with triple glazed windows (U-value of 1.0 W/m</w:t>
      </w:r>
      <w:r w:rsidRPr="005A501A">
        <w:rPr>
          <w:rFonts w:ascii="Arial Unicode MS" w:eastAsia="Arial Unicode MS" w:hAnsi="Arial Unicode MS" w:cs="Arial Unicode MS"/>
          <w:sz w:val="20"/>
          <w:vertAlign w:val="superscript"/>
        </w:rPr>
        <w:t>2</w:t>
      </w:r>
      <w:r w:rsidRPr="005A501A">
        <w:rPr>
          <w:rFonts w:ascii="Arial Unicode MS" w:eastAsia="Arial Unicode MS" w:hAnsi="Arial Unicode MS" w:cs="Arial Unicode MS"/>
          <w:sz w:val="20"/>
        </w:rPr>
        <w:t>K) and achieve an average air tightness of 2m</w:t>
      </w:r>
      <w:r w:rsidRPr="005A501A">
        <w:rPr>
          <w:rFonts w:ascii="Arial Unicode MS" w:eastAsia="Arial Unicode MS" w:hAnsi="Arial Unicode MS" w:cs="Arial Unicode MS"/>
          <w:sz w:val="20"/>
          <w:vertAlign w:val="superscript"/>
        </w:rPr>
        <w:t>3</w:t>
      </w:r>
      <w:r w:rsidRPr="005A501A">
        <w:rPr>
          <w:rFonts w:ascii="Arial Unicode MS" w:eastAsia="Arial Unicode MS" w:hAnsi="Arial Unicode MS" w:cs="Arial Unicode MS"/>
          <w:sz w:val="20"/>
        </w:rPr>
        <w:t>/h/m</w:t>
      </w:r>
      <w:r w:rsidRPr="005A501A">
        <w:rPr>
          <w:rFonts w:ascii="Arial Unicode MS" w:eastAsia="Arial Unicode MS" w:hAnsi="Arial Unicode MS" w:cs="Arial Unicode MS"/>
          <w:sz w:val="20"/>
          <w:vertAlign w:val="superscript"/>
        </w:rPr>
        <w:t>2</w:t>
      </w:r>
      <w:r w:rsidRPr="005A501A">
        <w:rPr>
          <w:rFonts w:ascii="Arial Unicode MS" w:eastAsia="Arial Unicode MS" w:hAnsi="Arial Unicode MS" w:cs="Arial Unicode MS"/>
          <w:sz w:val="20"/>
        </w:rPr>
        <w:t xml:space="preserve"> @ 50 Pa. Solar panels are utilized for hot water demands, in combination with a small air source heat pump for use during the winter months. The homes are compliant with Code for Sustainable Homes level 4 however are equivalent to level 5 in relation to energy use and thermal efficiency. Annual space heating demand is 9.03 Kwh/(m</w:t>
      </w:r>
      <w:r w:rsidRPr="005A501A">
        <w:rPr>
          <w:rFonts w:ascii="Arial Unicode MS" w:eastAsia="Arial Unicode MS" w:hAnsi="Arial Unicode MS" w:cs="Arial Unicode MS"/>
          <w:sz w:val="20"/>
          <w:vertAlign w:val="superscript"/>
        </w:rPr>
        <w:t>2</w:t>
      </w:r>
      <w:r w:rsidRPr="005A501A">
        <w:rPr>
          <w:rFonts w:ascii="Arial Unicode MS" w:eastAsia="Arial Unicode MS" w:hAnsi="Arial Unicode MS" w:cs="Arial Unicode MS"/>
          <w:sz w:val="20"/>
        </w:rPr>
        <w:t>a). The roof and floors have a specified U-value of 0.11 W/m</w:t>
      </w:r>
      <w:r w:rsidRPr="005A501A">
        <w:rPr>
          <w:rFonts w:ascii="Arial Unicode MS" w:eastAsia="Arial Unicode MS" w:hAnsi="Arial Unicode MS" w:cs="Arial Unicode MS"/>
          <w:sz w:val="20"/>
          <w:vertAlign w:val="superscript"/>
        </w:rPr>
        <w:t>2</w:t>
      </w:r>
      <w:r w:rsidRPr="005A501A">
        <w:rPr>
          <w:rFonts w:ascii="Arial Unicode MS" w:eastAsia="Arial Unicode MS" w:hAnsi="Arial Unicode MS" w:cs="Arial Unicode MS"/>
          <w:sz w:val="20"/>
        </w:rPr>
        <w:t>K and the walls a U-value of 0.125 W/m</w:t>
      </w:r>
      <w:r w:rsidRPr="005A501A">
        <w:rPr>
          <w:rFonts w:ascii="Arial Unicode MS" w:eastAsia="Arial Unicode MS" w:hAnsi="Arial Unicode MS" w:cs="Arial Unicode MS"/>
          <w:sz w:val="20"/>
          <w:vertAlign w:val="superscript"/>
        </w:rPr>
        <w:t>2</w:t>
      </w:r>
      <w:r w:rsidRPr="005A501A">
        <w:rPr>
          <w:rFonts w:ascii="Arial Unicode MS" w:eastAsia="Arial Unicode MS" w:hAnsi="Arial Unicode MS" w:cs="Arial Unicode MS"/>
          <w:sz w:val="20"/>
        </w:rPr>
        <w:t>K.</w:t>
      </w:r>
      <w:r w:rsidR="00EA4FC6">
        <w:rPr>
          <w:rFonts w:ascii="Arial Unicode MS" w:eastAsia="Arial Unicode MS" w:hAnsi="Arial Unicode MS" w:cs="Arial Unicode MS"/>
          <w:sz w:val="20"/>
        </w:rPr>
        <w:t xml:space="preserve"> </w:t>
      </w:r>
    </w:p>
    <w:tbl>
      <w:tblPr>
        <w:tblW w:w="4866" w:type="pct"/>
        <w:jc w:val="center"/>
        <w:tblInd w:w="-154" w:type="dxa"/>
        <w:tblBorders>
          <w:top w:val="single" w:sz="18" w:space="0" w:color="auto"/>
          <w:bottom w:val="single" w:sz="18" w:space="0" w:color="auto"/>
        </w:tblBorders>
        <w:tblLook w:val="04A0" w:firstRow="1" w:lastRow="0" w:firstColumn="1" w:lastColumn="0" w:noHBand="0" w:noVBand="1"/>
      </w:tblPr>
      <w:tblGrid>
        <w:gridCol w:w="995"/>
        <w:gridCol w:w="1525"/>
        <w:gridCol w:w="1214"/>
        <w:gridCol w:w="1653"/>
        <w:gridCol w:w="1560"/>
        <w:gridCol w:w="2047"/>
      </w:tblGrid>
      <w:tr w:rsidR="005A501A" w:rsidRPr="005A501A" w:rsidTr="00096AD6">
        <w:trPr>
          <w:jc w:val="center"/>
        </w:trPr>
        <w:tc>
          <w:tcPr>
            <w:tcW w:w="5000" w:type="pct"/>
            <w:gridSpan w:val="6"/>
            <w:tcBorders>
              <w:top w:val="nil"/>
              <w:bottom w:val="single" w:sz="2" w:space="0" w:color="auto"/>
            </w:tcBorders>
          </w:tcPr>
          <w:p w:rsidR="005A501A" w:rsidRPr="000E0FA4" w:rsidRDefault="005A501A" w:rsidP="000E0FA4">
            <w:pPr>
              <w:rPr>
                <w:rFonts w:eastAsia="Arial Unicode MS"/>
              </w:rPr>
            </w:pPr>
            <w:r w:rsidRPr="000E0FA4">
              <w:rPr>
                <w:rFonts w:eastAsia="Arial Unicode MS"/>
              </w:rPr>
              <w:t>Table 1.   Household characteristics</w:t>
            </w:r>
          </w:p>
        </w:tc>
      </w:tr>
      <w:tr w:rsidR="005A501A" w:rsidRPr="005A501A" w:rsidTr="00096AD6">
        <w:trPr>
          <w:jc w:val="center"/>
        </w:trPr>
        <w:tc>
          <w:tcPr>
            <w:tcW w:w="553" w:type="pct"/>
            <w:tcBorders>
              <w:top w:val="single" w:sz="2" w:space="0" w:color="auto"/>
              <w:bottom w:val="single" w:sz="2" w:space="0" w:color="auto"/>
            </w:tcBorders>
            <w:vAlign w:val="center"/>
          </w:tcPr>
          <w:p w:rsidR="005A501A" w:rsidRPr="005A501A" w:rsidRDefault="005A501A" w:rsidP="00985198">
            <w:pPr>
              <w:pStyle w:val="NoSpacing"/>
            </w:pPr>
            <w:r w:rsidRPr="005A501A">
              <w:t>House No.</w:t>
            </w:r>
          </w:p>
        </w:tc>
        <w:tc>
          <w:tcPr>
            <w:tcW w:w="848" w:type="pct"/>
            <w:tcBorders>
              <w:top w:val="single" w:sz="2" w:space="0" w:color="auto"/>
              <w:bottom w:val="single" w:sz="2" w:space="0" w:color="auto"/>
            </w:tcBorders>
            <w:vAlign w:val="center"/>
          </w:tcPr>
          <w:p w:rsidR="005A501A" w:rsidRPr="005A501A" w:rsidRDefault="005A501A" w:rsidP="00985198">
            <w:pPr>
              <w:pStyle w:val="NoSpacing"/>
            </w:pPr>
            <w:r w:rsidRPr="005A501A">
              <w:t>No. of occupants</w:t>
            </w:r>
          </w:p>
        </w:tc>
        <w:tc>
          <w:tcPr>
            <w:tcW w:w="675" w:type="pct"/>
            <w:tcBorders>
              <w:top w:val="single" w:sz="2" w:space="0" w:color="auto"/>
              <w:bottom w:val="single" w:sz="2" w:space="0" w:color="auto"/>
            </w:tcBorders>
            <w:vAlign w:val="center"/>
          </w:tcPr>
          <w:p w:rsidR="005A501A" w:rsidRPr="005A501A" w:rsidRDefault="005A501A" w:rsidP="00985198">
            <w:pPr>
              <w:pStyle w:val="NoSpacing"/>
            </w:pPr>
            <w:r w:rsidRPr="005A501A">
              <w:t>No. of smokers</w:t>
            </w:r>
          </w:p>
        </w:tc>
        <w:tc>
          <w:tcPr>
            <w:tcW w:w="919" w:type="pct"/>
            <w:tcBorders>
              <w:top w:val="single" w:sz="2" w:space="0" w:color="auto"/>
              <w:bottom w:val="single" w:sz="2" w:space="0" w:color="auto"/>
            </w:tcBorders>
            <w:vAlign w:val="center"/>
          </w:tcPr>
          <w:p w:rsidR="005A501A" w:rsidRPr="005A501A" w:rsidRDefault="005A501A" w:rsidP="00985198">
            <w:pPr>
              <w:pStyle w:val="NoSpacing"/>
            </w:pPr>
            <w:r w:rsidRPr="005A501A">
              <w:t>Are cigarettes smoked indoors</w:t>
            </w:r>
          </w:p>
        </w:tc>
        <w:tc>
          <w:tcPr>
            <w:tcW w:w="867" w:type="pct"/>
            <w:tcBorders>
              <w:top w:val="single" w:sz="2" w:space="0" w:color="auto"/>
              <w:bottom w:val="single" w:sz="2" w:space="0" w:color="auto"/>
            </w:tcBorders>
            <w:vAlign w:val="center"/>
          </w:tcPr>
          <w:p w:rsidR="005A501A" w:rsidRPr="005A501A" w:rsidRDefault="005A501A" w:rsidP="00985198">
            <w:pPr>
              <w:pStyle w:val="NoSpacing"/>
            </w:pPr>
            <w:r w:rsidRPr="005A501A">
              <w:t>Main cooking fuel</w:t>
            </w:r>
          </w:p>
        </w:tc>
        <w:tc>
          <w:tcPr>
            <w:tcW w:w="1138" w:type="pct"/>
            <w:tcBorders>
              <w:top w:val="single" w:sz="2" w:space="0" w:color="auto"/>
              <w:bottom w:val="single" w:sz="2" w:space="0" w:color="auto"/>
            </w:tcBorders>
            <w:vAlign w:val="center"/>
          </w:tcPr>
          <w:p w:rsidR="005A501A" w:rsidRPr="005A501A" w:rsidRDefault="005A501A" w:rsidP="00985198">
            <w:pPr>
              <w:pStyle w:val="NoSpacing"/>
            </w:pPr>
            <w:r w:rsidRPr="005A501A">
              <w:t>Main heating</w:t>
            </w:r>
          </w:p>
          <w:p w:rsidR="005A501A" w:rsidRPr="005A501A" w:rsidRDefault="005A501A" w:rsidP="00985198">
            <w:pPr>
              <w:pStyle w:val="NoSpacing"/>
            </w:pPr>
            <w:r w:rsidRPr="005A501A">
              <w:t>fuel</w:t>
            </w:r>
          </w:p>
        </w:tc>
      </w:tr>
      <w:tr w:rsidR="005A501A" w:rsidRPr="005A501A" w:rsidTr="00096AD6">
        <w:trPr>
          <w:jc w:val="center"/>
        </w:trPr>
        <w:tc>
          <w:tcPr>
            <w:tcW w:w="553" w:type="pct"/>
            <w:tcBorders>
              <w:top w:val="single" w:sz="2" w:space="0" w:color="auto"/>
            </w:tcBorders>
            <w:vAlign w:val="center"/>
          </w:tcPr>
          <w:p w:rsidR="005A501A" w:rsidRPr="005A501A" w:rsidRDefault="005A501A" w:rsidP="00985198">
            <w:pPr>
              <w:pStyle w:val="NoSpacing"/>
              <w:rPr>
                <w:sz w:val="20"/>
              </w:rPr>
            </w:pPr>
            <w:r w:rsidRPr="005A501A">
              <w:rPr>
                <w:sz w:val="20"/>
              </w:rPr>
              <w:t>No.1</w:t>
            </w:r>
          </w:p>
        </w:tc>
        <w:tc>
          <w:tcPr>
            <w:tcW w:w="848" w:type="pct"/>
            <w:tcBorders>
              <w:top w:val="single" w:sz="2" w:space="0" w:color="auto"/>
            </w:tcBorders>
            <w:vAlign w:val="center"/>
          </w:tcPr>
          <w:p w:rsidR="005A501A" w:rsidRPr="005A501A" w:rsidRDefault="005A501A" w:rsidP="00985198">
            <w:pPr>
              <w:pStyle w:val="NoSpacing"/>
              <w:rPr>
                <w:sz w:val="20"/>
              </w:rPr>
            </w:pPr>
            <w:r w:rsidRPr="005A501A">
              <w:rPr>
                <w:sz w:val="20"/>
              </w:rPr>
              <w:t>3</w:t>
            </w:r>
          </w:p>
        </w:tc>
        <w:tc>
          <w:tcPr>
            <w:tcW w:w="675" w:type="pct"/>
            <w:tcBorders>
              <w:top w:val="single" w:sz="2" w:space="0" w:color="auto"/>
            </w:tcBorders>
            <w:vAlign w:val="center"/>
          </w:tcPr>
          <w:p w:rsidR="005A501A" w:rsidRPr="005A501A" w:rsidRDefault="005A501A" w:rsidP="00985198">
            <w:pPr>
              <w:pStyle w:val="NoSpacing"/>
              <w:rPr>
                <w:sz w:val="20"/>
              </w:rPr>
            </w:pPr>
            <w:r w:rsidRPr="005A501A">
              <w:rPr>
                <w:sz w:val="20"/>
              </w:rPr>
              <w:t>2</w:t>
            </w:r>
          </w:p>
        </w:tc>
        <w:tc>
          <w:tcPr>
            <w:tcW w:w="919" w:type="pct"/>
            <w:tcBorders>
              <w:top w:val="single" w:sz="2" w:space="0" w:color="auto"/>
            </w:tcBorders>
          </w:tcPr>
          <w:p w:rsidR="005A501A" w:rsidRPr="005A501A" w:rsidRDefault="005A501A" w:rsidP="00985198">
            <w:pPr>
              <w:pStyle w:val="NoSpacing"/>
              <w:rPr>
                <w:sz w:val="20"/>
              </w:rPr>
            </w:pPr>
            <w:r w:rsidRPr="005A501A">
              <w:rPr>
                <w:sz w:val="20"/>
              </w:rPr>
              <w:t>No</w:t>
            </w:r>
          </w:p>
        </w:tc>
        <w:tc>
          <w:tcPr>
            <w:tcW w:w="867" w:type="pct"/>
            <w:tcBorders>
              <w:top w:val="single" w:sz="2" w:space="0" w:color="auto"/>
            </w:tcBorders>
          </w:tcPr>
          <w:p w:rsidR="005A501A" w:rsidRPr="005A501A" w:rsidRDefault="005A501A" w:rsidP="00985198">
            <w:pPr>
              <w:pStyle w:val="NoSpacing"/>
              <w:rPr>
                <w:sz w:val="20"/>
              </w:rPr>
            </w:pPr>
            <w:r w:rsidRPr="005A501A">
              <w:rPr>
                <w:sz w:val="20"/>
              </w:rPr>
              <w:t>Natural gas</w:t>
            </w:r>
          </w:p>
        </w:tc>
        <w:tc>
          <w:tcPr>
            <w:tcW w:w="1138" w:type="pct"/>
            <w:tcBorders>
              <w:top w:val="single" w:sz="2" w:space="0" w:color="auto"/>
            </w:tcBorders>
            <w:vAlign w:val="center"/>
          </w:tcPr>
          <w:p w:rsidR="005A501A" w:rsidRPr="005A501A" w:rsidRDefault="005A501A" w:rsidP="00985198">
            <w:pPr>
              <w:pStyle w:val="NoSpacing"/>
              <w:rPr>
                <w:sz w:val="20"/>
              </w:rPr>
            </w:pPr>
            <w:r w:rsidRPr="005A501A">
              <w:rPr>
                <w:sz w:val="20"/>
              </w:rPr>
              <w:t>Natural gas (fire)</w:t>
            </w:r>
          </w:p>
        </w:tc>
      </w:tr>
      <w:tr w:rsidR="005A501A" w:rsidRPr="005A501A" w:rsidTr="00096AD6">
        <w:trPr>
          <w:jc w:val="center"/>
        </w:trPr>
        <w:tc>
          <w:tcPr>
            <w:tcW w:w="553" w:type="pct"/>
            <w:vAlign w:val="center"/>
          </w:tcPr>
          <w:p w:rsidR="005A501A" w:rsidRPr="005A501A" w:rsidRDefault="005A501A" w:rsidP="00985198">
            <w:pPr>
              <w:pStyle w:val="NoSpacing"/>
              <w:rPr>
                <w:sz w:val="20"/>
              </w:rPr>
            </w:pPr>
            <w:r w:rsidRPr="005A501A">
              <w:rPr>
                <w:sz w:val="20"/>
              </w:rPr>
              <w:t>No.2</w:t>
            </w:r>
          </w:p>
        </w:tc>
        <w:tc>
          <w:tcPr>
            <w:tcW w:w="848" w:type="pct"/>
            <w:vAlign w:val="center"/>
          </w:tcPr>
          <w:p w:rsidR="005A501A" w:rsidRPr="005A501A" w:rsidRDefault="005A501A" w:rsidP="00985198">
            <w:pPr>
              <w:pStyle w:val="NoSpacing"/>
              <w:rPr>
                <w:sz w:val="20"/>
              </w:rPr>
            </w:pPr>
            <w:r w:rsidRPr="005A501A">
              <w:rPr>
                <w:sz w:val="20"/>
              </w:rPr>
              <w:t>3</w:t>
            </w:r>
          </w:p>
        </w:tc>
        <w:tc>
          <w:tcPr>
            <w:tcW w:w="675" w:type="pct"/>
            <w:vAlign w:val="center"/>
          </w:tcPr>
          <w:p w:rsidR="005A501A" w:rsidRPr="005A501A" w:rsidRDefault="005A501A" w:rsidP="00985198">
            <w:pPr>
              <w:pStyle w:val="NoSpacing"/>
              <w:rPr>
                <w:sz w:val="20"/>
              </w:rPr>
            </w:pPr>
            <w:r w:rsidRPr="005A501A">
              <w:rPr>
                <w:sz w:val="20"/>
              </w:rPr>
              <w:t>0</w:t>
            </w:r>
          </w:p>
        </w:tc>
        <w:tc>
          <w:tcPr>
            <w:tcW w:w="919" w:type="pct"/>
          </w:tcPr>
          <w:p w:rsidR="005A501A" w:rsidRPr="005A501A" w:rsidRDefault="005A501A" w:rsidP="00985198">
            <w:pPr>
              <w:pStyle w:val="NoSpacing"/>
              <w:rPr>
                <w:sz w:val="20"/>
              </w:rPr>
            </w:pPr>
            <w:r w:rsidRPr="005A501A">
              <w:rPr>
                <w:sz w:val="20"/>
              </w:rPr>
              <w:t>N/A</w:t>
            </w:r>
          </w:p>
        </w:tc>
        <w:tc>
          <w:tcPr>
            <w:tcW w:w="867" w:type="pct"/>
          </w:tcPr>
          <w:p w:rsidR="005A501A" w:rsidRPr="005A501A" w:rsidRDefault="005A501A" w:rsidP="00985198">
            <w:pPr>
              <w:pStyle w:val="NoSpacing"/>
              <w:rPr>
                <w:sz w:val="20"/>
              </w:rPr>
            </w:pPr>
            <w:r w:rsidRPr="005A501A">
              <w:rPr>
                <w:sz w:val="20"/>
              </w:rPr>
              <w:t>Electric</w:t>
            </w:r>
          </w:p>
        </w:tc>
        <w:tc>
          <w:tcPr>
            <w:tcW w:w="1138" w:type="pct"/>
            <w:vAlign w:val="center"/>
          </w:tcPr>
          <w:p w:rsidR="005A501A" w:rsidRPr="005A501A" w:rsidRDefault="005A501A" w:rsidP="00985198">
            <w:pPr>
              <w:pStyle w:val="NoSpacing"/>
              <w:rPr>
                <w:sz w:val="20"/>
              </w:rPr>
            </w:pPr>
            <w:r w:rsidRPr="005A501A">
              <w:rPr>
                <w:sz w:val="20"/>
              </w:rPr>
              <w:t>Natural gas (fire)</w:t>
            </w:r>
          </w:p>
        </w:tc>
      </w:tr>
      <w:tr w:rsidR="005A501A" w:rsidRPr="005A501A" w:rsidTr="00096AD6">
        <w:trPr>
          <w:jc w:val="center"/>
        </w:trPr>
        <w:tc>
          <w:tcPr>
            <w:tcW w:w="553" w:type="pct"/>
            <w:vAlign w:val="center"/>
          </w:tcPr>
          <w:p w:rsidR="005A501A" w:rsidRPr="005A501A" w:rsidRDefault="005A501A" w:rsidP="00985198">
            <w:pPr>
              <w:pStyle w:val="NoSpacing"/>
              <w:rPr>
                <w:sz w:val="20"/>
              </w:rPr>
            </w:pPr>
            <w:r w:rsidRPr="005A501A">
              <w:rPr>
                <w:sz w:val="20"/>
              </w:rPr>
              <w:t>No.3</w:t>
            </w:r>
          </w:p>
        </w:tc>
        <w:tc>
          <w:tcPr>
            <w:tcW w:w="848" w:type="pct"/>
            <w:vAlign w:val="center"/>
          </w:tcPr>
          <w:p w:rsidR="005A501A" w:rsidRPr="005A501A" w:rsidRDefault="005A501A" w:rsidP="00985198">
            <w:pPr>
              <w:pStyle w:val="NoSpacing"/>
              <w:rPr>
                <w:sz w:val="20"/>
              </w:rPr>
            </w:pPr>
            <w:r w:rsidRPr="005A501A">
              <w:rPr>
                <w:sz w:val="20"/>
              </w:rPr>
              <w:t>4</w:t>
            </w:r>
          </w:p>
        </w:tc>
        <w:tc>
          <w:tcPr>
            <w:tcW w:w="675" w:type="pct"/>
            <w:vAlign w:val="center"/>
          </w:tcPr>
          <w:p w:rsidR="005A501A" w:rsidRPr="005A501A" w:rsidRDefault="005A501A" w:rsidP="00985198">
            <w:pPr>
              <w:pStyle w:val="NoSpacing"/>
              <w:rPr>
                <w:sz w:val="20"/>
              </w:rPr>
            </w:pPr>
            <w:r w:rsidRPr="005A501A">
              <w:rPr>
                <w:sz w:val="20"/>
              </w:rPr>
              <w:t>0</w:t>
            </w:r>
          </w:p>
        </w:tc>
        <w:tc>
          <w:tcPr>
            <w:tcW w:w="919" w:type="pct"/>
          </w:tcPr>
          <w:p w:rsidR="005A501A" w:rsidRPr="005A501A" w:rsidRDefault="005A501A" w:rsidP="00985198">
            <w:pPr>
              <w:pStyle w:val="NoSpacing"/>
              <w:rPr>
                <w:sz w:val="20"/>
              </w:rPr>
            </w:pPr>
            <w:r w:rsidRPr="005A501A">
              <w:rPr>
                <w:sz w:val="20"/>
              </w:rPr>
              <w:t>N/A</w:t>
            </w:r>
          </w:p>
        </w:tc>
        <w:tc>
          <w:tcPr>
            <w:tcW w:w="867" w:type="pct"/>
          </w:tcPr>
          <w:p w:rsidR="005A501A" w:rsidRPr="005A501A" w:rsidRDefault="005A501A" w:rsidP="00985198">
            <w:pPr>
              <w:pStyle w:val="NoSpacing"/>
              <w:rPr>
                <w:sz w:val="20"/>
              </w:rPr>
            </w:pPr>
            <w:r w:rsidRPr="005A501A">
              <w:rPr>
                <w:sz w:val="20"/>
              </w:rPr>
              <w:t>Natural gas</w:t>
            </w:r>
          </w:p>
        </w:tc>
        <w:tc>
          <w:tcPr>
            <w:tcW w:w="1138" w:type="pct"/>
            <w:vAlign w:val="center"/>
          </w:tcPr>
          <w:p w:rsidR="005A501A" w:rsidRPr="005A501A" w:rsidRDefault="005A501A" w:rsidP="00985198">
            <w:pPr>
              <w:pStyle w:val="NoSpacing"/>
              <w:rPr>
                <w:sz w:val="20"/>
              </w:rPr>
            </w:pPr>
            <w:r w:rsidRPr="005A501A">
              <w:rPr>
                <w:sz w:val="20"/>
              </w:rPr>
              <w:t>Natural gas (fire)</w:t>
            </w:r>
          </w:p>
        </w:tc>
      </w:tr>
      <w:tr w:rsidR="005A501A" w:rsidRPr="005A501A" w:rsidTr="00096AD6">
        <w:trPr>
          <w:jc w:val="center"/>
        </w:trPr>
        <w:tc>
          <w:tcPr>
            <w:tcW w:w="553" w:type="pct"/>
            <w:vAlign w:val="center"/>
          </w:tcPr>
          <w:p w:rsidR="005A501A" w:rsidRPr="005A501A" w:rsidRDefault="005A501A" w:rsidP="00985198">
            <w:pPr>
              <w:pStyle w:val="NoSpacing"/>
              <w:rPr>
                <w:sz w:val="20"/>
              </w:rPr>
            </w:pPr>
            <w:r w:rsidRPr="005A501A">
              <w:rPr>
                <w:sz w:val="20"/>
              </w:rPr>
              <w:t>No.4</w:t>
            </w:r>
          </w:p>
        </w:tc>
        <w:tc>
          <w:tcPr>
            <w:tcW w:w="848" w:type="pct"/>
            <w:vAlign w:val="center"/>
          </w:tcPr>
          <w:p w:rsidR="005A501A" w:rsidRPr="005A501A" w:rsidRDefault="005A501A" w:rsidP="00985198">
            <w:pPr>
              <w:pStyle w:val="NoSpacing"/>
              <w:rPr>
                <w:sz w:val="20"/>
              </w:rPr>
            </w:pPr>
            <w:r w:rsidRPr="005A501A">
              <w:rPr>
                <w:sz w:val="20"/>
              </w:rPr>
              <w:t>3</w:t>
            </w:r>
          </w:p>
        </w:tc>
        <w:tc>
          <w:tcPr>
            <w:tcW w:w="675" w:type="pct"/>
            <w:vAlign w:val="center"/>
          </w:tcPr>
          <w:p w:rsidR="005A501A" w:rsidRPr="005A501A" w:rsidRDefault="005A501A" w:rsidP="00985198">
            <w:pPr>
              <w:pStyle w:val="NoSpacing"/>
              <w:rPr>
                <w:sz w:val="20"/>
              </w:rPr>
            </w:pPr>
            <w:r w:rsidRPr="005A501A">
              <w:rPr>
                <w:sz w:val="20"/>
              </w:rPr>
              <w:t>1</w:t>
            </w:r>
          </w:p>
        </w:tc>
        <w:tc>
          <w:tcPr>
            <w:tcW w:w="919" w:type="pct"/>
          </w:tcPr>
          <w:p w:rsidR="005A501A" w:rsidRPr="005A501A" w:rsidRDefault="005A501A" w:rsidP="00985198">
            <w:pPr>
              <w:pStyle w:val="NoSpacing"/>
              <w:rPr>
                <w:sz w:val="20"/>
              </w:rPr>
            </w:pPr>
            <w:r w:rsidRPr="005A501A">
              <w:rPr>
                <w:sz w:val="20"/>
              </w:rPr>
              <w:t>No</w:t>
            </w:r>
          </w:p>
        </w:tc>
        <w:tc>
          <w:tcPr>
            <w:tcW w:w="867" w:type="pct"/>
          </w:tcPr>
          <w:p w:rsidR="005A501A" w:rsidRPr="005A501A" w:rsidRDefault="005A501A" w:rsidP="00985198">
            <w:pPr>
              <w:pStyle w:val="NoSpacing"/>
              <w:rPr>
                <w:sz w:val="20"/>
              </w:rPr>
            </w:pPr>
            <w:r w:rsidRPr="005A501A">
              <w:rPr>
                <w:sz w:val="20"/>
              </w:rPr>
              <w:t>Electric</w:t>
            </w:r>
          </w:p>
        </w:tc>
        <w:tc>
          <w:tcPr>
            <w:tcW w:w="1138" w:type="pct"/>
            <w:vAlign w:val="center"/>
          </w:tcPr>
          <w:p w:rsidR="005A501A" w:rsidRPr="005A501A" w:rsidRDefault="005A501A" w:rsidP="00985198">
            <w:pPr>
              <w:pStyle w:val="NoSpacing"/>
              <w:rPr>
                <w:sz w:val="20"/>
              </w:rPr>
            </w:pPr>
            <w:r w:rsidRPr="005A501A">
              <w:rPr>
                <w:sz w:val="20"/>
              </w:rPr>
              <w:t>Electric (fire)</w:t>
            </w:r>
          </w:p>
        </w:tc>
      </w:tr>
      <w:tr w:rsidR="005A501A" w:rsidRPr="005A501A" w:rsidTr="00096AD6">
        <w:trPr>
          <w:jc w:val="center"/>
        </w:trPr>
        <w:tc>
          <w:tcPr>
            <w:tcW w:w="553" w:type="pct"/>
            <w:vAlign w:val="center"/>
          </w:tcPr>
          <w:p w:rsidR="005A501A" w:rsidRPr="005A501A" w:rsidRDefault="005A501A" w:rsidP="00985198">
            <w:pPr>
              <w:pStyle w:val="NoSpacing"/>
              <w:rPr>
                <w:sz w:val="20"/>
              </w:rPr>
            </w:pPr>
            <w:r w:rsidRPr="005A501A">
              <w:rPr>
                <w:sz w:val="20"/>
              </w:rPr>
              <w:t>No.5</w:t>
            </w:r>
          </w:p>
        </w:tc>
        <w:tc>
          <w:tcPr>
            <w:tcW w:w="848" w:type="pct"/>
            <w:vAlign w:val="center"/>
          </w:tcPr>
          <w:p w:rsidR="005A501A" w:rsidRPr="005A501A" w:rsidRDefault="005A501A" w:rsidP="00985198">
            <w:pPr>
              <w:pStyle w:val="NoSpacing"/>
              <w:rPr>
                <w:sz w:val="20"/>
              </w:rPr>
            </w:pPr>
            <w:r w:rsidRPr="005A501A">
              <w:rPr>
                <w:sz w:val="20"/>
              </w:rPr>
              <w:t>2</w:t>
            </w:r>
          </w:p>
        </w:tc>
        <w:tc>
          <w:tcPr>
            <w:tcW w:w="675" w:type="pct"/>
            <w:vAlign w:val="center"/>
          </w:tcPr>
          <w:p w:rsidR="005A501A" w:rsidRPr="005A501A" w:rsidRDefault="005A501A" w:rsidP="00985198">
            <w:pPr>
              <w:pStyle w:val="NoSpacing"/>
              <w:rPr>
                <w:sz w:val="20"/>
              </w:rPr>
            </w:pPr>
            <w:r w:rsidRPr="005A501A">
              <w:rPr>
                <w:sz w:val="20"/>
              </w:rPr>
              <w:t>0</w:t>
            </w:r>
          </w:p>
        </w:tc>
        <w:tc>
          <w:tcPr>
            <w:tcW w:w="919" w:type="pct"/>
          </w:tcPr>
          <w:p w:rsidR="005A501A" w:rsidRPr="005A501A" w:rsidRDefault="005A501A" w:rsidP="00985198">
            <w:pPr>
              <w:pStyle w:val="NoSpacing"/>
              <w:rPr>
                <w:sz w:val="20"/>
              </w:rPr>
            </w:pPr>
            <w:r w:rsidRPr="005A501A">
              <w:rPr>
                <w:sz w:val="20"/>
              </w:rPr>
              <w:t>N/A</w:t>
            </w:r>
          </w:p>
        </w:tc>
        <w:tc>
          <w:tcPr>
            <w:tcW w:w="867" w:type="pct"/>
          </w:tcPr>
          <w:p w:rsidR="005A501A" w:rsidRPr="005A501A" w:rsidRDefault="005A501A" w:rsidP="00985198">
            <w:pPr>
              <w:pStyle w:val="NoSpacing"/>
              <w:rPr>
                <w:sz w:val="20"/>
              </w:rPr>
            </w:pPr>
            <w:r w:rsidRPr="005A501A">
              <w:rPr>
                <w:sz w:val="20"/>
              </w:rPr>
              <w:t>Electric</w:t>
            </w:r>
          </w:p>
        </w:tc>
        <w:tc>
          <w:tcPr>
            <w:tcW w:w="1138" w:type="pct"/>
            <w:vAlign w:val="center"/>
          </w:tcPr>
          <w:p w:rsidR="005A501A" w:rsidRPr="005A501A" w:rsidRDefault="005A501A" w:rsidP="00985198">
            <w:pPr>
              <w:pStyle w:val="NoSpacing"/>
              <w:rPr>
                <w:sz w:val="20"/>
              </w:rPr>
            </w:pPr>
            <w:r w:rsidRPr="005A501A">
              <w:rPr>
                <w:sz w:val="20"/>
              </w:rPr>
              <w:t>Electric (fire)</w:t>
            </w:r>
          </w:p>
        </w:tc>
      </w:tr>
      <w:tr w:rsidR="005A501A" w:rsidRPr="005A501A" w:rsidTr="00096AD6">
        <w:trPr>
          <w:jc w:val="center"/>
        </w:trPr>
        <w:tc>
          <w:tcPr>
            <w:tcW w:w="553" w:type="pct"/>
            <w:tcBorders>
              <w:bottom w:val="single" w:sz="2" w:space="0" w:color="auto"/>
            </w:tcBorders>
            <w:vAlign w:val="center"/>
          </w:tcPr>
          <w:p w:rsidR="005A501A" w:rsidRPr="005A501A" w:rsidRDefault="005A501A" w:rsidP="00985198">
            <w:pPr>
              <w:pStyle w:val="NoSpacing"/>
              <w:rPr>
                <w:sz w:val="20"/>
              </w:rPr>
            </w:pPr>
            <w:r w:rsidRPr="005A501A">
              <w:rPr>
                <w:sz w:val="20"/>
              </w:rPr>
              <w:t>No.6</w:t>
            </w:r>
          </w:p>
        </w:tc>
        <w:tc>
          <w:tcPr>
            <w:tcW w:w="848" w:type="pct"/>
            <w:tcBorders>
              <w:bottom w:val="single" w:sz="2" w:space="0" w:color="auto"/>
            </w:tcBorders>
            <w:vAlign w:val="center"/>
          </w:tcPr>
          <w:p w:rsidR="005A501A" w:rsidRPr="005A501A" w:rsidRDefault="005A501A" w:rsidP="00985198">
            <w:pPr>
              <w:pStyle w:val="NoSpacing"/>
              <w:rPr>
                <w:sz w:val="20"/>
              </w:rPr>
            </w:pPr>
            <w:r w:rsidRPr="005A501A">
              <w:rPr>
                <w:sz w:val="20"/>
              </w:rPr>
              <w:t>5</w:t>
            </w:r>
          </w:p>
        </w:tc>
        <w:tc>
          <w:tcPr>
            <w:tcW w:w="675" w:type="pct"/>
            <w:tcBorders>
              <w:bottom w:val="single" w:sz="2" w:space="0" w:color="auto"/>
            </w:tcBorders>
            <w:vAlign w:val="center"/>
          </w:tcPr>
          <w:p w:rsidR="005A501A" w:rsidRPr="005A501A" w:rsidRDefault="005A501A" w:rsidP="00985198">
            <w:pPr>
              <w:pStyle w:val="NoSpacing"/>
              <w:rPr>
                <w:sz w:val="20"/>
              </w:rPr>
            </w:pPr>
            <w:r w:rsidRPr="005A501A">
              <w:rPr>
                <w:sz w:val="20"/>
              </w:rPr>
              <w:t>2</w:t>
            </w:r>
          </w:p>
        </w:tc>
        <w:tc>
          <w:tcPr>
            <w:tcW w:w="919" w:type="pct"/>
            <w:tcBorders>
              <w:bottom w:val="single" w:sz="2" w:space="0" w:color="auto"/>
            </w:tcBorders>
          </w:tcPr>
          <w:p w:rsidR="005A501A" w:rsidRPr="005A501A" w:rsidRDefault="005A501A" w:rsidP="00985198">
            <w:pPr>
              <w:pStyle w:val="NoSpacing"/>
              <w:rPr>
                <w:sz w:val="20"/>
              </w:rPr>
            </w:pPr>
            <w:r w:rsidRPr="005A501A">
              <w:rPr>
                <w:sz w:val="20"/>
              </w:rPr>
              <w:t>No</w:t>
            </w:r>
          </w:p>
        </w:tc>
        <w:tc>
          <w:tcPr>
            <w:tcW w:w="867" w:type="pct"/>
            <w:tcBorders>
              <w:bottom w:val="single" w:sz="2" w:space="0" w:color="auto"/>
            </w:tcBorders>
          </w:tcPr>
          <w:p w:rsidR="005A501A" w:rsidRPr="005A501A" w:rsidRDefault="005A501A" w:rsidP="00985198">
            <w:pPr>
              <w:pStyle w:val="NoSpacing"/>
              <w:rPr>
                <w:sz w:val="20"/>
              </w:rPr>
            </w:pPr>
            <w:r w:rsidRPr="005A501A">
              <w:rPr>
                <w:sz w:val="20"/>
              </w:rPr>
              <w:t>Electric</w:t>
            </w:r>
          </w:p>
        </w:tc>
        <w:tc>
          <w:tcPr>
            <w:tcW w:w="1138" w:type="pct"/>
            <w:tcBorders>
              <w:bottom w:val="single" w:sz="2" w:space="0" w:color="auto"/>
            </w:tcBorders>
            <w:vAlign w:val="center"/>
          </w:tcPr>
          <w:p w:rsidR="005A501A" w:rsidRPr="005A501A" w:rsidRDefault="005A501A" w:rsidP="00985198">
            <w:pPr>
              <w:pStyle w:val="NoSpacing"/>
              <w:rPr>
                <w:sz w:val="20"/>
              </w:rPr>
            </w:pPr>
            <w:r w:rsidRPr="005A501A">
              <w:rPr>
                <w:sz w:val="20"/>
              </w:rPr>
              <w:t>Natural gas (fire)</w:t>
            </w:r>
          </w:p>
        </w:tc>
      </w:tr>
    </w:tbl>
    <w:p w:rsidR="00DD4A10" w:rsidRPr="005A501A" w:rsidRDefault="00DD4A10" w:rsidP="00DD4A10">
      <w:pPr>
        <w:spacing w:before="240" w:after="240"/>
        <w:rPr>
          <w:rFonts w:eastAsia="Arial Unicode MS"/>
        </w:rPr>
      </w:pPr>
    </w:p>
    <w:p w:rsidR="00096AD6" w:rsidRDefault="00096AD6" w:rsidP="00096AD6">
      <w:pPr>
        <w:pStyle w:val="Heading10"/>
        <w:numPr>
          <w:ilvl w:val="0"/>
          <w:numId w:val="13"/>
        </w:numPr>
        <w:spacing w:line="240" w:lineRule="auto"/>
        <w:rPr>
          <w:rFonts w:eastAsia="Arial Unicode MS" w:cs="Arial"/>
        </w:rPr>
      </w:pPr>
      <w:r>
        <w:rPr>
          <w:rFonts w:eastAsia="Arial Unicode MS" w:cs="Arial"/>
        </w:rPr>
        <w:t>Materials and Methods</w:t>
      </w:r>
    </w:p>
    <w:p w:rsidR="00096AD6" w:rsidRPr="00096AD6" w:rsidRDefault="00096AD6" w:rsidP="00096AD6">
      <w:pPr>
        <w:pStyle w:val="07BodySpaceAboveApplytomaintextafternumberedlist"/>
        <w:spacing w:line="240" w:lineRule="auto"/>
        <w:ind w:firstLine="0"/>
        <w:rPr>
          <w:rFonts w:ascii="Arial Unicode MS" w:eastAsia="Arial Unicode MS" w:hAnsi="Arial Unicode MS" w:cs="Arial Unicode MS"/>
          <w:sz w:val="20"/>
        </w:rPr>
      </w:pPr>
      <w:r w:rsidRPr="00096AD6">
        <w:rPr>
          <w:rFonts w:ascii="Arial Unicode MS" w:eastAsia="Arial Unicode MS" w:hAnsi="Arial Unicode MS" w:cs="Arial Unicode MS"/>
          <w:sz w:val="20"/>
        </w:rPr>
        <w:t>The field work was perf</w:t>
      </w:r>
      <w:r w:rsidR="00F01201">
        <w:rPr>
          <w:rFonts w:ascii="Arial Unicode MS" w:eastAsia="Arial Unicode MS" w:hAnsi="Arial Unicode MS" w:cs="Arial Unicode MS"/>
          <w:sz w:val="20"/>
        </w:rPr>
        <w:t>ormed during the winter season (</w:t>
      </w:r>
      <w:r w:rsidRPr="00096AD6">
        <w:rPr>
          <w:rFonts w:ascii="Arial Unicode MS" w:eastAsia="Arial Unicode MS" w:hAnsi="Arial Unicode MS" w:cs="Arial Unicode MS"/>
          <w:sz w:val="20"/>
        </w:rPr>
        <w:t>between February and March 2013</w:t>
      </w:r>
      <w:r w:rsidR="00F01201">
        <w:rPr>
          <w:rFonts w:ascii="Arial Unicode MS" w:eastAsia="Arial Unicode MS" w:hAnsi="Arial Unicode MS" w:cs="Arial Unicode MS"/>
          <w:sz w:val="20"/>
        </w:rPr>
        <w:t>)</w:t>
      </w:r>
      <w:r w:rsidRPr="00096AD6">
        <w:rPr>
          <w:rFonts w:ascii="Arial Unicode MS" w:eastAsia="Arial Unicode MS" w:hAnsi="Arial Unicode MS" w:cs="Arial Unicode MS"/>
          <w:sz w:val="20"/>
        </w:rPr>
        <w:t xml:space="preserve">; </w:t>
      </w:r>
      <w:r w:rsidR="00F01201">
        <w:rPr>
          <w:rFonts w:ascii="Arial Unicode MS" w:eastAsia="Arial Unicode MS" w:hAnsi="Arial Unicode MS" w:cs="Arial Unicode MS"/>
          <w:sz w:val="20"/>
        </w:rPr>
        <w:t>and summer season (between August and September 2013</w:t>
      </w:r>
      <w:r w:rsidR="007206CD">
        <w:rPr>
          <w:rFonts w:ascii="Arial Unicode MS" w:eastAsia="Arial Unicode MS" w:hAnsi="Arial Unicode MS" w:cs="Arial Unicode MS"/>
          <w:sz w:val="20"/>
        </w:rPr>
        <w:t>; May 2014</w:t>
      </w:r>
      <w:r w:rsidR="00F01201">
        <w:rPr>
          <w:rFonts w:ascii="Arial Unicode MS" w:eastAsia="Arial Unicode MS" w:hAnsi="Arial Unicode MS" w:cs="Arial Unicode MS"/>
          <w:sz w:val="20"/>
        </w:rPr>
        <w:t xml:space="preserve">) </w:t>
      </w:r>
      <w:r w:rsidRPr="00096AD6">
        <w:rPr>
          <w:rFonts w:ascii="Arial Unicode MS" w:eastAsia="Arial Unicode MS" w:hAnsi="Arial Unicode MS" w:cs="Arial Unicode MS"/>
          <w:sz w:val="20"/>
        </w:rPr>
        <w:t>two</w:t>
      </w:r>
      <w:r w:rsidR="0067161C">
        <w:rPr>
          <w:rFonts w:ascii="Arial Unicode MS" w:eastAsia="Arial Unicode MS" w:hAnsi="Arial Unicode MS" w:cs="Arial Unicode MS"/>
          <w:sz w:val="20"/>
        </w:rPr>
        <w:t xml:space="preserve"> to</w:t>
      </w:r>
      <w:r w:rsidR="007206CD">
        <w:rPr>
          <w:rFonts w:ascii="Arial Unicode MS" w:eastAsia="Arial Unicode MS" w:hAnsi="Arial Unicode MS" w:cs="Arial Unicode MS"/>
          <w:sz w:val="20"/>
        </w:rPr>
        <w:t xml:space="preserve"> three</w:t>
      </w:r>
      <w:r w:rsidRPr="00096AD6">
        <w:rPr>
          <w:rFonts w:ascii="Arial Unicode MS" w:eastAsia="Arial Unicode MS" w:hAnsi="Arial Unicode MS" w:cs="Arial Unicode MS"/>
          <w:sz w:val="20"/>
        </w:rPr>
        <w:t xml:space="preserve"> years after construction work was completed. Occupants were approached by letter and follow up visit to explain the study and monitoring procedure. Occupant interviews were conducted </w:t>
      </w:r>
      <w:r w:rsidR="00491C4E">
        <w:rPr>
          <w:rFonts w:ascii="Arial Unicode MS" w:eastAsia="Arial Unicode MS" w:hAnsi="Arial Unicode MS" w:cs="Arial Unicode MS"/>
          <w:sz w:val="20"/>
        </w:rPr>
        <w:t xml:space="preserve">before or </w:t>
      </w:r>
      <w:r w:rsidRPr="00096AD6">
        <w:rPr>
          <w:rFonts w:ascii="Arial Unicode MS" w:eastAsia="Arial Unicode MS" w:hAnsi="Arial Unicode MS" w:cs="Arial Unicode MS"/>
          <w:sz w:val="20"/>
        </w:rPr>
        <w:t xml:space="preserve">after the 24 hour monitoring period. </w:t>
      </w:r>
    </w:p>
    <w:p w:rsidR="00096AD6" w:rsidRDefault="00096AD6" w:rsidP="00096AD6">
      <w:pPr>
        <w:pStyle w:val="Heading10"/>
        <w:numPr>
          <w:ilvl w:val="1"/>
          <w:numId w:val="13"/>
        </w:numPr>
        <w:spacing w:line="240" w:lineRule="auto"/>
        <w:rPr>
          <w:rFonts w:eastAsia="Arial Unicode MS" w:cs="Arial"/>
          <w:sz w:val="20"/>
          <w:szCs w:val="20"/>
        </w:rPr>
      </w:pPr>
      <w:r>
        <w:rPr>
          <w:rFonts w:eastAsia="Arial Unicode MS" w:cs="Arial"/>
          <w:sz w:val="20"/>
          <w:szCs w:val="20"/>
        </w:rPr>
        <w:t>Indoor air quality measurements</w:t>
      </w:r>
    </w:p>
    <w:p w:rsidR="00096AD6" w:rsidRDefault="00096AD6" w:rsidP="00096AD6">
      <w:pPr>
        <w:pStyle w:val="06BodyMaintext"/>
        <w:spacing w:line="240" w:lineRule="auto"/>
        <w:ind w:firstLine="0"/>
        <w:rPr>
          <w:rFonts w:ascii="Arial Unicode MS" w:eastAsia="Arial Unicode MS" w:hAnsi="Arial Unicode MS" w:cs="Arial Unicode MS"/>
          <w:sz w:val="20"/>
        </w:rPr>
      </w:pPr>
      <w:r w:rsidRPr="00096AD6">
        <w:rPr>
          <w:rFonts w:ascii="Arial Unicode MS" w:eastAsia="Arial Unicode MS" w:hAnsi="Arial Unicode MS" w:cs="Arial Unicode MS"/>
          <w:sz w:val="20"/>
        </w:rPr>
        <w:t>Monitored IAQ parameters include temperature, relative humidity, carbon dioxide</w:t>
      </w:r>
      <w:r w:rsidR="00F01201">
        <w:rPr>
          <w:rFonts w:ascii="Arial Unicode MS" w:eastAsia="Arial Unicode MS" w:hAnsi="Arial Unicode MS" w:cs="Arial Unicode MS"/>
          <w:sz w:val="20"/>
        </w:rPr>
        <w:t xml:space="preserve"> in the open plan living room and kitchen</w:t>
      </w:r>
      <w:r w:rsidRPr="00096AD6">
        <w:rPr>
          <w:rFonts w:ascii="Arial Unicode MS" w:eastAsia="Arial Unicode MS" w:hAnsi="Arial Unicode MS" w:cs="Arial Unicode MS"/>
          <w:sz w:val="20"/>
        </w:rPr>
        <w:t xml:space="preserve"> </w:t>
      </w:r>
      <w:r w:rsidRPr="00096AD6">
        <w:rPr>
          <w:rFonts w:ascii="Arial Unicode MS" w:eastAsia="Arial Unicode MS" w:hAnsi="Arial Unicode MS" w:cs="Arial Unicode MS"/>
          <w:sz w:val="20"/>
          <w:lang w:val="en-GB" w:eastAsia="en-GB"/>
        </w:rPr>
        <w:t>us</w:t>
      </w:r>
      <w:r w:rsidR="00F01201">
        <w:rPr>
          <w:rFonts w:ascii="Arial Unicode MS" w:eastAsia="Arial Unicode MS" w:hAnsi="Arial Unicode MS" w:cs="Arial Unicode MS"/>
          <w:sz w:val="20"/>
          <w:lang w:val="en-GB" w:eastAsia="en-GB"/>
        </w:rPr>
        <w:t>ing E</w:t>
      </w:r>
      <w:r w:rsidR="009C1043">
        <w:rPr>
          <w:rFonts w:ascii="Arial Unicode MS" w:eastAsia="Arial Unicode MS" w:hAnsi="Arial Unicode MS" w:cs="Arial Unicode MS"/>
          <w:sz w:val="20"/>
          <w:lang w:val="en-GB" w:eastAsia="en-GB"/>
        </w:rPr>
        <w:t>xtech EasyView model EA80</w:t>
      </w:r>
      <w:r w:rsidR="00F01201">
        <w:rPr>
          <w:rFonts w:ascii="Arial Unicode MS" w:eastAsia="Arial Unicode MS" w:hAnsi="Arial Unicode MS" w:cs="Arial Unicode MS"/>
          <w:sz w:val="20"/>
          <w:lang w:val="en-GB" w:eastAsia="en-GB"/>
        </w:rPr>
        <w:t xml:space="preserve"> </w:t>
      </w:r>
      <w:r w:rsidR="009C1043">
        <w:rPr>
          <w:rFonts w:ascii="Arial Unicode MS" w:eastAsia="Arial Unicode MS" w:hAnsi="Arial Unicode MS" w:cs="Arial Unicode MS"/>
          <w:sz w:val="20"/>
          <w:lang w:val="en-GB" w:eastAsia="en-GB"/>
        </w:rPr>
        <w:t>(</w:t>
      </w:r>
      <w:r w:rsidR="009C1043">
        <w:rPr>
          <w:rFonts w:ascii="Arial Unicode MS" w:eastAsia="Arial Unicode MS" w:hAnsi="Arial Unicode MS" w:cs="Arial Unicode MS"/>
          <w:sz w:val="20"/>
        </w:rPr>
        <w:t>relative humidity:</w:t>
      </w:r>
      <w:r w:rsidRPr="00096AD6">
        <w:rPr>
          <w:rFonts w:ascii="Arial Unicode MS" w:eastAsia="Arial Unicode MS" w:hAnsi="Arial Unicode MS" w:cs="Arial Unicode MS"/>
          <w:sz w:val="20"/>
        </w:rPr>
        <w:t xml:space="preserve"> resolution</w:t>
      </w:r>
      <w:r w:rsidR="009C1043">
        <w:rPr>
          <w:rFonts w:ascii="Arial Unicode MS" w:eastAsia="Arial Unicode MS" w:hAnsi="Arial Unicode MS" w:cs="Arial Unicode MS"/>
          <w:sz w:val="20"/>
        </w:rPr>
        <w:t xml:space="preserve"> 0.1%RH, accuracy ±3-5%RH, temperature: resolution 0.1°C, </w:t>
      </w:r>
      <w:r w:rsidRPr="00096AD6">
        <w:rPr>
          <w:rFonts w:ascii="Arial Unicode MS" w:eastAsia="Arial Unicode MS" w:hAnsi="Arial Unicode MS" w:cs="Arial Unicode MS"/>
          <w:sz w:val="20"/>
        </w:rPr>
        <w:t>accuracy ±0.5°C, carbon dioxide</w:t>
      </w:r>
      <w:r w:rsidR="009C1043">
        <w:rPr>
          <w:rFonts w:ascii="Arial Unicode MS" w:eastAsia="Arial Unicode MS" w:hAnsi="Arial Unicode MS" w:cs="Arial Unicode MS"/>
          <w:sz w:val="20"/>
        </w:rPr>
        <w:t xml:space="preserve">: resolution 1ppm, </w:t>
      </w:r>
      <w:r w:rsidRPr="00096AD6">
        <w:rPr>
          <w:rFonts w:ascii="Arial Unicode MS" w:eastAsia="Arial Unicode MS" w:hAnsi="Arial Unicode MS" w:cs="Arial Unicode MS"/>
          <w:sz w:val="20"/>
        </w:rPr>
        <w:t xml:space="preserve">accuracy ±3% or ±50ppm). </w:t>
      </w:r>
      <w:r w:rsidR="00F01201">
        <w:rPr>
          <w:rFonts w:ascii="Arial Unicode MS" w:eastAsia="Arial Unicode MS" w:hAnsi="Arial Unicode MS" w:cs="Arial Unicode MS"/>
          <w:sz w:val="20"/>
        </w:rPr>
        <w:t xml:space="preserve">Temperature, relative humidity and carbon dioxide were also monitored outside and in the </w:t>
      </w:r>
      <w:r w:rsidR="00F01201" w:rsidRPr="00F01201">
        <w:rPr>
          <w:rFonts w:ascii="Arial Unicode MS" w:eastAsia="Arial Unicode MS" w:hAnsi="Arial Unicode MS" w:cs="Arial Unicode MS"/>
          <w:sz w:val="20"/>
        </w:rPr>
        <w:t>bedroom using Wohler CO</w:t>
      </w:r>
      <w:r w:rsidR="00F01201" w:rsidRPr="00F01201">
        <w:rPr>
          <w:rFonts w:ascii="Arial Unicode MS" w:eastAsia="Arial Unicode MS" w:hAnsi="Arial Unicode MS" w:cs="Arial Unicode MS"/>
          <w:sz w:val="20"/>
          <w:vertAlign w:val="subscript"/>
        </w:rPr>
        <w:t>2</w:t>
      </w:r>
      <w:r w:rsidR="00F01201" w:rsidRPr="00F01201">
        <w:rPr>
          <w:rFonts w:ascii="Arial Unicode MS" w:eastAsia="Arial Unicode MS" w:hAnsi="Arial Unicode MS" w:cs="Arial Unicode MS"/>
          <w:sz w:val="20"/>
        </w:rPr>
        <w:t xml:space="preserve"> data</w:t>
      </w:r>
      <w:r w:rsidR="00F01201">
        <w:rPr>
          <w:rFonts w:ascii="Arial Unicode MS" w:eastAsia="Arial Unicode MS" w:hAnsi="Arial Unicode MS" w:cs="Arial Unicode MS"/>
          <w:sz w:val="20"/>
        </w:rPr>
        <w:t xml:space="preserve">-logger (CDL 210- </w:t>
      </w:r>
      <w:r w:rsidR="00F01201" w:rsidRPr="00F01201">
        <w:rPr>
          <w:rFonts w:ascii="Arial Unicode MS" w:eastAsia="Arial Unicode MS" w:hAnsi="Arial Unicode MS" w:cs="Arial Unicode MS"/>
          <w:sz w:val="20"/>
        </w:rPr>
        <w:t>temperature</w:t>
      </w:r>
      <w:r w:rsidR="00F01201">
        <w:rPr>
          <w:rFonts w:ascii="Arial Unicode MS" w:eastAsia="Arial Unicode MS" w:hAnsi="Arial Unicode MS" w:cs="Arial Unicode MS"/>
          <w:sz w:val="20"/>
        </w:rPr>
        <w:t>:</w:t>
      </w:r>
      <w:r w:rsidR="00F01201" w:rsidRPr="00F01201">
        <w:rPr>
          <w:rFonts w:ascii="Arial Unicode MS" w:eastAsia="Arial Unicode MS" w:hAnsi="Arial Unicode MS" w:cs="Arial Unicode MS"/>
          <w:sz w:val="20"/>
        </w:rPr>
        <w:t xml:space="preserve"> resolution 0.1°C, accuracy ±0.6 °C, </w:t>
      </w:r>
      <w:r w:rsidR="00F01201">
        <w:rPr>
          <w:rFonts w:ascii="Arial Unicode MS" w:eastAsia="Arial Unicode MS" w:hAnsi="Arial Unicode MS" w:cs="Arial Unicode MS"/>
          <w:sz w:val="20"/>
        </w:rPr>
        <w:t>relative humidity:</w:t>
      </w:r>
      <w:r w:rsidR="00F01201" w:rsidRPr="00F01201">
        <w:rPr>
          <w:rFonts w:ascii="Arial Unicode MS" w:eastAsia="Arial Unicode MS" w:hAnsi="Arial Unicode MS" w:cs="Arial Unicode MS"/>
          <w:sz w:val="20"/>
        </w:rPr>
        <w:t xml:space="preserve"> </w:t>
      </w:r>
      <w:r w:rsidR="00F01201">
        <w:rPr>
          <w:rFonts w:ascii="Arial Unicode MS" w:eastAsia="Arial Unicode MS" w:hAnsi="Arial Unicode MS" w:cs="Arial Unicode MS"/>
          <w:sz w:val="20"/>
        </w:rPr>
        <w:t>resolution 0.1%, accuracy ±3-5%;</w:t>
      </w:r>
      <w:r w:rsidR="00F01201" w:rsidRPr="00F01201">
        <w:rPr>
          <w:rFonts w:ascii="Arial Unicode MS" w:eastAsia="Arial Unicode MS" w:hAnsi="Arial Unicode MS" w:cs="Arial Unicode MS"/>
          <w:sz w:val="20"/>
        </w:rPr>
        <w:t xml:space="preserve"> carbon dioxide</w:t>
      </w:r>
      <w:r w:rsidR="00F01201">
        <w:rPr>
          <w:rFonts w:ascii="Arial Unicode MS" w:eastAsia="Arial Unicode MS" w:hAnsi="Arial Unicode MS" w:cs="Arial Unicode MS"/>
          <w:sz w:val="20"/>
        </w:rPr>
        <w:t>:</w:t>
      </w:r>
      <w:r w:rsidR="00F01201" w:rsidRPr="00F01201">
        <w:rPr>
          <w:rFonts w:ascii="Arial Unicode MS" w:eastAsia="Arial Unicode MS" w:hAnsi="Arial Unicode MS" w:cs="Arial Unicode MS"/>
          <w:sz w:val="20"/>
        </w:rPr>
        <w:t xml:space="preserve"> resolution 1ppm, accuracy ±5% or ±50ppm).</w:t>
      </w:r>
      <w:r w:rsidR="00F01201">
        <w:rPr>
          <w:rFonts w:ascii="Arial Unicode MS" w:eastAsia="Arial Unicode MS" w:hAnsi="Arial Unicode MS" w:cs="Arial Unicode MS"/>
          <w:sz w:val="20"/>
        </w:rPr>
        <w:t xml:space="preserve"> Formaldehyde was monitored in the open plan living room and kitchen with a handheld formaldehyde meter (HalTech: HAL-HFX205, resolution 0.01ppm, accuracy </w:t>
      </w:r>
      <w:r w:rsidR="00F01201">
        <w:rPr>
          <w:rFonts w:ascii="Arial Unicode MS" w:eastAsia="Arial Unicode MS" w:hAnsi="Arial Unicode MS" w:cs="Arial Unicode MS" w:hint="eastAsia"/>
          <w:sz w:val="20"/>
        </w:rPr>
        <w:t>±</w:t>
      </w:r>
      <w:r w:rsidR="00F01201">
        <w:rPr>
          <w:rFonts w:ascii="Arial Unicode MS" w:eastAsia="Arial Unicode MS" w:hAnsi="Arial Unicode MS" w:cs="Arial Unicode MS"/>
          <w:sz w:val="20"/>
        </w:rPr>
        <w:t xml:space="preserve">2%). </w:t>
      </w:r>
    </w:p>
    <w:p w:rsidR="00F01201" w:rsidRPr="00096AD6" w:rsidRDefault="00F01201" w:rsidP="00096AD6">
      <w:pPr>
        <w:pStyle w:val="06BodyMaintext"/>
        <w:spacing w:line="240" w:lineRule="auto"/>
        <w:ind w:firstLine="0"/>
        <w:rPr>
          <w:rFonts w:ascii="Arial Unicode MS" w:eastAsia="Arial Unicode MS" w:hAnsi="Arial Unicode MS" w:cs="Arial Unicode MS"/>
          <w:sz w:val="20"/>
        </w:rPr>
      </w:pPr>
    </w:p>
    <w:p w:rsidR="00096AD6" w:rsidRPr="00096AD6" w:rsidRDefault="00096AD6" w:rsidP="00096AD6">
      <w:pPr>
        <w:pStyle w:val="06BodyMaintext"/>
        <w:spacing w:line="240" w:lineRule="auto"/>
        <w:ind w:firstLine="0"/>
        <w:rPr>
          <w:rFonts w:ascii="Arial Unicode MS" w:eastAsia="Arial Unicode MS" w:hAnsi="Arial Unicode MS" w:cs="Arial Unicode MS"/>
          <w:sz w:val="20"/>
        </w:rPr>
      </w:pPr>
      <w:r w:rsidRPr="00096AD6">
        <w:rPr>
          <w:rFonts w:ascii="Arial Unicode MS" w:eastAsia="Arial Unicode MS" w:hAnsi="Arial Unicode MS" w:cs="Arial Unicode MS"/>
          <w:sz w:val="20"/>
        </w:rPr>
        <w:t xml:space="preserve">Sampling instruments were located in the downstairs living space (open plan living room and kitchen), at breathing height with accordance to ISO 16000 and at least 1m from walls or sources of pollutants. Sampling was conducted for a 24 hour period during a typical weekday. Outdoor measurements of temperature (ºC), relative humidity (%), rain fall (mm), light (lux), wind speed (km/h), wind direction, and absolute pressure (hPa) were monitored simultaneously through use of a weather station (Easy Weather Plus). </w:t>
      </w:r>
    </w:p>
    <w:p w:rsidR="00096AD6" w:rsidRDefault="00096AD6" w:rsidP="00096AD6">
      <w:pPr>
        <w:pStyle w:val="Heading10"/>
        <w:numPr>
          <w:ilvl w:val="1"/>
          <w:numId w:val="13"/>
        </w:numPr>
        <w:spacing w:line="240" w:lineRule="auto"/>
        <w:rPr>
          <w:rFonts w:eastAsia="Arial Unicode MS" w:cs="Arial"/>
          <w:sz w:val="20"/>
          <w:szCs w:val="20"/>
        </w:rPr>
      </w:pPr>
      <w:r>
        <w:rPr>
          <w:rFonts w:eastAsia="Arial Unicode MS" w:cs="Arial"/>
          <w:sz w:val="20"/>
          <w:szCs w:val="20"/>
        </w:rPr>
        <w:t>Diary of activities</w:t>
      </w:r>
    </w:p>
    <w:p w:rsidR="00096AD6" w:rsidRPr="00EC16B8" w:rsidRDefault="00EC16B8" w:rsidP="00EC16B8">
      <w:pPr>
        <w:pStyle w:val="06BodyMaintext"/>
        <w:spacing w:line="240" w:lineRule="auto"/>
        <w:ind w:firstLine="0"/>
        <w:rPr>
          <w:rFonts w:ascii="Arial Unicode MS" w:eastAsia="Arial Unicode MS" w:hAnsi="Arial Unicode MS" w:cs="Arial Unicode MS"/>
          <w:sz w:val="20"/>
        </w:rPr>
      </w:pPr>
      <w:r w:rsidRPr="00EC16B8">
        <w:rPr>
          <w:rFonts w:ascii="Arial Unicode MS" w:eastAsia="Arial Unicode MS" w:hAnsi="Arial Unicode MS" w:cs="Arial Unicode MS"/>
          <w:sz w:val="20"/>
        </w:rPr>
        <w:t xml:space="preserve">Occupants were presented with a brief record sheet which they were asked to complete during the measurement period. This was condensed to a single A4 page (for each measurement day), to reduce the burden on the occupants and increase </w:t>
      </w:r>
      <w:r w:rsidR="009633F9">
        <w:rPr>
          <w:rFonts w:ascii="Arial Unicode MS" w:eastAsia="Arial Unicode MS" w:hAnsi="Arial Unicode MS" w:cs="Arial Unicode MS"/>
          <w:sz w:val="20"/>
        </w:rPr>
        <w:t xml:space="preserve">the </w:t>
      </w:r>
      <w:r w:rsidRPr="00EC16B8">
        <w:rPr>
          <w:rFonts w:ascii="Arial Unicode MS" w:eastAsia="Arial Unicode MS" w:hAnsi="Arial Unicode MS" w:cs="Arial Unicode MS"/>
          <w:sz w:val="20"/>
        </w:rPr>
        <w:t xml:space="preserve">response rate. The occupant diary included important information on occupancy rates, use of heating, use of air polluting products, window/external door opening and further activities that may have affected the measurement results. The diary required an average input for every hour, for instance average occupancy in measurement room every hour. </w:t>
      </w:r>
    </w:p>
    <w:p w:rsidR="00096AD6" w:rsidRPr="00096AD6" w:rsidRDefault="00096AD6" w:rsidP="00096AD6">
      <w:pPr>
        <w:pStyle w:val="Heading10"/>
        <w:numPr>
          <w:ilvl w:val="1"/>
          <w:numId w:val="13"/>
        </w:numPr>
        <w:spacing w:line="240" w:lineRule="auto"/>
        <w:rPr>
          <w:rFonts w:eastAsia="Arial Unicode MS" w:cs="Arial"/>
          <w:sz w:val="20"/>
          <w:szCs w:val="20"/>
        </w:rPr>
      </w:pPr>
      <w:r>
        <w:rPr>
          <w:rFonts w:eastAsia="Arial Unicode MS" w:cs="Arial"/>
          <w:sz w:val="20"/>
          <w:szCs w:val="20"/>
        </w:rPr>
        <w:t>Occupant Interviews</w:t>
      </w:r>
    </w:p>
    <w:p w:rsidR="00EC16B8" w:rsidRPr="00EC16B8" w:rsidRDefault="00EC16B8" w:rsidP="00EC16B8">
      <w:pPr>
        <w:pStyle w:val="06BodyMaintext"/>
        <w:spacing w:line="240" w:lineRule="auto"/>
        <w:ind w:firstLine="0"/>
        <w:rPr>
          <w:rFonts w:ascii="Arial Unicode MS" w:eastAsia="Arial Unicode MS" w:hAnsi="Arial Unicode MS" w:cs="Arial Unicode MS"/>
          <w:sz w:val="20"/>
        </w:rPr>
      </w:pPr>
      <w:r w:rsidRPr="00EC16B8">
        <w:rPr>
          <w:rFonts w:ascii="Arial Unicode MS" w:eastAsia="Arial Unicode MS" w:hAnsi="Arial Unicode MS" w:cs="Arial Unicode MS"/>
          <w:sz w:val="20"/>
        </w:rPr>
        <w:t xml:space="preserve">Structured interviews were conducted with occupants through the utilization of various questionnaires; one for each dwelling, one for each occupant, a condensed questionnaire for each child (completed by parent or guardian) and a building survey form. An interview format was adopted to provide the opportunity for further discussion of particular topics and in most cases the interviews were recorded with use of a dictaphone. </w:t>
      </w:r>
    </w:p>
    <w:p w:rsidR="00EC16B8" w:rsidRPr="00EC16B8" w:rsidRDefault="00EC16B8" w:rsidP="00EC16B8">
      <w:pPr>
        <w:pStyle w:val="06BodyMaintext"/>
        <w:spacing w:line="240" w:lineRule="auto"/>
        <w:ind w:left="360" w:firstLine="0"/>
        <w:rPr>
          <w:rFonts w:ascii="Arial Unicode MS" w:eastAsia="Arial Unicode MS" w:hAnsi="Arial Unicode MS" w:cs="Arial Unicode MS"/>
          <w:sz w:val="20"/>
        </w:rPr>
      </w:pPr>
    </w:p>
    <w:p w:rsidR="00096AD6" w:rsidRDefault="00EC16B8" w:rsidP="000E0FA4">
      <w:pPr>
        <w:pStyle w:val="06BodyMaintext"/>
        <w:spacing w:line="240" w:lineRule="auto"/>
        <w:ind w:firstLine="0"/>
        <w:rPr>
          <w:rFonts w:ascii="Arial Unicode MS" w:eastAsia="Arial Unicode MS" w:hAnsi="Arial Unicode MS" w:cs="Arial Unicode MS"/>
          <w:sz w:val="20"/>
        </w:rPr>
      </w:pPr>
      <w:r w:rsidRPr="00EC16B8">
        <w:rPr>
          <w:rFonts w:ascii="Arial Unicode MS" w:eastAsia="Arial Unicode MS" w:hAnsi="Arial Unicode MS" w:cs="Arial Unicode MS"/>
          <w:sz w:val="20"/>
        </w:rPr>
        <w:t xml:space="preserve">The dwelling questionnaire gathered information on building use, occupant activities, the interior environment and general building information. Occupant questionnaires provided details </w:t>
      </w:r>
      <w:r w:rsidR="009633F9">
        <w:rPr>
          <w:rFonts w:ascii="Arial Unicode MS" w:eastAsia="Arial Unicode MS" w:hAnsi="Arial Unicode MS" w:cs="Arial Unicode MS"/>
          <w:sz w:val="20"/>
        </w:rPr>
        <w:t>of perceived indoor air quality and</w:t>
      </w:r>
      <w:r w:rsidRPr="00EC16B8">
        <w:rPr>
          <w:rFonts w:ascii="Arial Unicode MS" w:eastAsia="Arial Unicode MS" w:hAnsi="Arial Unicode MS" w:cs="Arial Unicode MS"/>
          <w:sz w:val="20"/>
        </w:rPr>
        <w:t xml:space="preserve"> thermal comfort, building related illnesses and sick building symptoms utilizing validated procedures </w:t>
      </w:r>
      <w:r w:rsidR="007F40FF">
        <w:rPr>
          <w:rFonts w:ascii="Arial Unicode MS" w:eastAsia="Arial Unicode MS" w:hAnsi="Arial Unicode MS" w:cs="Arial Unicode MS"/>
          <w:sz w:val="20"/>
        </w:rPr>
        <w:fldChar w:fldCharType="begin"/>
      </w:r>
      <w:r w:rsidR="00E41C90">
        <w:rPr>
          <w:rFonts w:ascii="Arial Unicode MS" w:eastAsia="Arial Unicode MS" w:hAnsi="Arial Unicode MS" w:cs="Arial Unicode MS"/>
          <w:sz w:val="20"/>
        </w:rPr>
        <w:instrText>ADDIN RW.CITE{{496 Raw,GJ. 1995; 549 Berry,R.W.,Brown,V.M.,Coward,S.K.D.,Crump,D.R.,Gavin,M.,Grimes,C.P.,Higham,D.F.,Hull,A.V.,Hunter,C.A.,Jeffery,I.G.,Lea,R.G.,Llewellyn,J.W.&amp;Raw,G.J. 1996; 499 Burge,PS 1990; 500 Burge,S 1993}}</w:instrText>
      </w:r>
      <w:r w:rsidR="007F40FF">
        <w:rPr>
          <w:rFonts w:ascii="Arial Unicode MS" w:eastAsia="Arial Unicode MS" w:hAnsi="Arial Unicode MS" w:cs="Arial Unicode MS"/>
          <w:sz w:val="20"/>
        </w:rPr>
        <w:fldChar w:fldCharType="separate"/>
      </w:r>
      <w:r w:rsidR="00657189" w:rsidRPr="00657189">
        <w:rPr>
          <w:rFonts w:ascii="Arial Unicode MS" w:eastAsia="Arial Unicode MS" w:hAnsi="Arial Unicode MS" w:cs="Arial Unicode MS"/>
          <w:sz w:val="20"/>
        </w:rPr>
        <w:t>(Raw et al. 1995, Berry, R.W., Brown, V.M., Coward, S.K.D., Crump, D.R., Gavin, M., Grimes, C.P., Higham, D.F., Hull, A.V., Hunter, C.A., Jeffery, I.G., Lea, R.G., Llewellyn, J.W. &amp; Raw, G.J. 1996, Burge, Robertson &amp; Hedge 1990, Burge, Robertson &amp; Hedge 1993)</w:t>
      </w:r>
      <w:r w:rsidR="007F40FF">
        <w:rPr>
          <w:rFonts w:ascii="Arial Unicode MS" w:eastAsia="Arial Unicode MS" w:hAnsi="Arial Unicode MS" w:cs="Arial Unicode MS"/>
          <w:sz w:val="20"/>
        </w:rPr>
        <w:fldChar w:fldCharType="end"/>
      </w:r>
      <w:r w:rsidR="004C0A47">
        <w:rPr>
          <w:rFonts w:ascii="Arial Unicode MS" w:eastAsia="Arial Unicode MS" w:hAnsi="Arial Unicode MS" w:cs="Arial Unicode MS"/>
          <w:sz w:val="20"/>
        </w:rPr>
        <w:t>.</w:t>
      </w:r>
      <w:r w:rsidRPr="00EC16B8">
        <w:rPr>
          <w:rFonts w:ascii="Arial Unicode MS" w:eastAsia="Arial Unicode MS" w:hAnsi="Arial Unicode MS" w:cs="Arial Unicode MS"/>
          <w:sz w:val="20"/>
        </w:rPr>
        <w:t xml:space="preserve"> A condensed version was employed to gain information on building related health of children. The building survey was completed by the researcher, which included information on build</w:t>
      </w:r>
      <w:r w:rsidR="000E0FA4">
        <w:rPr>
          <w:rFonts w:ascii="Arial Unicode MS" w:eastAsia="Arial Unicode MS" w:hAnsi="Arial Unicode MS" w:cs="Arial Unicode MS"/>
          <w:sz w:val="20"/>
        </w:rPr>
        <w:t xml:space="preserve">ing features and </w:t>
      </w:r>
      <w:r w:rsidR="00E46D99">
        <w:rPr>
          <w:rFonts w:ascii="Arial Unicode MS" w:eastAsia="Arial Unicode MS" w:hAnsi="Arial Unicode MS" w:cs="Arial Unicode MS"/>
          <w:sz w:val="20"/>
        </w:rPr>
        <w:t xml:space="preserve">general </w:t>
      </w:r>
      <w:r w:rsidR="000E0FA4">
        <w:rPr>
          <w:rFonts w:ascii="Arial Unicode MS" w:eastAsia="Arial Unicode MS" w:hAnsi="Arial Unicode MS" w:cs="Arial Unicode MS"/>
          <w:sz w:val="20"/>
        </w:rPr>
        <w:t xml:space="preserve">observations. </w:t>
      </w:r>
    </w:p>
    <w:p w:rsidR="00DD4A10" w:rsidRPr="000E0FA4" w:rsidRDefault="00DD4A10" w:rsidP="00DD4A10">
      <w:pPr>
        <w:pStyle w:val="06BodyMaintext"/>
        <w:spacing w:before="240" w:after="240" w:line="240" w:lineRule="auto"/>
        <w:ind w:firstLine="0"/>
        <w:rPr>
          <w:rFonts w:ascii="Arial Unicode MS" w:eastAsia="Arial Unicode MS" w:hAnsi="Arial Unicode MS" w:cs="Arial Unicode MS"/>
          <w:sz w:val="20"/>
        </w:rPr>
      </w:pPr>
    </w:p>
    <w:p w:rsidR="00532A5F" w:rsidRPr="00532A5F" w:rsidRDefault="00096AD6" w:rsidP="00532A5F">
      <w:pPr>
        <w:pStyle w:val="Heading10"/>
        <w:numPr>
          <w:ilvl w:val="0"/>
          <w:numId w:val="11"/>
        </w:numPr>
        <w:spacing w:line="240" w:lineRule="auto"/>
        <w:rPr>
          <w:rFonts w:eastAsia="Arial Unicode MS" w:cs="Arial"/>
        </w:rPr>
      </w:pPr>
      <w:r>
        <w:rPr>
          <w:rFonts w:eastAsia="Arial Unicode MS" w:cs="Arial"/>
        </w:rPr>
        <w:t xml:space="preserve">Results </w:t>
      </w:r>
    </w:p>
    <w:p w:rsidR="00532A5F" w:rsidRDefault="00532A5F" w:rsidP="00633EBF">
      <w:pPr>
        <w:pStyle w:val="Heading20"/>
        <w:numPr>
          <w:ilvl w:val="1"/>
          <w:numId w:val="12"/>
        </w:numPr>
        <w:rPr>
          <w:rFonts w:eastAsia="Arial Unicode MS" w:cs="Arial"/>
        </w:rPr>
      </w:pPr>
      <w:r>
        <w:rPr>
          <w:rFonts w:eastAsia="Arial Unicode MS" w:cs="Arial"/>
        </w:rPr>
        <w:t>Ventilation Strategies</w:t>
      </w:r>
    </w:p>
    <w:p w:rsidR="00532A5F" w:rsidRDefault="00532A5F" w:rsidP="00532A5F">
      <w:pPr>
        <w:pStyle w:val="07BodySpaceAboveApplytomaintextafternumberedlist"/>
        <w:spacing w:line="240" w:lineRule="auto"/>
        <w:ind w:firstLine="0"/>
        <w:rPr>
          <w:rFonts w:ascii="Arial Unicode MS" w:eastAsia="Arial Unicode MS" w:hAnsi="Arial Unicode MS" w:cs="Arial Unicode MS"/>
          <w:sz w:val="20"/>
        </w:rPr>
      </w:pPr>
      <w:r w:rsidRPr="00532A5F">
        <w:rPr>
          <w:rFonts w:ascii="Arial Unicode MS" w:eastAsia="Arial Unicode MS" w:hAnsi="Arial Unicode MS" w:cs="Arial Unicode MS"/>
          <w:sz w:val="20"/>
        </w:rPr>
        <w:t xml:space="preserve">During the interview process, occupants were asked how often they used various ventilation strategies during the winter months; the results are presented in </w:t>
      </w:r>
      <w:r w:rsidRPr="003B1A2C">
        <w:rPr>
          <w:rFonts w:ascii="Arial Unicode MS" w:eastAsia="Arial Unicode MS" w:hAnsi="Arial Unicode MS" w:cs="Arial Unicode MS"/>
          <w:sz w:val="20"/>
        </w:rPr>
        <w:t>Figure 1. As</w:t>
      </w:r>
      <w:r w:rsidRPr="00532A5F">
        <w:rPr>
          <w:rFonts w:ascii="Arial Unicode MS" w:eastAsia="Arial Unicode MS" w:hAnsi="Arial Unicode MS" w:cs="Arial Unicode MS"/>
          <w:sz w:val="20"/>
        </w:rPr>
        <w:t xml:space="preserve"> illu</w:t>
      </w:r>
      <w:r w:rsidR="000C60F4">
        <w:rPr>
          <w:rFonts w:ascii="Arial Unicode MS" w:eastAsia="Arial Unicode MS" w:hAnsi="Arial Unicode MS" w:cs="Arial Unicode MS"/>
          <w:sz w:val="20"/>
        </w:rPr>
        <w:t>strated, five out of six homes never or rarely</w:t>
      </w:r>
      <w:r w:rsidRPr="00532A5F">
        <w:rPr>
          <w:rFonts w:ascii="Arial Unicode MS" w:eastAsia="Arial Unicode MS" w:hAnsi="Arial Unicode MS" w:cs="Arial Unicode MS"/>
          <w:sz w:val="20"/>
        </w:rPr>
        <w:t xml:space="preserve"> used the boost mode function. One household explained the ventilation system was noisy on higher settings; another stated they do not touch the system. One household reported using the boost mode only when there was a crowd of people in. Only one home reported opening the windows on a regular basis</w:t>
      </w:r>
      <w:r w:rsidR="0067161C">
        <w:rPr>
          <w:rFonts w:ascii="Arial Unicode MS" w:eastAsia="Arial Unicode MS" w:hAnsi="Arial Unicode MS" w:cs="Arial Unicode MS"/>
          <w:sz w:val="20"/>
        </w:rPr>
        <w:t xml:space="preserve"> during winter</w:t>
      </w:r>
      <w:r w:rsidRPr="00532A5F">
        <w:rPr>
          <w:rFonts w:ascii="Arial Unicode MS" w:eastAsia="Arial Unicode MS" w:hAnsi="Arial Unicode MS" w:cs="Arial Unicode MS"/>
          <w:sz w:val="20"/>
        </w:rPr>
        <w:t xml:space="preserve"> (in morning), while in five out</w:t>
      </w:r>
      <w:r w:rsidR="000C60F4">
        <w:rPr>
          <w:rFonts w:ascii="Arial Unicode MS" w:eastAsia="Arial Unicode MS" w:hAnsi="Arial Unicode MS" w:cs="Arial Unicode MS"/>
          <w:sz w:val="20"/>
        </w:rPr>
        <w:t xml:space="preserve"> of six homes the windows were never or rarely</w:t>
      </w:r>
      <w:r w:rsidRPr="00532A5F">
        <w:rPr>
          <w:rFonts w:ascii="Arial Unicode MS" w:eastAsia="Arial Unicode MS" w:hAnsi="Arial Unicode MS" w:cs="Arial Unicode MS"/>
          <w:sz w:val="20"/>
        </w:rPr>
        <w:t xml:space="preserve"> open during the evening and/or night. In house No.4 and No.5, the windows in the main bathroom </w:t>
      </w:r>
      <w:r w:rsidR="00491C4E">
        <w:rPr>
          <w:rFonts w:ascii="Arial Unicode MS" w:eastAsia="Arial Unicode MS" w:hAnsi="Arial Unicode MS" w:cs="Arial Unicode MS"/>
          <w:sz w:val="20"/>
        </w:rPr>
        <w:t>were</w:t>
      </w:r>
      <w:r w:rsidRPr="00532A5F">
        <w:rPr>
          <w:rFonts w:ascii="Arial Unicode MS" w:eastAsia="Arial Unicode MS" w:hAnsi="Arial Unicode MS" w:cs="Arial Unicode MS"/>
          <w:sz w:val="20"/>
        </w:rPr>
        <w:t xml:space="preserve"> not </w:t>
      </w:r>
      <w:r w:rsidR="00E46D99" w:rsidRPr="00532A5F">
        <w:rPr>
          <w:rFonts w:ascii="Arial Unicode MS" w:eastAsia="Arial Unicode MS" w:hAnsi="Arial Unicode MS" w:cs="Arial Unicode MS"/>
          <w:sz w:val="20"/>
        </w:rPr>
        <w:t>operable;</w:t>
      </w:r>
      <w:r w:rsidRPr="00532A5F">
        <w:rPr>
          <w:rFonts w:ascii="Arial Unicode MS" w:eastAsia="Arial Unicode MS" w:hAnsi="Arial Unicode MS" w:cs="Arial Unicode MS"/>
          <w:sz w:val="20"/>
        </w:rPr>
        <w:t xml:space="preserve"> the MVHR system </w:t>
      </w:r>
      <w:r w:rsidR="00491C4E">
        <w:rPr>
          <w:rFonts w:ascii="Arial Unicode MS" w:eastAsia="Arial Unicode MS" w:hAnsi="Arial Unicode MS" w:cs="Arial Unicode MS"/>
          <w:sz w:val="20"/>
        </w:rPr>
        <w:t>was</w:t>
      </w:r>
      <w:r w:rsidRPr="00532A5F">
        <w:rPr>
          <w:rFonts w:ascii="Arial Unicode MS" w:eastAsia="Arial Unicode MS" w:hAnsi="Arial Unicode MS" w:cs="Arial Unicode MS"/>
          <w:sz w:val="20"/>
        </w:rPr>
        <w:t xml:space="preserve"> the only available ventilation strategy. When asked whether the boost mode was ever used during showerin</w:t>
      </w:r>
      <w:r w:rsidR="000C60F4">
        <w:rPr>
          <w:rFonts w:ascii="Arial Unicode MS" w:eastAsia="Arial Unicode MS" w:hAnsi="Arial Unicode MS" w:cs="Arial Unicode MS"/>
          <w:sz w:val="20"/>
        </w:rPr>
        <w:t>g or bathing, the response was never</w:t>
      </w:r>
      <w:r w:rsidRPr="00532A5F">
        <w:rPr>
          <w:rFonts w:ascii="Arial Unicode MS" w:eastAsia="Arial Unicode MS" w:hAnsi="Arial Unicode MS" w:cs="Arial Unicode MS"/>
          <w:sz w:val="20"/>
        </w:rPr>
        <w:t xml:space="preserve"> for five out of six households. These results suggest inadequate use of purge ventilation to rapidly dilute air pollut</w:t>
      </w:r>
      <w:r w:rsidR="0067161C">
        <w:rPr>
          <w:rFonts w:ascii="Arial Unicode MS" w:eastAsia="Arial Unicode MS" w:hAnsi="Arial Unicode MS" w:cs="Arial Unicode MS"/>
          <w:sz w:val="20"/>
        </w:rPr>
        <w:t xml:space="preserve">ants and excess water vapor </w:t>
      </w:r>
      <w:r w:rsidRPr="00532A5F">
        <w:rPr>
          <w:rFonts w:ascii="Arial Unicode MS" w:eastAsia="Arial Unicode MS" w:hAnsi="Arial Unicode MS" w:cs="Arial Unicode MS"/>
          <w:sz w:val="20"/>
        </w:rPr>
        <w:t xml:space="preserve">in the case study homes. </w:t>
      </w:r>
    </w:p>
    <w:p w:rsidR="000E0FA4" w:rsidRPr="001A2FAA" w:rsidRDefault="00532A5F" w:rsidP="000E0FA4">
      <w:pPr>
        <w:rPr>
          <w:rFonts w:ascii="Garamond" w:eastAsia="Arial Unicode MS" w:hAnsi="Garamond"/>
          <w:sz w:val="21"/>
        </w:rPr>
      </w:pPr>
      <w:r>
        <w:rPr>
          <w:noProof/>
        </w:rPr>
        <w:drawing>
          <wp:inline distT="0" distB="0" distL="0" distR="0">
            <wp:extent cx="5727802" cy="2026310"/>
            <wp:effectExtent l="0" t="0" r="25400" b="12065"/>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532A5F">
        <w:rPr>
          <w:rFonts w:eastAsia="Arial Unicode MS"/>
        </w:rPr>
        <w:t>Figure 1.</w:t>
      </w:r>
      <w:r>
        <w:rPr>
          <w:rFonts w:eastAsia="Arial Unicode MS"/>
        </w:rPr>
        <w:t xml:space="preserve"> </w:t>
      </w:r>
      <w:r w:rsidRPr="00532A5F">
        <w:rPr>
          <w:rFonts w:eastAsia="Arial Unicode MS"/>
        </w:rPr>
        <w:t>Frequency of ventilation strategies utilized in case study homes during the winter months.</w:t>
      </w:r>
    </w:p>
    <w:p w:rsidR="000D1DBB" w:rsidRDefault="000D1DBB" w:rsidP="00532A5F">
      <w:pPr>
        <w:pStyle w:val="06BodyMaintext"/>
        <w:spacing w:line="240" w:lineRule="auto"/>
        <w:ind w:firstLine="0"/>
        <w:rPr>
          <w:rFonts w:ascii="Arial Unicode MS" w:eastAsia="Arial Unicode MS" w:hAnsi="Arial Unicode MS" w:cs="Arial Unicode MS"/>
          <w:sz w:val="20"/>
        </w:rPr>
      </w:pPr>
    </w:p>
    <w:p w:rsidR="000D1DBB" w:rsidRDefault="000D1DBB" w:rsidP="00532A5F">
      <w:pPr>
        <w:pStyle w:val="06BodyMaintext"/>
        <w:spacing w:line="240" w:lineRule="auto"/>
        <w:ind w:firstLine="0"/>
        <w:rPr>
          <w:rFonts w:ascii="Arial Unicode MS" w:eastAsia="Arial Unicode MS" w:hAnsi="Arial Unicode MS" w:cs="Arial Unicode MS"/>
          <w:sz w:val="20"/>
        </w:rPr>
      </w:pPr>
      <w:r>
        <w:rPr>
          <w:noProof/>
          <w:lang w:val="en-GB" w:eastAsia="en-GB"/>
        </w:rPr>
        <w:drawing>
          <wp:inline distT="0" distB="0" distL="0" distR="0">
            <wp:extent cx="5727802" cy="2026310"/>
            <wp:effectExtent l="0" t="0" r="25400" b="12065"/>
            <wp:docPr id="2"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1DBB" w:rsidRPr="00E77FBD" w:rsidRDefault="00E77FBD" w:rsidP="00532A5F">
      <w:pPr>
        <w:pStyle w:val="06BodyMaintext"/>
        <w:spacing w:line="240" w:lineRule="auto"/>
        <w:ind w:firstLine="0"/>
        <w:rPr>
          <w:rFonts w:ascii="Arial Unicode MS" w:eastAsia="Arial Unicode MS" w:hAnsi="Arial Unicode MS" w:cs="Arial Unicode MS"/>
          <w:sz w:val="20"/>
        </w:rPr>
      </w:pPr>
      <w:r>
        <w:rPr>
          <w:rFonts w:ascii="Arial Unicode MS" w:eastAsia="Arial Unicode MS" w:hAnsi="Arial Unicode MS" w:cs="Arial Unicode MS"/>
          <w:sz w:val="20"/>
        </w:rPr>
        <w:t>Figure 2</w:t>
      </w:r>
      <w:r w:rsidRPr="00E77FBD">
        <w:rPr>
          <w:rFonts w:ascii="Arial Unicode MS" w:eastAsia="Arial Unicode MS" w:hAnsi="Arial Unicode MS" w:cs="Arial Unicode MS"/>
          <w:sz w:val="20"/>
        </w:rPr>
        <w:t xml:space="preserve">. Frequency of ventilation strategies utilized in case study homes during the </w:t>
      </w:r>
      <w:r>
        <w:rPr>
          <w:rFonts w:ascii="Arial Unicode MS" w:eastAsia="Arial Unicode MS" w:hAnsi="Arial Unicode MS" w:cs="Arial Unicode MS"/>
          <w:sz w:val="20"/>
        </w:rPr>
        <w:t>summer</w:t>
      </w:r>
      <w:r w:rsidRPr="00E77FBD">
        <w:rPr>
          <w:rFonts w:ascii="Arial Unicode MS" w:eastAsia="Arial Unicode MS" w:hAnsi="Arial Unicode MS" w:cs="Arial Unicode MS"/>
          <w:sz w:val="20"/>
        </w:rPr>
        <w:t xml:space="preserve"> months.</w:t>
      </w:r>
    </w:p>
    <w:p w:rsidR="000D1DBB" w:rsidRPr="00E77FBD" w:rsidRDefault="000D1DBB" w:rsidP="00532A5F">
      <w:pPr>
        <w:pStyle w:val="06BodyMaintext"/>
        <w:spacing w:line="240" w:lineRule="auto"/>
        <w:ind w:firstLine="0"/>
        <w:rPr>
          <w:rFonts w:ascii="Arial Unicode MS" w:eastAsia="Arial Unicode MS" w:hAnsi="Arial Unicode MS" w:cs="Arial Unicode MS"/>
          <w:sz w:val="20"/>
        </w:rPr>
      </w:pPr>
    </w:p>
    <w:p w:rsidR="000D1DBB" w:rsidRDefault="00E77FBD" w:rsidP="00532A5F">
      <w:pPr>
        <w:pStyle w:val="06BodyMaintext"/>
        <w:spacing w:line="240" w:lineRule="auto"/>
        <w:ind w:firstLine="0"/>
        <w:rPr>
          <w:rFonts w:ascii="Arial Unicode MS" w:eastAsia="Arial Unicode MS" w:hAnsi="Arial Unicode MS" w:cs="Arial Unicode MS"/>
          <w:sz w:val="20"/>
        </w:rPr>
      </w:pPr>
      <w:r>
        <w:rPr>
          <w:rFonts w:ascii="Arial Unicode MS" w:eastAsia="Arial Unicode MS" w:hAnsi="Arial Unicode MS" w:cs="Arial Unicode MS"/>
          <w:sz w:val="20"/>
        </w:rPr>
        <w:t xml:space="preserve">During the summer months, </w:t>
      </w:r>
      <w:r w:rsidR="001A4E99">
        <w:rPr>
          <w:rFonts w:ascii="Arial Unicode MS" w:eastAsia="Arial Unicode MS" w:hAnsi="Arial Unicode MS" w:cs="Arial Unicode MS"/>
          <w:sz w:val="20"/>
        </w:rPr>
        <w:t>four</w:t>
      </w:r>
      <w:r>
        <w:rPr>
          <w:rFonts w:ascii="Arial Unicode MS" w:eastAsia="Arial Unicode MS" w:hAnsi="Arial Unicode MS" w:cs="Arial Unicode MS"/>
          <w:sz w:val="20"/>
        </w:rPr>
        <w:t xml:space="preserve"> households stated the boost mode in the MVHR system was ‘never’ used. The rema</w:t>
      </w:r>
      <w:r w:rsidR="000C60F4">
        <w:rPr>
          <w:rFonts w:ascii="Arial Unicode MS" w:eastAsia="Arial Unicode MS" w:hAnsi="Arial Unicode MS" w:cs="Arial Unicode MS"/>
          <w:sz w:val="20"/>
        </w:rPr>
        <w:t>ining households stated it was occasionally used “when visitors were in”, or rarely used “when it is really warm”</w:t>
      </w:r>
      <w:r>
        <w:rPr>
          <w:rFonts w:ascii="Arial Unicode MS" w:eastAsia="Arial Unicode MS" w:hAnsi="Arial Unicode MS" w:cs="Arial Unicode MS"/>
          <w:sz w:val="20"/>
        </w:rPr>
        <w:t>. Two households (No.5 and No.6) stated that windows were opened constantly</w:t>
      </w:r>
      <w:r w:rsidR="009633F9">
        <w:rPr>
          <w:rFonts w:ascii="Arial Unicode MS" w:eastAsia="Arial Unicode MS" w:hAnsi="Arial Unicode MS" w:cs="Arial Unicode MS"/>
          <w:sz w:val="20"/>
        </w:rPr>
        <w:t xml:space="preserve"> during summer;</w:t>
      </w:r>
      <w:r>
        <w:rPr>
          <w:rFonts w:ascii="Arial Unicode MS" w:eastAsia="Arial Unicode MS" w:hAnsi="Arial Unicode MS" w:cs="Arial Unicode MS"/>
          <w:sz w:val="20"/>
        </w:rPr>
        <w:t xml:space="preserve"> in the morning, during the day, in </w:t>
      </w:r>
      <w:r w:rsidR="009633F9">
        <w:rPr>
          <w:rFonts w:ascii="Arial Unicode MS" w:eastAsia="Arial Unicode MS" w:hAnsi="Arial Unicode MS" w:cs="Arial Unicode MS"/>
          <w:sz w:val="20"/>
        </w:rPr>
        <w:t xml:space="preserve">the </w:t>
      </w:r>
      <w:r>
        <w:rPr>
          <w:rFonts w:ascii="Arial Unicode MS" w:eastAsia="Arial Unicode MS" w:hAnsi="Arial Unicode MS" w:cs="Arial Unicode MS"/>
          <w:sz w:val="20"/>
        </w:rPr>
        <w:t xml:space="preserve">evening and at night. </w:t>
      </w:r>
    </w:p>
    <w:p w:rsidR="000D1DBB" w:rsidRDefault="000D1DBB" w:rsidP="00532A5F">
      <w:pPr>
        <w:pStyle w:val="06BodyMaintext"/>
        <w:spacing w:line="240" w:lineRule="auto"/>
        <w:ind w:firstLine="0"/>
        <w:rPr>
          <w:rFonts w:ascii="Arial Unicode MS" w:eastAsia="Arial Unicode MS" w:hAnsi="Arial Unicode MS" w:cs="Arial Unicode MS"/>
          <w:sz w:val="20"/>
        </w:rPr>
      </w:pPr>
    </w:p>
    <w:p w:rsidR="00532A5F" w:rsidRDefault="00532A5F" w:rsidP="00532A5F">
      <w:pPr>
        <w:pStyle w:val="06BodyMaintext"/>
        <w:spacing w:line="240" w:lineRule="auto"/>
        <w:ind w:firstLine="0"/>
        <w:rPr>
          <w:rFonts w:ascii="Arial Unicode MS" w:eastAsia="Arial Unicode MS" w:hAnsi="Arial Unicode MS" w:cs="Arial Unicode MS"/>
          <w:sz w:val="20"/>
        </w:rPr>
      </w:pPr>
      <w:r w:rsidRPr="00532A5F">
        <w:rPr>
          <w:rFonts w:ascii="Arial Unicode MS" w:eastAsia="Arial Unicode MS" w:hAnsi="Arial Unicode MS" w:cs="Arial Unicode MS"/>
          <w:sz w:val="20"/>
        </w:rPr>
        <w:t xml:space="preserve">All households stated that they found the MVHR (Mechanical Ventilation with Heat Recovery) system easy to operate. </w:t>
      </w:r>
      <w:r w:rsidR="00491C4E">
        <w:rPr>
          <w:rFonts w:ascii="Arial Unicode MS" w:eastAsia="Arial Unicode MS" w:hAnsi="Arial Unicode MS" w:cs="Arial Unicode MS"/>
          <w:sz w:val="20"/>
        </w:rPr>
        <w:t>Two</w:t>
      </w:r>
      <w:r w:rsidRPr="00532A5F">
        <w:rPr>
          <w:rFonts w:ascii="Arial Unicode MS" w:eastAsia="Arial Unicode MS" w:hAnsi="Arial Unicode MS" w:cs="Arial Unicode MS"/>
          <w:sz w:val="20"/>
        </w:rPr>
        <w:t xml:space="preserve"> household</w:t>
      </w:r>
      <w:r w:rsidR="00491C4E">
        <w:rPr>
          <w:rFonts w:ascii="Arial Unicode MS" w:eastAsia="Arial Unicode MS" w:hAnsi="Arial Unicode MS" w:cs="Arial Unicode MS"/>
          <w:sz w:val="20"/>
        </w:rPr>
        <w:t>s</w:t>
      </w:r>
      <w:r w:rsidRPr="00532A5F">
        <w:rPr>
          <w:rFonts w:ascii="Arial Unicode MS" w:eastAsia="Arial Unicode MS" w:hAnsi="Arial Unicode MS" w:cs="Arial Unicode MS"/>
          <w:sz w:val="20"/>
        </w:rPr>
        <w:t xml:space="preserve"> </w:t>
      </w:r>
      <w:r w:rsidR="00491C4E">
        <w:rPr>
          <w:rFonts w:ascii="Arial Unicode MS" w:eastAsia="Arial Unicode MS" w:hAnsi="Arial Unicode MS" w:cs="Arial Unicode MS"/>
          <w:sz w:val="20"/>
        </w:rPr>
        <w:t xml:space="preserve">(No.3 and No.5) </w:t>
      </w:r>
      <w:r w:rsidRPr="00532A5F">
        <w:rPr>
          <w:rFonts w:ascii="Arial Unicode MS" w:eastAsia="Arial Unicode MS" w:hAnsi="Arial Unicode MS" w:cs="Arial Unicode MS"/>
          <w:sz w:val="20"/>
        </w:rPr>
        <w:t xml:space="preserve">however pointed out that they had adjusted the vents for thermal comfort during winter, explaining they were experiencing draughts from the supply vents. </w:t>
      </w:r>
      <w:r w:rsidR="00491C4E">
        <w:rPr>
          <w:rFonts w:ascii="Arial Unicode MS" w:eastAsia="Arial Unicode MS" w:hAnsi="Arial Unicode MS" w:cs="Arial Unicode MS"/>
          <w:sz w:val="20"/>
        </w:rPr>
        <w:t xml:space="preserve">Household No.3 explained that every winter they screw the supply vents slightly closed and open them again during the summer season. Similarly, No.5 explained that during the winter they tighten the bedroom and living room supply vents. </w:t>
      </w:r>
      <w:r w:rsidRPr="00532A5F">
        <w:rPr>
          <w:rFonts w:ascii="Arial Unicode MS" w:eastAsia="Arial Unicode MS" w:hAnsi="Arial Unicode MS" w:cs="Arial Unicode MS"/>
          <w:sz w:val="20"/>
        </w:rPr>
        <w:t xml:space="preserve">This may have had a significant effect on the air change rate, potentially limiting ventilation to inadequate levels. </w:t>
      </w:r>
    </w:p>
    <w:p w:rsidR="008E29C0" w:rsidRDefault="008E29C0" w:rsidP="00532A5F">
      <w:pPr>
        <w:pStyle w:val="06BodyMaintext"/>
        <w:spacing w:line="240" w:lineRule="auto"/>
        <w:ind w:firstLine="0"/>
        <w:rPr>
          <w:rFonts w:ascii="Arial Unicode MS" w:eastAsia="Arial Unicode MS" w:hAnsi="Arial Unicode MS" w:cs="Arial Unicode MS"/>
          <w:sz w:val="20"/>
        </w:rPr>
      </w:pPr>
    </w:p>
    <w:p w:rsidR="008E29C0" w:rsidRPr="00532A5F" w:rsidRDefault="002B6EA1" w:rsidP="00532A5F">
      <w:pPr>
        <w:pStyle w:val="06BodyMaintext"/>
        <w:spacing w:line="240" w:lineRule="auto"/>
        <w:ind w:firstLine="0"/>
        <w:rPr>
          <w:rFonts w:ascii="Arial Unicode MS" w:eastAsia="Arial Unicode MS" w:hAnsi="Arial Unicode MS" w:cs="Arial Unicode MS"/>
          <w:sz w:val="20"/>
        </w:rPr>
      </w:pPr>
      <w:r>
        <w:rPr>
          <w:rFonts w:ascii="Arial Unicode MS" w:eastAsia="Arial Unicode MS" w:hAnsi="Arial Unicode MS" w:cs="Arial Unicode MS"/>
          <w:sz w:val="20"/>
        </w:rPr>
        <w:t>In the structured occupant interview, three h</w:t>
      </w:r>
      <w:r w:rsidR="008E29C0">
        <w:rPr>
          <w:rFonts w:ascii="Arial Unicode MS" w:eastAsia="Arial Unicode MS" w:hAnsi="Arial Unicode MS" w:cs="Arial Unicode MS"/>
          <w:sz w:val="20"/>
        </w:rPr>
        <w:t xml:space="preserve">ouseholds </w:t>
      </w:r>
      <w:r>
        <w:rPr>
          <w:rFonts w:ascii="Arial Unicode MS" w:eastAsia="Arial Unicode MS" w:hAnsi="Arial Unicode MS" w:cs="Arial Unicode MS"/>
          <w:sz w:val="20"/>
        </w:rPr>
        <w:t>stated that they have</w:t>
      </w:r>
      <w:r w:rsidR="008E29C0">
        <w:rPr>
          <w:rFonts w:ascii="Arial Unicode MS" w:eastAsia="Arial Unicode MS" w:hAnsi="Arial Unicode MS" w:cs="Arial Unicode MS"/>
          <w:sz w:val="20"/>
        </w:rPr>
        <w:t xml:space="preserve"> </w:t>
      </w:r>
      <w:r>
        <w:rPr>
          <w:rFonts w:ascii="Arial Unicode MS" w:eastAsia="Arial Unicode MS" w:hAnsi="Arial Unicode MS" w:cs="Arial Unicode MS"/>
          <w:sz w:val="20"/>
        </w:rPr>
        <w:t>experienced</w:t>
      </w:r>
      <w:r w:rsidR="008E29C0">
        <w:rPr>
          <w:rFonts w:ascii="Arial Unicode MS" w:eastAsia="Arial Unicode MS" w:hAnsi="Arial Unicode MS" w:cs="Arial Unicode MS"/>
          <w:sz w:val="20"/>
        </w:rPr>
        <w:t xml:space="preserve"> issues with </w:t>
      </w:r>
      <w:r>
        <w:rPr>
          <w:rFonts w:ascii="Arial Unicode MS" w:eastAsia="Arial Unicode MS" w:hAnsi="Arial Unicode MS" w:cs="Arial Unicode MS"/>
          <w:sz w:val="20"/>
        </w:rPr>
        <w:t xml:space="preserve">at least one of </w:t>
      </w:r>
      <w:r w:rsidR="008E29C0">
        <w:rPr>
          <w:rFonts w:ascii="Arial Unicode MS" w:eastAsia="Arial Unicode MS" w:hAnsi="Arial Unicode MS" w:cs="Arial Unicode MS"/>
          <w:sz w:val="20"/>
        </w:rPr>
        <w:t>the following aspects of the MVHR system: noise, cost of running, ther</w:t>
      </w:r>
      <w:r>
        <w:rPr>
          <w:rFonts w:ascii="Arial Unicode MS" w:eastAsia="Arial Unicode MS" w:hAnsi="Arial Unicode MS" w:cs="Arial Unicode MS"/>
          <w:sz w:val="20"/>
        </w:rPr>
        <w:t xml:space="preserve">mal comfort, draughts or other. Two stated noise as an issue, explaining it is noisy on higher settings and noisy in the bathroom. One household stated cost of running and thermal comfort as issues, explaining that it </w:t>
      </w:r>
      <w:r w:rsidR="0067161C">
        <w:rPr>
          <w:rFonts w:ascii="Arial Unicode MS" w:eastAsia="Arial Unicode MS" w:hAnsi="Arial Unicode MS" w:cs="Arial Unicode MS"/>
          <w:sz w:val="20"/>
        </w:rPr>
        <w:t>was “not efficient to heat the house” and “in winter it gets too cold”</w:t>
      </w:r>
      <w:r>
        <w:rPr>
          <w:rFonts w:ascii="Arial Unicode MS" w:eastAsia="Arial Unicode MS" w:hAnsi="Arial Unicode MS" w:cs="Arial Unicode MS"/>
          <w:sz w:val="20"/>
        </w:rPr>
        <w:t xml:space="preserve">. Thus poor understanding and/or satisfaction with the mechanical ventilation with heat recovery system appears to be a problem in the case study dwellings. </w:t>
      </w:r>
    </w:p>
    <w:p w:rsidR="00532A5F" w:rsidRDefault="00532A5F" w:rsidP="00633EBF">
      <w:pPr>
        <w:pStyle w:val="Heading20"/>
        <w:numPr>
          <w:ilvl w:val="1"/>
          <w:numId w:val="12"/>
        </w:numPr>
        <w:rPr>
          <w:rFonts w:eastAsia="Arial Unicode MS" w:cs="Arial"/>
        </w:rPr>
      </w:pPr>
      <w:r>
        <w:rPr>
          <w:rFonts w:eastAsia="Arial Unicode MS" w:cs="Arial"/>
        </w:rPr>
        <w:t>Carbon dioxide</w:t>
      </w:r>
    </w:p>
    <w:p w:rsidR="00532A5F" w:rsidRDefault="00532A5F" w:rsidP="00C574B2">
      <w:pPr>
        <w:pStyle w:val="Heading3"/>
        <w:numPr>
          <w:ilvl w:val="2"/>
          <w:numId w:val="14"/>
        </w:numPr>
        <w:rPr>
          <w:rFonts w:eastAsia="Arial Unicode MS"/>
        </w:rPr>
      </w:pPr>
      <w:r>
        <w:rPr>
          <w:rFonts w:eastAsia="Arial Unicode MS"/>
        </w:rPr>
        <w:t>Winter season</w:t>
      </w:r>
    </w:p>
    <w:tbl>
      <w:tblPr>
        <w:tblW w:w="4895" w:type="pct"/>
        <w:jc w:val="center"/>
        <w:tblBorders>
          <w:top w:val="single" w:sz="18" w:space="0" w:color="auto"/>
          <w:bottom w:val="single" w:sz="18" w:space="0" w:color="auto"/>
        </w:tblBorders>
        <w:tblLook w:val="04A0" w:firstRow="1" w:lastRow="0" w:firstColumn="1" w:lastColumn="0" w:noHBand="0" w:noVBand="1"/>
      </w:tblPr>
      <w:tblGrid>
        <w:gridCol w:w="3176"/>
        <w:gridCol w:w="901"/>
        <w:gridCol w:w="974"/>
        <w:gridCol w:w="972"/>
        <w:gridCol w:w="1013"/>
        <w:gridCol w:w="932"/>
        <w:gridCol w:w="1080"/>
      </w:tblGrid>
      <w:tr w:rsidR="005F7B60" w:rsidRPr="00532A5F" w:rsidTr="005F7B60">
        <w:trPr>
          <w:jc w:val="center"/>
        </w:trPr>
        <w:tc>
          <w:tcPr>
            <w:tcW w:w="5000" w:type="pct"/>
            <w:gridSpan w:val="7"/>
            <w:tcBorders>
              <w:top w:val="nil"/>
              <w:bottom w:val="single" w:sz="2" w:space="0" w:color="auto"/>
            </w:tcBorders>
            <w:vAlign w:val="center"/>
          </w:tcPr>
          <w:p w:rsidR="00532A5F" w:rsidRPr="00532A5F" w:rsidRDefault="007D3A41" w:rsidP="00CB4E25">
            <w:pPr>
              <w:rPr>
                <w:rFonts w:eastAsia="Arial Unicode MS"/>
              </w:rPr>
            </w:pPr>
            <w:r>
              <w:rPr>
                <w:rFonts w:eastAsia="Arial Unicode MS"/>
              </w:rPr>
              <w:t>Table 2.   Winter c</w:t>
            </w:r>
            <w:r w:rsidR="00532A5F" w:rsidRPr="00532A5F">
              <w:rPr>
                <w:rFonts w:eastAsia="Arial Unicode MS"/>
              </w:rPr>
              <w:t xml:space="preserve">arbon dioxide </w:t>
            </w:r>
            <w:r>
              <w:rPr>
                <w:rFonts w:eastAsia="Arial Unicode MS"/>
              </w:rPr>
              <w:t xml:space="preserve">levels </w:t>
            </w:r>
            <w:r w:rsidR="00532A5F" w:rsidRPr="00532A5F">
              <w:rPr>
                <w:rFonts w:eastAsia="Arial Unicode MS"/>
              </w:rPr>
              <w:t>(ppm)</w:t>
            </w:r>
            <w:r w:rsidR="00985198">
              <w:rPr>
                <w:rFonts w:eastAsia="Arial Unicode MS"/>
              </w:rPr>
              <w:t xml:space="preserve"> in living room</w:t>
            </w:r>
            <w:r w:rsidR="005F7B60">
              <w:rPr>
                <w:rFonts w:eastAsia="Arial Unicode MS"/>
              </w:rPr>
              <w:t xml:space="preserve"> and average occupancy</w:t>
            </w:r>
          </w:p>
        </w:tc>
      </w:tr>
      <w:tr w:rsidR="005F7B60" w:rsidRPr="00532A5F" w:rsidTr="005F7B60">
        <w:trPr>
          <w:jc w:val="center"/>
        </w:trPr>
        <w:tc>
          <w:tcPr>
            <w:tcW w:w="1755" w:type="pct"/>
            <w:tcBorders>
              <w:top w:val="single" w:sz="2" w:space="0" w:color="auto"/>
              <w:bottom w:val="single" w:sz="2" w:space="0" w:color="auto"/>
            </w:tcBorders>
            <w:vAlign w:val="center"/>
          </w:tcPr>
          <w:p w:rsidR="00532A5F" w:rsidRPr="00532A5F" w:rsidRDefault="00532A5F" w:rsidP="00985198">
            <w:pPr>
              <w:pStyle w:val="NoSpacing"/>
            </w:pPr>
          </w:p>
        </w:tc>
        <w:tc>
          <w:tcPr>
            <w:tcW w:w="498" w:type="pct"/>
            <w:tcBorders>
              <w:top w:val="single" w:sz="2" w:space="0" w:color="auto"/>
              <w:bottom w:val="single" w:sz="2" w:space="0" w:color="auto"/>
            </w:tcBorders>
            <w:vAlign w:val="center"/>
          </w:tcPr>
          <w:p w:rsidR="00532A5F" w:rsidRPr="00532A5F" w:rsidRDefault="00532A5F" w:rsidP="00985198">
            <w:pPr>
              <w:pStyle w:val="NoSpacing"/>
            </w:pPr>
            <w:r w:rsidRPr="00532A5F">
              <w:t>No.1</w:t>
            </w:r>
          </w:p>
        </w:tc>
        <w:tc>
          <w:tcPr>
            <w:tcW w:w="538" w:type="pct"/>
            <w:tcBorders>
              <w:top w:val="single" w:sz="2" w:space="0" w:color="auto"/>
              <w:bottom w:val="single" w:sz="2" w:space="0" w:color="auto"/>
            </w:tcBorders>
            <w:vAlign w:val="center"/>
          </w:tcPr>
          <w:p w:rsidR="00532A5F" w:rsidRPr="00532A5F" w:rsidRDefault="00532A5F" w:rsidP="00985198">
            <w:pPr>
              <w:pStyle w:val="NoSpacing"/>
            </w:pPr>
            <w:r w:rsidRPr="00532A5F">
              <w:t>No.2</w:t>
            </w:r>
          </w:p>
        </w:tc>
        <w:tc>
          <w:tcPr>
            <w:tcW w:w="537" w:type="pct"/>
            <w:tcBorders>
              <w:top w:val="single" w:sz="2" w:space="0" w:color="auto"/>
              <w:bottom w:val="single" w:sz="2" w:space="0" w:color="auto"/>
            </w:tcBorders>
            <w:vAlign w:val="center"/>
          </w:tcPr>
          <w:p w:rsidR="00532A5F" w:rsidRPr="00532A5F" w:rsidRDefault="00532A5F" w:rsidP="00985198">
            <w:pPr>
              <w:pStyle w:val="NoSpacing"/>
            </w:pPr>
            <w:r w:rsidRPr="00532A5F">
              <w:t>No.3</w:t>
            </w:r>
          </w:p>
        </w:tc>
        <w:tc>
          <w:tcPr>
            <w:tcW w:w="560" w:type="pct"/>
            <w:tcBorders>
              <w:top w:val="single" w:sz="2" w:space="0" w:color="auto"/>
              <w:bottom w:val="single" w:sz="2" w:space="0" w:color="auto"/>
            </w:tcBorders>
            <w:vAlign w:val="center"/>
          </w:tcPr>
          <w:p w:rsidR="00532A5F" w:rsidRPr="00532A5F" w:rsidRDefault="00532A5F" w:rsidP="00985198">
            <w:pPr>
              <w:pStyle w:val="NoSpacing"/>
            </w:pPr>
            <w:r w:rsidRPr="00532A5F">
              <w:t>No.4</w:t>
            </w:r>
          </w:p>
        </w:tc>
        <w:tc>
          <w:tcPr>
            <w:tcW w:w="515" w:type="pct"/>
            <w:tcBorders>
              <w:top w:val="single" w:sz="2" w:space="0" w:color="auto"/>
              <w:bottom w:val="single" w:sz="2" w:space="0" w:color="auto"/>
            </w:tcBorders>
            <w:vAlign w:val="center"/>
          </w:tcPr>
          <w:p w:rsidR="00532A5F" w:rsidRPr="00532A5F" w:rsidRDefault="00532A5F" w:rsidP="00985198">
            <w:pPr>
              <w:pStyle w:val="NoSpacing"/>
            </w:pPr>
            <w:r w:rsidRPr="00532A5F">
              <w:t>No.5</w:t>
            </w:r>
          </w:p>
        </w:tc>
        <w:tc>
          <w:tcPr>
            <w:tcW w:w="596" w:type="pct"/>
            <w:tcBorders>
              <w:top w:val="single" w:sz="2" w:space="0" w:color="auto"/>
              <w:bottom w:val="single" w:sz="2" w:space="0" w:color="auto"/>
            </w:tcBorders>
            <w:vAlign w:val="center"/>
          </w:tcPr>
          <w:p w:rsidR="00532A5F" w:rsidRPr="00532A5F" w:rsidRDefault="00532A5F" w:rsidP="00985198">
            <w:pPr>
              <w:pStyle w:val="NoSpacing"/>
            </w:pPr>
            <w:r w:rsidRPr="00532A5F">
              <w:t>No.6</w:t>
            </w:r>
          </w:p>
        </w:tc>
      </w:tr>
      <w:tr w:rsidR="005F7B60" w:rsidRPr="00532A5F" w:rsidTr="005F7B60">
        <w:trPr>
          <w:jc w:val="center"/>
        </w:trPr>
        <w:tc>
          <w:tcPr>
            <w:tcW w:w="1755" w:type="pct"/>
            <w:tcBorders>
              <w:top w:val="single" w:sz="2" w:space="0" w:color="auto"/>
            </w:tcBorders>
            <w:vAlign w:val="center"/>
          </w:tcPr>
          <w:p w:rsidR="00532A5F" w:rsidRPr="00532A5F" w:rsidRDefault="00532A5F" w:rsidP="00985198">
            <w:pPr>
              <w:pStyle w:val="NoSpacing"/>
              <w:rPr>
                <w:sz w:val="20"/>
              </w:rPr>
            </w:pPr>
            <w:r w:rsidRPr="00532A5F">
              <w:rPr>
                <w:sz w:val="20"/>
              </w:rPr>
              <w:t>Maximum</w:t>
            </w:r>
          </w:p>
        </w:tc>
        <w:tc>
          <w:tcPr>
            <w:tcW w:w="498" w:type="pct"/>
            <w:tcBorders>
              <w:top w:val="single" w:sz="2" w:space="0" w:color="auto"/>
            </w:tcBorders>
            <w:vAlign w:val="center"/>
          </w:tcPr>
          <w:p w:rsidR="00532A5F" w:rsidRPr="00532A5F" w:rsidRDefault="004175CD" w:rsidP="00985198">
            <w:pPr>
              <w:pStyle w:val="NoSpacing"/>
              <w:rPr>
                <w:sz w:val="20"/>
              </w:rPr>
            </w:pPr>
            <w:r>
              <w:rPr>
                <w:sz w:val="20"/>
              </w:rPr>
              <w:t>2294</w:t>
            </w:r>
          </w:p>
        </w:tc>
        <w:tc>
          <w:tcPr>
            <w:tcW w:w="538" w:type="pct"/>
            <w:tcBorders>
              <w:top w:val="single" w:sz="2" w:space="0" w:color="auto"/>
            </w:tcBorders>
            <w:vAlign w:val="center"/>
          </w:tcPr>
          <w:p w:rsidR="00532A5F" w:rsidRPr="00532A5F" w:rsidRDefault="004175CD" w:rsidP="00985198">
            <w:pPr>
              <w:pStyle w:val="NoSpacing"/>
              <w:rPr>
                <w:sz w:val="20"/>
              </w:rPr>
            </w:pPr>
            <w:r>
              <w:rPr>
                <w:sz w:val="20"/>
              </w:rPr>
              <w:t>1571</w:t>
            </w:r>
          </w:p>
        </w:tc>
        <w:tc>
          <w:tcPr>
            <w:tcW w:w="537" w:type="pct"/>
            <w:tcBorders>
              <w:top w:val="single" w:sz="2" w:space="0" w:color="auto"/>
            </w:tcBorders>
            <w:vAlign w:val="center"/>
          </w:tcPr>
          <w:p w:rsidR="00532A5F" w:rsidRPr="00532A5F" w:rsidRDefault="004175CD" w:rsidP="00985198">
            <w:pPr>
              <w:pStyle w:val="NoSpacing"/>
              <w:rPr>
                <w:sz w:val="20"/>
              </w:rPr>
            </w:pPr>
            <w:r>
              <w:rPr>
                <w:sz w:val="20"/>
              </w:rPr>
              <w:t>2163</w:t>
            </w:r>
          </w:p>
        </w:tc>
        <w:tc>
          <w:tcPr>
            <w:tcW w:w="560" w:type="pct"/>
            <w:tcBorders>
              <w:top w:val="single" w:sz="2" w:space="0" w:color="auto"/>
            </w:tcBorders>
            <w:vAlign w:val="center"/>
          </w:tcPr>
          <w:p w:rsidR="00532A5F" w:rsidRPr="00532A5F" w:rsidRDefault="004175CD" w:rsidP="00985198">
            <w:pPr>
              <w:pStyle w:val="NoSpacing"/>
              <w:rPr>
                <w:sz w:val="20"/>
              </w:rPr>
            </w:pPr>
            <w:r>
              <w:rPr>
                <w:sz w:val="20"/>
              </w:rPr>
              <w:t>920</w:t>
            </w:r>
          </w:p>
        </w:tc>
        <w:tc>
          <w:tcPr>
            <w:tcW w:w="515" w:type="pct"/>
            <w:tcBorders>
              <w:top w:val="single" w:sz="2" w:space="0" w:color="auto"/>
            </w:tcBorders>
            <w:vAlign w:val="center"/>
          </w:tcPr>
          <w:p w:rsidR="00532A5F" w:rsidRPr="00532A5F" w:rsidRDefault="004175CD" w:rsidP="00985198">
            <w:pPr>
              <w:pStyle w:val="NoSpacing"/>
              <w:rPr>
                <w:sz w:val="20"/>
              </w:rPr>
            </w:pPr>
            <w:r>
              <w:rPr>
                <w:sz w:val="20"/>
              </w:rPr>
              <w:t>2106</w:t>
            </w:r>
          </w:p>
        </w:tc>
        <w:tc>
          <w:tcPr>
            <w:tcW w:w="596" w:type="pct"/>
            <w:tcBorders>
              <w:top w:val="single" w:sz="2" w:space="0" w:color="auto"/>
            </w:tcBorders>
            <w:vAlign w:val="center"/>
          </w:tcPr>
          <w:p w:rsidR="00532A5F" w:rsidRPr="00532A5F" w:rsidRDefault="004175CD" w:rsidP="00985198">
            <w:pPr>
              <w:pStyle w:val="NoSpacing"/>
              <w:rPr>
                <w:sz w:val="20"/>
              </w:rPr>
            </w:pPr>
            <w:r>
              <w:rPr>
                <w:sz w:val="20"/>
              </w:rPr>
              <w:t>1566</w:t>
            </w:r>
          </w:p>
        </w:tc>
      </w:tr>
      <w:tr w:rsidR="005F7B60" w:rsidRPr="00532A5F" w:rsidTr="005F7B60">
        <w:trPr>
          <w:jc w:val="center"/>
        </w:trPr>
        <w:tc>
          <w:tcPr>
            <w:tcW w:w="1755" w:type="pct"/>
            <w:vAlign w:val="center"/>
          </w:tcPr>
          <w:p w:rsidR="00532A5F" w:rsidRPr="00532A5F" w:rsidRDefault="00532A5F" w:rsidP="00985198">
            <w:pPr>
              <w:pStyle w:val="NoSpacing"/>
              <w:rPr>
                <w:sz w:val="20"/>
              </w:rPr>
            </w:pPr>
            <w:r w:rsidRPr="00532A5F">
              <w:rPr>
                <w:sz w:val="20"/>
              </w:rPr>
              <w:t>Minimum</w:t>
            </w:r>
          </w:p>
        </w:tc>
        <w:tc>
          <w:tcPr>
            <w:tcW w:w="498" w:type="pct"/>
            <w:vAlign w:val="center"/>
          </w:tcPr>
          <w:p w:rsidR="00532A5F" w:rsidRPr="00532A5F" w:rsidRDefault="004175CD" w:rsidP="00985198">
            <w:pPr>
              <w:pStyle w:val="NoSpacing"/>
              <w:rPr>
                <w:sz w:val="20"/>
              </w:rPr>
            </w:pPr>
            <w:r>
              <w:rPr>
                <w:sz w:val="20"/>
              </w:rPr>
              <w:t>545</w:t>
            </w:r>
          </w:p>
        </w:tc>
        <w:tc>
          <w:tcPr>
            <w:tcW w:w="538" w:type="pct"/>
            <w:vAlign w:val="center"/>
          </w:tcPr>
          <w:p w:rsidR="00532A5F" w:rsidRPr="00532A5F" w:rsidRDefault="004175CD" w:rsidP="00985198">
            <w:pPr>
              <w:pStyle w:val="NoSpacing"/>
              <w:rPr>
                <w:sz w:val="20"/>
              </w:rPr>
            </w:pPr>
            <w:r>
              <w:rPr>
                <w:sz w:val="20"/>
              </w:rPr>
              <w:t>470</w:t>
            </w:r>
          </w:p>
        </w:tc>
        <w:tc>
          <w:tcPr>
            <w:tcW w:w="537" w:type="pct"/>
            <w:vAlign w:val="center"/>
          </w:tcPr>
          <w:p w:rsidR="00532A5F" w:rsidRPr="00532A5F" w:rsidRDefault="004175CD" w:rsidP="00985198">
            <w:pPr>
              <w:pStyle w:val="NoSpacing"/>
              <w:rPr>
                <w:sz w:val="20"/>
              </w:rPr>
            </w:pPr>
            <w:r>
              <w:rPr>
                <w:sz w:val="20"/>
              </w:rPr>
              <w:t>649</w:t>
            </w:r>
          </w:p>
        </w:tc>
        <w:tc>
          <w:tcPr>
            <w:tcW w:w="560" w:type="pct"/>
            <w:vAlign w:val="center"/>
          </w:tcPr>
          <w:p w:rsidR="00532A5F" w:rsidRPr="00532A5F" w:rsidRDefault="004175CD" w:rsidP="00985198">
            <w:pPr>
              <w:pStyle w:val="NoSpacing"/>
              <w:rPr>
                <w:sz w:val="20"/>
              </w:rPr>
            </w:pPr>
            <w:r>
              <w:rPr>
                <w:sz w:val="20"/>
              </w:rPr>
              <w:t>379</w:t>
            </w:r>
          </w:p>
        </w:tc>
        <w:tc>
          <w:tcPr>
            <w:tcW w:w="515" w:type="pct"/>
            <w:vAlign w:val="center"/>
          </w:tcPr>
          <w:p w:rsidR="00532A5F" w:rsidRPr="00532A5F" w:rsidRDefault="004175CD" w:rsidP="00985198">
            <w:pPr>
              <w:pStyle w:val="NoSpacing"/>
              <w:rPr>
                <w:sz w:val="20"/>
              </w:rPr>
            </w:pPr>
            <w:r>
              <w:rPr>
                <w:sz w:val="20"/>
              </w:rPr>
              <w:t>584</w:t>
            </w:r>
          </w:p>
        </w:tc>
        <w:tc>
          <w:tcPr>
            <w:tcW w:w="596" w:type="pct"/>
            <w:vAlign w:val="center"/>
          </w:tcPr>
          <w:p w:rsidR="00532A5F" w:rsidRPr="00532A5F" w:rsidRDefault="004175CD" w:rsidP="00985198">
            <w:pPr>
              <w:pStyle w:val="NoSpacing"/>
              <w:rPr>
                <w:sz w:val="20"/>
              </w:rPr>
            </w:pPr>
            <w:r>
              <w:rPr>
                <w:sz w:val="20"/>
              </w:rPr>
              <w:t>444</w:t>
            </w:r>
          </w:p>
        </w:tc>
      </w:tr>
      <w:tr w:rsidR="005F7B60" w:rsidRPr="00532A5F" w:rsidTr="005F7B60">
        <w:trPr>
          <w:jc w:val="center"/>
        </w:trPr>
        <w:tc>
          <w:tcPr>
            <w:tcW w:w="1755" w:type="pct"/>
            <w:vAlign w:val="center"/>
          </w:tcPr>
          <w:p w:rsidR="00532A5F" w:rsidRPr="00532A5F" w:rsidRDefault="00532A5F" w:rsidP="00985198">
            <w:pPr>
              <w:pStyle w:val="NoSpacing"/>
              <w:rPr>
                <w:sz w:val="20"/>
              </w:rPr>
            </w:pPr>
            <w:r w:rsidRPr="00532A5F">
              <w:rPr>
                <w:sz w:val="20"/>
              </w:rPr>
              <w:t>Standard deviation</w:t>
            </w:r>
          </w:p>
        </w:tc>
        <w:tc>
          <w:tcPr>
            <w:tcW w:w="498" w:type="pct"/>
            <w:vAlign w:val="center"/>
          </w:tcPr>
          <w:p w:rsidR="00532A5F" w:rsidRPr="00532A5F" w:rsidRDefault="00532A5F" w:rsidP="00985198">
            <w:pPr>
              <w:pStyle w:val="NoSpacing"/>
              <w:rPr>
                <w:sz w:val="20"/>
              </w:rPr>
            </w:pPr>
            <w:r w:rsidRPr="00532A5F">
              <w:rPr>
                <w:sz w:val="20"/>
              </w:rPr>
              <w:t>177.7</w:t>
            </w:r>
          </w:p>
        </w:tc>
        <w:tc>
          <w:tcPr>
            <w:tcW w:w="538" w:type="pct"/>
            <w:vAlign w:val="center"/>
          </w:tcPr>
          <w:p w:rsidR="00532A5F" w:rsidRPr="00532A5F" w:rsidRDefault="00532A5F" w:rsidP="00985198">
            <w:pPr>
              <w:pStyle w:val="NoSpacing"/>
              <w:rPr>
                <w:sz w:val="20"/>
              </w:rPr>
            </w:pPr>
            <w:r w:rsidRPr="00532A5F">
              <w:rPr>
                <w:sz w:val="20"/>
              </w:rPr>
              <w:t>392.4</w:t>
            </w:r>
          </w:p>
        </w:tc>
        <w:tc>
          <w:tcPr>
            <w:tcW w:w="537" w:type="pct"/>
            <w:vAlign w:val="center"/>
          </w:tcPr>
          <w:p w:rsidR="00532A5F" w:rsidRPr="00532A5F" w:rsidRDefault="00532A5F" w:rsidP="00985198">
            <w:pPr>
              <w:pStyle w:val="NoSpacing"/>
              <w:rPr>
                <w:sz w:val="20"/>
              </w:rPr>
            </w:pPr>
            <w:r w:rsidRPr="00532A5F">
              <w:rPr>
                <w:sz w:val="20"/>
              </w:rPr>
              <w:t>351.7</w:t>
            </w:r>
          </w:p>
        </w:tc>
        <w:tc>
          <w:tcPr>
            <w:tcW w:w="560" w:type="pct"/>
            <w:vAlign w:val="center"/>
          </w:tcPr>
          <w:p w:rsidR="00532A5F" w:rsidRPr="00532A5F" w:rsidRDefault="00532A5F" w:rsidP="00985198">
            <w:pPr>
              <w:pStyle w:val="NoSpacing"/>
              <w:rPr>
                <w:sz w:val="20"/>
              </w:rPr>
            </w:pPr>
            <w:r w:rsidRPr="00532A5F">
              <w:rPr>
                <w:sz w:val="20"/>
              </w:rPr>
              <w:t>116.2</w:t>
            </w:r>
          </w:p>
        </w:tc>
        <w:tc>
          <w:tcPr>
            <w:tcW w:w="515" w:type="pct"/>
            <w:vAlign w:val="center"/>
          </w:tcPr>
          <w:p w:rsidR="00532A5F" w:rsidRPr="00532A5F" w:rsidRDefault="00532A5F" w:rsidP="00985198">
            <w:pPr>
              <w:pStyle w:val="NoSpacing"/>
              <w:rPr>
                <w:sz w:val="20"/>
              </w:rPr>
            </w:pPr>
            <w:r w:rsidRPr="00532A5F">
              <w:rPr>
                <w:sz w:val="20"/>
              </w:rPr>
              <w:t>311.0</w:t>
            </w:r>
          </w:p>
        </w:tc>
        <w:tc>
          <w:tcPr>
            <w:tcW w:w="596" w:type="pct"/>
            <w:vAlign w:val="center"/>
          </w:tcPr>
          <w:p w:rsidR="00532A5F" w:rsidRPr="00532A5F" w:rsidRDefault="00532A5F" w:rsidP="00985198">
            <w:pPr>
              <w:pStyle w:val="NoSpacing"/>
              <w:rPr>
                <w:sz w:val="20"/>
              </w:rPr>
            </w:pPr>
            <w:r w:rsidRPr="00532A5F">
              <w:rPr>
                <w:sz w:val="20"/>
              </w:rPr>
              <w:t>277.4</w:t>
            </w:r>
          </w:p>
        </w:tc>
      </w:tr>
      <w:tr w:rsidR="005F7B60" w:rsidRPr="00532A5F" w:rsidTr="005F7B60">
        <w:trPr>
          <w:jc w:val="center"/>
        </w:trPr>
        <w:tc>
          <w:tcPr>
            <w:tcW w:w="1755" w:type="pct"/>
            <w:tcBorders>
              <w:bottom w:val="single" w:sz="2" w:space="0" w:color="auto"/>
            </w:tcBorders>
            <w:vAlign w:val="center"/>
          </w:tcPr>
          <w:p w:rsidR="00532A5F" w:rsidRPr="00532A5F" w:rsidRDefault="00532A5F" w:rsidP="00985198">
            <w:pPr>
              <w:pStyle w:val="NoSpacing"/>
              <w:rPr>
                <w:sz w:val="20"/>
              </w:rPr>
            </w:pPr>
            <w:r w:rsidRPr="00532A5F">
              <w:rPr>
                <w:sz w:val="20"/>
              </w:rPr>
              <w:t>Average</w:t>
            </w:r>
          </w:p>
        </w:tc>
        <w:tc>
          <w:tcPr>
            <w:tcW w:w="498" w:type="pct"/>
            <w:tcBorders>
              <w:bottom w:val="single" w:sz="2" w:space="0" w:color="auto"/>
            </w:tcBorders>
            <w:vAlign w:val="center"/>
          </w:tcPr>
          <w:p w:rsidR="00532A5F" w:rsidRPr="00532A5F" w:rsidRDefault="00532A5F" w:rsidP="00985198">
            <w:pPr>
              <w:pStyle w:val="NoSpacing"/>
              <w:rPr>
                <w:sz w:val="20"/>
              </w:rPr>
            </w:pPr>
            <w:r w:rsidRPr="00532A5F">
              <w:rPr>
                <w:sz w:val="20"/>
              </w:rPr>
              <w:t>821.9</w:t>
            </w:r>
          </w:p>
        </w:tc>
        <w:tc>
          <w:tcPr>
            <w:tcW w:w="538" w:type="pct"/>
            <w:tcBorders>
              <w:bottom w:val="single" w:sz="2" w:space="0" w:color="auto"/>
            </w:tcBorders>
            <w:vAlign w:val="center"/>
          </w:tcPr>
          <w:p w:rsidR="00532A5F" w:rsidRPr="00532A5F" w:rsidRDefault="00532A5F" w:rsidP="00985198">
            <w:pPr>
              <w:pStyle w:val="NoSpacing"/>
              <w:rPr>
                <w:sz w:val="20"/>
              </w:rPr>
            </w:pPr>
            <w:r w:rsidRPr="00532A5F">
              <w:rPr>
                <w:sz w:val="20"/>
              </w:rPr>
              <w:t>984.4</w:t>
            </w:r>
          </w:p>
        </w:tc>
        <w:tc>
          <w:tcPr>
            <w:tcW w:w="537" w:type="pct"/>
            <w:tcBorders>
              <w:bottom w:val="single" w:sz="2" w:space="0" w:color="auto"/>
            </w:tcBorders>
            <w:vAlign w:val="center"/>
          </w:tcPr>
          <w:p w:rsidR="00532A5F" w:rsidRPr="00532A5F" w:rsidRDefault="00532A5F" w:rsidP="00985198">
            <w:pPr>
              <w:pStyle w:val="NoSpacing"/>
              <w:rPr>
                <w:sz w:val="20"/>
              </w:rPr>
            </w:pPr>
            <w:r w:rsidRPr="00532A5F">
              <w:rPr>
                <w:sz w:val="20"/>
              </w:rPr>
              <w:t>1172.7</w:t>
            </w:r>
          </w:p>
        </w:tc>
        <w:tc>
          <w:tcPr>
            <w:tcW w:w="560" w:type="pct"/>
            <w:tcBorders>
              <w:bottom w:val="single" w:sz="2" w:space="0" w:color="auto"/>
            </w:tcBorders>
            <w:vAlign w:val="center"/>
          </w:tcPr>
          <w:p w:rsidR="00532A5F" w:rsidRPr="00532A5F" w:rsidRDefault="00532A5F" w:rsidP="00985198">
            <w:pPr>
              <w:pStyle w:val="NoSpacing"/>
              <w:rPr>
                <w:sz w:val="20"/>
              </w:rPr>
            </w:pPr>
            <w:r w:rsidRPr="00532A5F">
              <w:rPr>
                <w:sz w:val="20"/>
              </w:rPr>
              <w:t>579.5</w:t>
            </w:r>
          </w:p>
        </w:tc>
        <w:tc>
          <w:tcPr>
            <w:tcW w:w="515" w:type="pct"/>
            <w:tcBorders>
              <w:bottom w:val="single" w:sz="2" w:space="0" w:color="auto"/>
            </w:tcBorders>
            <w:vAlign w:val="center"/>
          </w:tcPr>
          <w:p w:rsidR="00532A5F" w:rsidRPr="00532A5F" w:rsidRDefault="00532A5F" w:rsidP="00985198">
            <w:pPr>
              <w:pStyle w:val="NoSpacing"/>
              <w:rPr>
                <w:sz w:val="20"/>
              </w:rPr>
            </w:pPr>
            <w:r w:rsidRPr="00532A5F">
              <w:rPr>
                <w:sz w:val="20"/>
              </w:rPr>
              <w:t>909.5</w:t>
            </w:r>
          </w:p>
        </w:tc>
        <w:tc>
          <w:tcPr>
            <w:tcW w:w="596" w:type="pct"/>
            <w:tcBorders>
              <w:bottom w:val="single" w:sz="2" w:space="0" w:color="auto"/>
            </w:tcBorders>
            <w:vAlign w:val="center"/>
          </w:tcPr>
          <w:p w:rsidR="00532A5F" w:rsidRPr="00532A5F" w:rsidRDefault="00532A5F" w:rsidP="00985198">
            <w:pPr>
              <w:pStyle w:val="NoSpacing"/>
              <w:rPr>
                <w:sz w:val="20"/>
              </w:rPr>
            </w:pPr>
            <w:r w:rsidRPr="00532A5F">
              <w:rPr>
                <w:sz w:val="20"/>
              </w:rPr>
              <w:t>1021.2</w:t>
            </w:r>
          </w:p>
        </w:tc>
      </w:tr>
      <w:tr w:rsidR="005F7B60" w:rsidRPr="00532A5F" w:rsidTr="005F7B60">
        <w:trPr>
          <w:jc w:val="center"/>
        </w:trPr>
        <w:tc>
          <w:tcPr>
            <w:tcW w:w="1755" w:type="pct"/>
            <w:tcBorders>
              <w:top w:val="single" w:sz="2" w:space="0" w:color="auto"/>
              <w:bottom w:val="nil"/>
            </w:tcBorders>
            <w:vAlign w:val="center"/>
          </w:tcPr>
          <w:p w:rsidR="005F7B60" w:rsidRPr="00532A5F" w:rsidRDefault="005F7B60" w:rsidP="005F7B60">
            <w:pPr>
              <w:pStyle w:val="NoSpacing"/>
              <w:rPr>
                <w:sz w:val="20"/>
              </w:rPr>
            </w:pPr>
            <w:r>
              <w:rPr>
                <w:sz w:val="20"/>
              </w:rPr>
              <w:t>Mean occupancy in living room</w:t>
            </w:r>
          </w:p>
        </w:tc>
        <w:tc>
          <w:tcPr>
            <w:tcW w:w="498" w:type="pct"/>
            <w:tcBorders>
              <w:top w:val="single" w:sz="2" w:space="0" w:color="auto"/>
              <w:bottom w:val="nil"/>
            </w:tcBorders>
            <w:vAlign w:val="center"/>
          </w:tcPr>
          <w:p w:rsidR="005F7B60" w:rsidRPr="00532A5F" w:rsidRDefault="005F7B60" w:rsidP="00985198">
            <w:pPr>
              <w:pStyle w:val="NoSpacing"/>
              <w:rPr>
                <w:sz w:val="20"/>
              </w:rPr>
            </w:pPr>
            <w:r>
              <w:rPr>
                <w:sz w:val="20"/>
              </w:rPr>
              <w:t>0.86</w:t>
            </w:r>
          </w:p>
        </w:tc>
        <w:tc>
          <w:tcPr>
            <w:tcW w:w="538" w:type="pct"/>
            <w:tcBorders>
              <w:top w:val="single" w:sz="2" w:space="0" w:color="auto"/>
              <w:bottom w:val="nil"/>
            </w:tcBorders>
            <w:vAlign w:val="center"/>
          </w:tcPr>
          <w:p w:rsidR="005F7B60" w:rsidRPr="00532A5F" w:rsidRDefault="005F7B60" w:rsidP="00985198">
            <w:pPr>
              <w:pStyle w:val="NoSpacing"/>
              <w:rPr>
                <w:sz w:val="20"/>
              </w:rPr>
            </w:pPr>
            <w:r>
              <w:rPr>
                <w:sz w:val="20"/>
              </w:rPr>
              <w:t>1.81</w:t>
            </w:r>
          </w:p>
        </w:tc>
        <w:tc>
          <w:tcPr>
            <w:tcW w:w="537" w:type="pct"/>
            <w:tcBorders>
              <w:top w:val="single" w:sz="2" w:space="0" w:color="auto"/>
              <w:bottom w:val="nil"/>
            </w:tcBorders>
            <w:vAlign w:val="center"/>
          </w:tcPr>
          <w:p w:rsidR="005F7B60" w:rsidRPr="00532A5F" w:rsidRDefault="005F7B60" w:rsidP="00985198">
            <w:pPr>
              <w:pStyle w:val="NoSpacing"/>
              <w:rPr>
                <w:sz w:val="20"/>
              </w:rPr>
            </w:pPr>
            <w:r>
              <w:rPr>
                <w:sz w:val="20"/>
              </w:rPr>
              <w:t>1.36</w:t>
            </w:r>
          </w:p>
        </w:tc>
        <w:tc>
          <w:tcPr>
            <w:tcW w:w="560" w:type="pct"/>
            <w:tcBorders>
              <w:top w:val="single" w:sz="2" w:space="0" w:color="auto"/>
              <w:bottom w:val="nil"/>
            </w:tcBorders>
            <w:vAlign w:val="center"/>
          </w:tcPr>
          <w:p w:rsidR="005F7B60" w:rsidRPr="00532A5F" w:rsidRDefault="005F7B60" w:rsidP="00985198">
            <w:pPr>
              <w:pStyle w:val="NoSpacing"/>
              <w:rPr>
                <w:sz w:val="20"/>
              </w:rPr>
            </w:pPr>
            <w:r>
              <w:rPr>
                <w:sz w:val="20"/>
              </w:rPr>
              <w:t>1.29</w:t>
            </w:r>
          </w:p>
        </w:tc>
        <w:tc>
          <w:tcPr>
            <w:tcW w:w="515" w:type="pct"/>
            <w:tcBorders>
              <w:top w:val="single" w:sz="2" w:space="0" w:color="auto"/>
              <w:bottom w:val="nil"/>
            </w:tcBorders>
            <w:vAlign w:val="center"/>
          </w:tcPr>
          <w:p w:rsidR="005F7B60" w:rsidRPr="00532A5F" w:rsidRDefault="005F7B60" w:rsidP="00985198">
            <w:pPr>
              <w:pStyle w:val="NoSpacing"/>
              <w:rPr>
                <w:sz w:val="20"/>
              </w:rPr>
            </w:pPr>
            <w:r>
              <w:rPr>
                <w:sz w:val="20"/>
              </w:rPr>
              <w:t>0.77</w:t>
            </w:r>
          </w:p>
        </w:tc>
        <w:tc>
          <w:tcPr>
            <w:tcW w:w="596" w:type="pct"/>
            <w:tcBorders>
              <w:top w:val="single" w:sz="2" w:space="0" w:color="auto"/>
              <w:bottom w:val="nil"/>
            </w:tcBorders>
            <w:vAlign w:val="center"/>
          </w:tcPr>
          <w:p w:rsidR="005F7B60" w:rsidRPr="00532A5F" w:rsidRDefault="005F7B60" w:rsidP="00985198">
            <w:pPr>
              <w:pStyle w:val="NoSpacing"/>
              <w:rPr>
                <w:sz w:val="20"/>
              </w:rPr>
            </w:pPr>
            <w:r>
              <w:rPr>
                <w:sz w:val="20"/>
              </w:rPr>
              <w:t>1.59</w:t>
            </w:r>
          </w:p>
        </w:tc>
      </w:tr>
      <w:tr w:rsidR="005F7B60" w:rsidRPr="00532A5F" w:rsidTr="005F7B60">
        <w:trPr>
          <w:jc w:val="center"/>
        </w:trPr>
        <w:tc>
          <w:tcPr>
            <w:tcW w:w="1755" w:type="pct"/>
            <w:tcBorders>
              <w:top w:val="nil"/>
              <w:bottom w:val="single" w:sz="2" w:space="0" w:color="auto"/>
            </w:tcBorders>
            <w:vAlign w:val="center"/>
          </w:tcPr>
          <w:p w:rsidR="005F7B60" w:rsidRDefault="005F7B60" w:rsidP="005F7B60">
            <w:pPr>
              <w:pStyle w:val="NoSpacing"/>
              <w:rPr>
                <w:sz w:val="20"/>
              </w:rPr>
            </w:pPr>
            <w:r>
              <w:rPr>
                <w:sz w:val="20"/>
              </w:rPr>
              <w:t>Mean occupancy in home</w:t>
            </w:r>
          </w:p>
        </w:tc>
        <w:tc>
          <w:tcPr>
            <w:tcW w:w="498" w:type="pct"/>
            <w:tcBorders>
              <w:top w:val="nil"/>
              <w:bottom w:val="single" w:sz="2" w:space="0" w:color="auto"/>
            </w:tcBorders>
            <w:vAlign w:val="center"/>
          </w:tcPr>
          <w:p w:rsidR="005F7B60" w:rsidRPr="00532A5F" w:rsidRDefault="005F7B60" w:rsidP="00985198">
            <w:pPr>
              <w:pStyle w:val="NoSpacing"/>
              <w:rPr>
                <w:sz w:val="20"/>
              </w:rPr>
            </w:pPr>
            <w:r>
              <w:rPr>
                <w:sz w:val="20"/>
              </w:rPr>
              <w:t>2.14</w:t>
            </w:r>
          </w:p>
        </w:tc>
        <w:tc>
          <w:tcPr>
            <w:tcW w:w="538" w:type="pct"/>
            <w:tcBorders>
              <w:top w:val="nil"/>
              <w:bottom w:val="single" w:sz="2" w:space="0" w:color="auto"/>
            </w:tcBorders>
            <w:vAlign w:val="center"/>
          </w:tcPr>
          <w:p w:rsidR="005F7B60" w:rsidRPr="00532A5F" w:rsidRDefault="005F7B60" w:rsidP="00985198">
            <w:pPr>
              <w:pStyle w:val="NoSpacing"/>
              <w:rPr>
                <w:sz w:val="20"/>
              </w:rPr>
            </w:pPr>
            <w:r>
              <w:rPr>
                <w:sz w:val="20"/>
              </w:rPr>
              <w:t>3.00</w:t>
            </w:r>
          </w:p>
        </w:tc>
        <w:tc>
          <w:tcPr>
            <w:tcW w:w="537" w:type="pct"/>
            <w:tcBorders>
              <w:top w:val="nil"/>
              <w:bottom w:val="single" w:sz="2" w:space="0" w:color="auto"/>
            </w:tcBorders>
            <w:vAlign w:val="center"/>
          </w:tcPr>
          <w:p w:rsidR="005F7B60" w:rsidRPr="00532A5F" w:rsidRDefault="005F7B60" w:rsidP="00985198">
            <w:pPr>
              <w:pStyle w:val="NoSpacing"/>
              <w:rPr>
                <w:sz w:val="20"/>
              </w:rPr>
            </w:pPr>
            <w:r>
              <w:rPr>
                <w:sz w:val="20"/>
              </w:rPr>
              <w:t>2.59</w:t>
            </w:r>
          </w:p>
        </w:tc>
        <w:tc>
          <w:tcPr>
            <w:tcW w:w="560" w:type="pct"/>
            <w:tcBorders>
              <w:top w:val="nil"/>
              <w:bottom w:val="single" w:sz="2" w:space="0" w:color="auto"/>
            </w:tcBorders>
            <w:vAlign w:val="center"/>
          </w:tcPr>
          <w:p w:rsidR="005F7B60" w:rsidRPr="00532A5F" w:rsidRDefault="005F7B60" w:rsidP="00985198">
            <w:pPr>
              <w:pStyle w:val="NoSpacing"/>
              <w:rPr>
                <w:sz w:val="20"/>
              </w:rPr>
            </w:pPr>
            <w:r>
              <w:rPr>
                <w:sz w:val="20"/>
              </w:rPr>
              <w:t>1.81</w:t>
            </w:r>
          </w:p>
        </w:tc>
        <w:tc>
          <w:tcPr>
            <w:tcW w:w="515" w:type="pct"/>
            <w:tcBorders>
              <w:top w:val="nil"/>
              <w:bottom w:val="single" w:sz="2" w:space="0" w:color="auto"/>
            </w:tcBorders>
            <w:vAlign w:val="center"/>
          </w:tcPr>
          <w:p w:rsidR="005F7B60" w:rsidRPr="00532A5F" w:rsidRDefault="005F7B60" w:rsidP="00985198">
            <w:pPr>
              <w:pStyle w:val="NoSpacing"/>
              <w:rPr>
                <w:sz w:val="20"/>
              </w:rPr>
            </w:pPr>
            <w:r>
              <w:rPr>
                <w:sz w:val="20"/>
              </w:rPr>
              <w:t>0.82</w:t>
            </w:r>
          </w:p>
        </w:tc>
        <w:tc>
          <w:tcPr>
            <w:tcW w:w="596" w:type="pct"/>
            <w:tcBorders>
              <w:top w:val="nil"/>
              <w:bottom w:val="single" w:sz="2" w:space="0" w:color="auto"/>
            </w:tcBorders>
            <w:vAlign w:val="center"/>
          </w:tcPr>
          <w:p w:rsidR="005F7B60" w:rsidRPr="00532A5F" w:rsidRDefault="005F7B60" w:rsidP="00985198">
            <w:pPr>
              <w:pStyle w:val="NoSpacing"/>
              <w:rPr>
                <w:sz w:val="20"/>
              </w:rPr>
            </w:pPr>
            <w:r>
              <w:rPr>
                <w:sz w:val="20"/>
              </w:rPr>
              <w:t>2.73</w:t>
            </w:r>
          </w:p>
        </w:tc>
      </w:tr>
    </w:tbl>
    <w:p w:rsidR="00532A5F" w:rsidRPr="0067161C" w:rsidRDefault="00531A05" w:rsidP="00532A5F">
      <w:pPr>
        <w:pStyle w:val="09BodyafterTableApplytomaintextafteratable"/>
        <w:spacing w:line="240" w:lineRule="auto"/>
        <w:rPr>
          <w:rFonts w:ascii="Arial Unicode MS" w:eastAsia="Arial Unicode MS" w:hAnsi="Arial Unicode MS" w:cs="Arial Unicode MS"/>
          <w:sz w:val="20"/>
        </w:rPr>
      </w:pPr>
      <w:r w:rsidRPr="0067161C">
        <w:rPr>
          <w:rFonts w:ascii="Arial Unicode MS" w:eastAsia="Arial Unicode MS" w:hAnsi="Arial Unicode MS" w:cs="Arial Unicode MS"/>
          <w:sz w:val="20"/>
        </w:rPr>
        <w:t>Significantly high peak</w:t>
      </w:r>
      <w:r w:rsidR="00532A5F" w:rsidRPr="0067161C">
        <w:rPr>
          <w:rFonts w:ascii="Arial Unicode MS" w:eastAsia="Arial Unicode MS" w:hAnsi="Arial Unicode MS" w:cs="Arial Unicode MS"/>
          <w:sz w:val="20"/>
        </w:rPr>
        <w:t xml:space="preserve"> carbon dioxide levels were recorded </w:t>
      </w:r>
      <w:r w:rsidRPr="0067161C">
        <w:rPr>
          <w:rFonts w:ascii="Arial Unicode MS" w:eastAsia="Arial Unicode MS" w:hAnsi="Arial Unicode MS" w:cs="Arial Unicode MS"/>
          <w:sz w:val="20"/>
        </w:rPr>
        <w:t>(&gt;</w:t>
      </w:r>
      <w:r w:rsidR="00532A5F" w:rsidRPr="0067161C">
        <w:rPr>
          <w:rFonts w:ascii="Arial Unicode MS" w:eastAsia="Arial Unicode MS" w:hAnsi="Arial Unicode MS" w:cs="Arial Unicode MS"/>
          <w:sz w:val="20"/>
        </w:rPr>
        <w:t>2,000ppm</w:t>
      </w:r>
      <w:r w:rsidRPr="0067161C">
        <w:rPr>
          <w:rFonts w:ascii="Arial Unicode MS" w:eastAsia="Arial Unicode MS" w:hAnsi="Arial Unicode MS" w:cs="Arial Unicode MS"/>
          <w:sz w:val="20"/>
        </w:rPr>
        <w:t>)</w:t>
      </w:r>
      <w:r w:rsidR="00532A5F" w:rsidRPr="0067161C">
        <w:rPr>
          <w:rFonts w:ascii="Arial Unicode MS" w:eastAsia="Arial Unicode MS" w:hAnsi="Arial Unicode MS" w:cs="Arial Unicode MS"/>
          <w:sz w:val="20"/>
        </w:rPr>
        <w:t xml:space="preserve"> in </w:t>
      </w:r>
      <w:r w:rsidR="00985198" w:rsidRPr="0067161C">
        <w:rPr>
          <w:rFonts w:ascii="Arial Unicode MS" w:eastAsia="Arial Unicode MS" w:hAnsi="Arial Unicode MS" w:cs="Arial Unicode MS"/>
          <w:sz w:val="20"/>
        </w:rPr>
        <w:t xml:space="preserve">the living room of </w:t>
      </w:r>
      <w:r w:rsidR="00532A5F" w:rsidRPr="0067161C">
        <w:rPr>
          <w:rFonts w:ascii="Arial Unicode MS" w:eastAsia="Arial Unicode MS" w:hAnsi="Arial Unicode MS" w:cs="Arial Unicode MS"/>
          <w:sz w:val="20"/>
        </w:rPr>
        <w:t xml:space="preserve">three of the case study homes; with average carbon dioxide levels over the 24 hour period above 1,000ppm in two homes. Only one home maintained carbon dioxide levels below 1,000ppm during the measurement period. As stated by EPA </w:t>
      </w:r>
      <w:r w:rsidR="007F40FF" w:rsidRPr="0067161C">
        <w:rPr>
          <w:rFonts w:ascii="Arial Unicode MS" w:eastAsia="Arial Unicode MS" w:hAnsi="Arial Unicode MS" w:cs="Arial Unicode MS"/>
          <w:sz w:val="20"/>
        </w:rPr>
        <w:fldChar w:fldCharType="begin"/>
      </w:r>
      <w:r w:rsidR="004C0A47" w:rsidRPr="0067161C">
        <w:rPr>
          <w:rFonts w:ascii="Arial Unicode MS" w:eastAsia="Arial Unicode MS" w:hAnsi="Arial Unicode MS" w:cs="Arial Unicode MS"/>
          <w:sz w:val="20"/>
        </w:rPr>
        <w:instrText>ADDIN RW.CITE{{557 Agle,Elizabeth 1991}}</w:instrText>
      </w:r>
      <w:r w:rsidR="007F40FF" w:rsidRPr="0067161C">
        <w:rPr>
          <w:rFonts w:ascii="Arial Unicode MS" w:eastAsia="Arial Unicode MS" w:hAnsi="Arial Unicode MS" w:cs="Arial Unicode MS"/>
          <w:sz w:val="20"/>
        </w:rPr>
        <w:fldChar w:fldCharType="separate"/>
      </w:r>
      <w:r w:rsidR="00657189" w:rsidRPr="00657189">
        <w:rPr>
          <w:rFonts w:ascii="Arial Unicode MS" w:eastAsia="Arial Unicode MS" w:hAnsi="Arial Unicode MS" w:cs="Arial Unicode MS"/>
          <w:sz w:val="20"/>
        </w:rPr>
        <w:t>(Agle, Galbraith 1991)</w:t>
      </w:r>
      <w:r w:rsidR="007F40FF" w:rsidRPr="0067161C">
        <w:rPr>
          <w:rFonts w:ascii="Arial Unicode MS" w:eastAsia="Arial Unicode MS" w:hAnsi="Arial Unicode MS" w:cs="Arial Unicode MS"/>
          <w:sz w:val="20"/>
        </w:rPr>
        <w:fldChar w:fldCharType="end"/>
      </w:r>
      <w:r w:rsidR="004C0A47" w:rsidRPr="0067161C">
        <w:rPr>
          <w:rFonts w:ascii="Arial Unicode MS" w:eastAsia="Arial Unicode MS" w:hAnsi="Arial Unicode MS" w:cs="Arial Unicode MS"/>
          <w:sz w:val="20"/>
        </w:rPr>
        <w:t>,</w:t>
      </w:r>
      <w:r w:rsidR="000C60F4">
        <w:rPr>
          <w:rFonts w:ascii="Arial Unicode MS" w:eastAsia="Arial Unicode MS" w:hAnsi="Arial Unicode MS" w:cs="Arial Unicode MS"/>
          <w:sz w:val="20"/>
        </w:rPr>
        <w:t xml:space="preserve"> “</w:t>
      </w:r>
      <w:r w:rsidR="00532A5F" w:rsidRPr="0067161C">
        <w:rPr>
          <w:rFonts w:ascii="Arial Unicode MS" w:eastAsia="Arial Unicode MS" w:hAnsi="Arial Unicode MS" w:cs="Arial Unicode MS"/>
          <w:sz w:val="20"/>
        </w:rPr>
        <w:t>peak CO2 concentrations above 1000ppm in the breathing zon</w:t>
      </w:r>
      <w:r w:rsidR="000C60F4">
        <w:rPr>
          <w:rFonts w:ascii="Arial Unicode MS" w:eastAsia="Arial Unicode MS" w:hAnsi="Arial Unicode MS" w:cs="Arial Unicode MS"/>
          <w:sz w:val="20"/>
        </w:rPr>
        <w:t>e indicate ventilation problems”</w:t>
      </w:r>
      <w:r w:rsidR="00532A5F" w:rsidRPr="0067161C">
        <w:rPr>
          <w:rFonts w:ascii="Arial Unicode MS" w:eastAsia="Arial Unicode MS" w:hAnsi="Arial Unicode MS" w:cs="Arial Unicode MS"/>
          <w:sz w:val="20"/>
        </w:rPr>
        <w:t xml:space="preserve">. This is supported by German Working Group on Indoor Guideline Values of the Federal Environmental Agency and the State’s Health Authority </w:t>
      </w:r>
      <w:r w:rsidR="007F40FF" w:rsidRPr="0067161C">
        <w:rPr>
          <w:rFonts w:ascii="Arial Unicode MS" w:eastAsia="Arial Unicode MS" w:hAnsi="Arial Unicode MS" w:cs="Arial Unicode MS"/>
          <w:sz w:val="20"/>
        </w:rPr>
        <w:fldChar w:fldCharType="begin"/>
      </w:r>
      <w:r w:rsidR="00AF0C6D">
        <w:rPr>
          <w:rFonts w:ascii="Arial Unicode MS" w:eastAsia="Arial Unicode MS" w:hAnsi="Arial Unicode MS" w:cs="Arial Unicode MS"/>
          <w:sz w:val="20"/>
        </w:rPr>
        <w:instrText>ADDIN RW.CITE{{501 GermanWorkingGrouponIndoorGuidelineValuesoftheFederalEnvironmentalAgencyandtheState’sHealthAuthority 2008 /a}}</w:instrText>
      </w:r>
      <w:r w:rsidR="007F40FF" w:rsidRPr="0067161C">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(2008)</w:t>
      </w:r>
      <w:r w:rsidR="007F40FF" w:rsidRPr="0067161C">
        <w:rPr>
          <w:rFonts w:ascii="Arial Unicode MS" w:eastAsia="Arial Unicode MS" w:hAnsi="Arial Unicode MS" w:cs="Arial Unicode MS"/>
          <w:sz w:val="20"/>
        </w:rPr>
        <w:fldChar w:fldCharType="end"/>
      </w:r>
      <w:r w:rsidR="000C60F4">
        <w:rPr>
          <w:rFonts w:ascii="Arial Unicode MS" w:eastAsia="Arial Unicode MS" w:hAnsi="Arial Unicode MS" w:cs="Arial Unicode MS"/>
          <w:sz w:val="20"/>
        </w:rPr>
        <w:t>, who concluded “</w:t>
      </w:r>
      <w:r w:rsidR="00532A5F" w:rsidRPr="0067161C">
        <w:rPr>
          <w:rFonts w:ascii="Arial Unicode MS" w:eastAsia="Arial Unicode MS" w:hAnsi="Arial Unicode MS" w:cs="Arial Unicode MS"/>
          <w:sz w:val="20"/>
        </w:rPr>
        <w:t>based on health and hygiene considerations: concentrations of indoor carbon dioxide levels above 1000ppm are regarded as harmless, those between 1000 and 2000ppm as elevated and those</w:t>
      </w:r>
      <w:r w:rsidR="000C60F4">
        <w:rPr>
          <w:rFonts w:ascii="Arial Unicode MS" w:eastAsia="Arial Unicode MS" w:hAnsi="Arial Unicode MS" w:cs="Arial Unicode MS"/>
          <w:sz w:val="20"/>
        </w:rPr>
        <w:t xml:space="preserve"> above 2000ppm as unacceptable”.</w:t>
      </w:r>
      <w:r w:rsidR="00532A5F" w:rsidRPr="0067161C">
        <w:rPr>
          <w:rFonts w:ascii="Arial Unicode MS" w:eastAsia="Arial Unicode MS" w:hAnsi="Arial Unicode MS" w:cs="Arial Unicode MS"/>
          <w:sz w:val="20"/>
        </w:rPr>
        <w:t xml:space="preserve"> </w:t>
      </w:r>
    </w:p>
    <w:p w:rsidR="00532A5F" w:rsidRPr="00532A5F" w:rsidRDefault="00532A5F" w:rsidP="00532A5F">
      <w:pPr>
        <w:pStyle w:val="06BodyMaintext"/>
        <w:spacing w:line="240" w:lineRule="auto"/>
        <w:ind w:firstLine="0"/>
        <w:rPr>
          <w:rFonts w:ascii="Arial Unicode MS" w:eastAsia="Arial Unicode MS" w:hAnsi="Arial Unicode MS" w:cs="Arial Unicode MS"/>
          <w:sz w:val="20"/>
        </w:rPr>
      </w:pPr>
      <w:r w:rsidRPr="00532A5F">
        <w:rPr>
          <w:rFonts w:ascii="Arial Unicode MS" w:eastAsia="Arial Unicode MS" w:hAnsi="Arial Unicode MS" w:cs="Arial Unicode MS"/>
          <w:noProof/>
          <w:sz w:val="20"/>
          <w:lang w:val="en-GB" w:eastAsia="en-GB"/>
        </w:rPr>
        <w:drawing>
          <wp:inline distT="0" distB="0" distL="0" distR="0">
            <wp:extent cx="5943600" cy="2171700"/>
            <wp:effectExtent l="0" t="0" r="19050" b="1905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2FAA" w:rsidRPr="001A2FAA" w:rsidRDefault="009F6CD5" w:rsidP="001A2FAA">
      <w:pPr>
        <w:pStyle w:val="06BodyMaintext"/>
        <w:spacing w:line="240" w:lineRule="auto"/>
        <w:ind w:firstLine="0"/>
        <w:rPr>
          <w:rFonts w:ascii="Arial Unicode MS" w:eastAsia="Arial Unicode MS" w:hAnsi="Arial Unicode MS" w:cs="Arial Unicode MS"/>
          <w:color w:val="auto"/>
          <w:sz w:val="20"/>
        </w:rPr>
      </w:pPr>
      <w:r>
        <w:rPr>
          <w:rFonts w:ascii="Arial Unicode MS" w:eastAsia="Arial Unicode MS" w:hAnsi="Arial Unicode MS" w:cs="Arial Unicode MS"/>
          <w:color w:val="auto"/>
          <w:sz w:val="20"/>
        </w:rPr>
        <w:t>Figure 3</w:t>
      </w:r>
      <w:r w:rsidR="00532A5F" w:rsidRPr="00532A5F">
        <w:rPr>
          <w:rFonts w:ascii="Arial Unicode MS" w:eastAsia="Arial Unicode MS" w:hAnsi="Arial Unicode MS" w:cs="Arial Unicode MS"/>
          <w:color w:val="auto"/>
          <w:sz w:val="20"/>
        </w:rPr>
        <w:t>.</w:t>
      </w:r>
      <w:r w:rsidR="00532A5F">
        <w:rPr>
          <w:rFonts w:ascii="Arial Unicode MS" w:eastAsia="Arial Unicode MS" w:hAnsi="Arial Unicode MS" w:cs="Arial Unicode MS"/>
          <w:color w:val="auto"/>
          <w:sz w:val="20"/>
        </w:rPr>
        <w:t xml:space="preserve"> </w:t>
      </w:r>
      <w:r w:rsidR="00532A5F" w:rsidRPr="00532A5F">
        <w:rPr>
          <w:rFonts w:ascii="Arial Unicode MS" w:eastAsia="Arial Unicode MS" w:hAnsi="Arial Unicode MS" w:cs="Arial Unicode MS"/>
          <w:color w:val="auto"/>
          <w:sz w:val="20"/>
        </w:rPr>
        <w:t>Carbon dioxide and occupancy levels in house No.</w:t>
      </w:r>
      <w:r w:rsidR="001A2FAA">
        <w:rPr>
          <w:rFonts w:ascii="Arial Unicode MS" w:eastAsia="Arial Unicode MS" w:hAnsi="Arial Unicode MS" w:cs="Arial Unicode MS"/>
          <w:color w:val="auto"/>
          <w:sz w:val="20"/>
        </w:rPr>
        <w:t>3 during the measurement period</w:t>
      </w:r>
    </w:p>
    <w:p w:rsidR="001A2FAA" w:rsidRDefault="001A2FAA" w:rsidP="001A2FAA">
      <w:pPr>
        <w:rPr>
          <w:rFonts w:eastAsia="Arial Unicode MS"/>
        </w:rPr>
      </w:pPr>
    </w:p>
    <w:p w:rsidR="001A2FAA" w:rsidRPr="00532A5F" w:rsidRDefault="001A2FAA" w:rsidP="001A2FAA">
      <w:pPr>
        <w:pStyle w:val="08BodySpaceBelowApplytomaintextbeforeanumberedlist"/>
        <w:spacing w:line="240" w:lineRule="auto"/>
        <w:ind w:firstLine="0"/>
        <w:rPr>
          <w:rFonts w:ascii="Arial Unicode MS" w:eastAsia="Arial Unicode MS" w:hAnsi="Arial Unicode MS" w:cs="Arial Unicode MS"/>
          <w:sz w:val="20"/>
        </w:rPr>
      </w:pPr>
      <w:r w:rsidRPr="0067161C">
        <w:rPr>
          <w:rFonts w:ascii="Arial Unicode MS" w:eastAsia="Arial Unicode MS" w:hAnsi="Arial Unicode MS" w:cs="Arial Unicode MS"/>
          <w:sz w:val="20"/>
        </w:rPr>
        <w:t xml:space="preserve">Typical outdoor concentrations of carbon dioxide range from 350 to 450ppm depending on proximity to outdoor sources, time of day and location </w:t>
      </w:r>
      <w:r w:rsidR="007F40FF" w:rsidRPr="0067161C">
        <w:rPr>
          <w:rFonts w:ascii="Arial Unicode MS" w:eastAsia="Arial Unicode MS" w:hAnsi="Arial Unicode MS" w:cs="Arial Unicode MS"/>
          <w:sz w:val="20"/>
        </w:rPr>
        <w:fldChar w:fldCharType="begin"/>
      </w:r>
      <w:r w:rsidRPr="0067161C">
        <w:rPr>
          <w:rFonts w:ascii="Arial Unicode MS" w:eastAsia="Arial Unicode MS" w:hAnsi="Arial Unicode MS" w:cs="Arial Unicode MS"/>
          <w:sz w:val="20"/>
        </w:rPr>
        <w:instrText>ADDIN RW.CITE{{569 Seppänen,OA 2004}}</w:instrText>
      </w:r>
      <w:r w:rsidR="007F40FF" w:rsidRPr="0067161C">
        <w:rPr>
          <w:rFonts w:ascii="Arial Unicode MS" w:eastAsia="Arial Unicode MS" w:hAnsi="Arial Unicode MS" w:cs="Arial Unicode MS"/>
          <w:sz w:val="20"/>
        </w:rPr>
        <w:fldChar w:fldCharType="separate"/>
      </w:r>
      <w:r w:rsidR="00657189" w:rsidRPr="00657189">
        <w:rPr>
          <w:rFonts w:ascii="Arial Unicode MS" w:eastAsia="Arial Unicode MS" w:hAnsi="Arial Unicode MS" w:cs="Arial Unicode MS"/>
          <w:sz w:val="20"/>
        </w:rPr>
        <w:t>(Seppänen, Fisk 2004)</w:t>
      </w:r>
      <w:r w:rsidR="007F40FF" w:rsidRPr="0067161C">
        <w:rPr>
          <w:rFonts w:ascii="Arial Unicode MS" w:eastAsia="Arial Unicode MS" w:hAnsi="Arial Unicode MS" w:cs="Arial Unicode MS"/>
          <w:sz w:val="20"/>
        </w:rPr>
        <w:fldChar w:fldCharType="end"/>
      </w:r>
      <w:r w:rsidRPr="0067161C">
        <w:rPr>
          <w:rFonts w:ascii="Arial Unicode MS" w:eastAsia="Arial Unicode MS" w:hAnsi="Arial Unicode MS" w:cs="Arial Unicode MS"/>
          <w:sz w:val="20"/>
        </w:rPr>
        <w:t>. ASHRAE’s recommendations for indoor carbon dioxide levels are established on o</w:t>
      </w:r>
      <w:r w:rsidR="000C60F4">
        <w:rPr>
          <w:rFonts w:ascii="Arial Unicode MS" w:eastAsia="Arial Unicode MS" w:hAnsi="Arial Unicode MS" w:cs="Arial Unicode MS"/>
          <w:sz w:val="20"/>
        </w:rPr>
        <w:t>utdoor concentrations, stating “</w:t>
      </w:r>
      <w:r w:rsidRPr="0067161C">
        <w:rPr>
          <w:rFonts w:ascii="Arial Unicode MS" w:eastAsia="Arial Unicode MS" w:hAnsi="Arial Unicode MS" w:cs="Arial Unicode MS"/>
          <w:sz w:val="20"/>
        </w:rPr>
        <w:t>maintaining a steady-state CO</w:t>
      </w:r>
      <w:r w:rsidRPr="000C60F4">
        <w:rPr>
          <w:rFonts w:ascii="Arial Unicode MS" w:eastAsia="Arial Unicode MS" w:hAnsi="Arial Unicode MS" w:cs="Arial Unicode MS"/>
          <w:sz w:val="20"/>
          <w:vertAlign w:val="subscript"/>
        </w:rPr>
        <w:t>2</w:t>
      </w:r>
      <w:r w:rsidRPr="00532A5F">
        <w:rPr>
          <w:rFonts w:ascii="Arial Unicode MS" w:eastAsia="Arial Unicode MS" w:hAnsi="Arial Unicode MS" w:cs="Arial Unicode MS"/>
          <w:sz w:val="20"/>
        </w:rPr>
        <w:t xml:space="preserve"> concentration in a space no greater than about 700ppm above outdoor levels will indicate that a </w:t>
      </w:r>
      <w:r w:rsidRPr="000C60F4">
        <w:rPr>
          <w:rFonts w:ascii="Arial Unicode MS" w:eastAsia="Arial Unicode MS" w:hAnsi="Arial Unicode MS" w:cs="Arial Unicode MS"/>
          <w:sz w:val="20"/>
        </w:rPr>
        <w:t>substantial majority of visitors entering a space will be satisfied with respect to human bioeffluents (body odor)</w:t>
      </w:r>
      <w:r w:rsidR="009633F9">
        <w:rPr>
          <w:rFonts w:ascii="Arial Unicode MS" w:eastAsia="Arial Unicode MS" w:hAnsi="Arial Unicode MS" w:cs="Arial Unicode MS"/>
          <w:sz w:val="20"/>
        </w:rPr>
        <w:t>”</w:t>
      </w:r>
      <w:r w:rsidRPr="000C60F4">
        <w:rPr>
          <w:rFonts w:ascii="Arial Unicode MS" w:eastAsia="Arial Unicode MS" w:hAnsi="Arial Unicode MS" w:cs="Arial Unicode MS"/>
          <w:sz w:val="20"/>
        </w:rPr>
        <w:t xml:space="preserve"> </w:t>
      </w:r>
      <w:r w:rsidR="007F40FF" w:rsidRPr="000C60F4">
        <w:rPr>
          <w:rFonts w:ascii="Arial Unicode MS" w:eastAsia="Arial Unicode MS" w:hAnsi="Arial Unicode MS" w:cs="Arial Unicode MS"/>
          <w:sz w:val="20"/>
        </w:rPr>
        <w:fldChar w:fldCharType="begin"/>
      </w:r>
      <w:r w:rsidRPr="000C60F4">
        <w:rPr>
          <w:rFonts w:ascii="Arial Unicode MS" w:eastAsia="Arial Unicode MS" w:hAnsi="Arial Unicode MS" w:cs="Arial Unicode MS"/>
          <w:sz w:val="20"/>
        </w:rPr>
        <w:instrText>ADDIN RW.CITE{{548 ASHRAE 2010}}</w:instrText>
      </w:r>
      <w:r w:rsidR="007F40FF" w:rsidRPr="000C60F4">
        <w:rPr>
          <w:rFonts w:ascii="Arial Unicode MS" w:eastAsia="Arial Unicode MS" w:hAnsi="Arial Unicode MS" w:cs="Arial Unicode MS"/>
          <w:sz w:val="20"/>
        </w:rPr>
        <w:fldChar w:fldCharType="separate"/>
      </w:r>
      <w:r w:rsidR="00657189" w:rsidRPr="00657189">
        <w:rPr>
          <w:rFonts w:ascii="Arial Unicode MS" w:eastAsia="Arial Unicode MS" w:hAnsi="Arial Unicode MS" w:cs="Arial Unicode MS"/>
          <w:sz w:val="20"/>
        </w:rPr>
        <w:t>(ASHRAE 2010)</w:t>
      </w:r>
      <w:r w:rsidR="007F40FF" w:rsidRPr="000C60F4">
        <w:rPr>
          <w:rFonts w:ascii="Arial Unicode MS" w:eastAsia="Arial Unicode MS" w:hAnsi="Arial Unicode MS" w:cs="Arial Unicode MS"/>
          <w:sz w:val="20"/>
        </w:rPr>
        <w:fldChar w:fldCharType="end"/>
      </w:r>
      <w:r w:rsidRPr="000C60F4">
        <w:rPr>
          <w:rFonts w:ascii="Arial Unicode MS" w:eastAsia="Arial Unicode MS" w:hAnsi="Arial Unicode MS" w:cs="Arial Unicode MS"/>
          <w:sz w:val="20"/>
        </w:rPr>
        <w:t>.</w:t>
      </w:r>
      <w:r w:rsidRPr="00532A5F">
        <w:rPr>
          <w:rFonts w:ascii="Arial Unicode MS" w:eastAsia="Arial Unicode MS" w:hAnsi="Arial Unicode MS" w:cs="Arial Unicode MS"/>
          <w:sz w:val="20"/>
        </w:rPr>
        <w:t xml:space="preserve"> </w:t>
      </w:r>
    </w:p>
    <w:p w:rsidR="00A25E76" w:rsidRPr="00532A5F" w:rsidRDefault="001A2FAA" w:rsidP="00532A5F">
      <w:pPr>
        <w:pStyle w:val="07BodySpaceAboveApplytomaintextafternumberedlist"/>
        <w:spacing w:line="240" w:lineRule="auto"/>
        <w:ind w:firstLine="0"/>
        <w:rPr>
          <w:rFonts w:ascii="Arial Unicode MS" w:eastAsia="Arial Unicode MS" w:hAnsi="Arial Unicode MS" w:cs="Arial Unicode MS"/>
          <w:sz w:val="20"/>
        </w:rPr>
      </w:pPr>
      <w:r>
        <w:rPr>
          <w:rFonts w:ascii="Arial Unicode MS" w:eastAsia="Arial Unicode MS" w:hAnsi="Arial Unicode MS" w:cs="Arial Unicode MS"/>
          <w:sz w:val="20"/>
        </w:rPr>
        <w:t>As shown in Figure 3</w:t>
      </w:r>
      <w:r w:rsidR="00532A5F" w:rsidRPr="00532A5F">
        <w:rPr>
          <w:rFonts w:ascii="Arial Unicode MS" w:eastAsia="Arial Unicode MS" w:hAnsi="Arial Unicode MS" w:cs="Arial Unicode MS"/>
          <w:sz w:val="20"/>
        </w:rPr>
        <w:t>,</w:t>
      </w:r>
      <w:r w:rsidR="00532A5F" w:rsidRPr="00532A5F">
        <w:rPr>
          <w:rFonts w:ascii="Arial Unicode MS" w:eastAsia="Arial Unicode MS" w:hAnsi="Arial Unicode MS" w:cs="Arial Unicode MS"/>
          <w:b/>
          <w:sz w:val="20"/>
        </w:rPr>
        <w:t xml:space="preserve"> </w:t>
      </w:r>
      <w:r w:rsidR="00532A5F" w:rsidRPr="00532A5F">
        <w:rPr>
          <w:rFonts w:ascii="Arial Unicode MS" w:eastAsia="Arial Unicode MS" w:hAnsi="Arial Unicode MS" w:cs="Arial Unicode MS"/>
          <w:sz w:val="20"/>
        </w:rPr>
        <w:t xml:space="preserve">carbon dioxide levels significantly correlated with average occupancy levels (as recorded through use of occupant diary), during the measurement period. It should be noted that house No. 3 has four occupants, and during the period where four people were in the </w:t>
      </w:r>
      <w:r w:rsidR="00531A05">
        <w:rPr>
          <w:rFonts w:ascii="Arial Unicode MS" w:eastAsia="Arial Unicode MS" w:hAnsi="Arial Unicode MS" w:cs="Arial Unicode MS"/>
          <w:sz w:val="20"/>
        </w:rPr>
        <w:t xml:space="preserve">open plan living room and </w:t>
      </w:r>
      <w:r w:rsidR="00532A5F" w:rsidRPr="00532A5F">
        <w:rPr>
          <w:rFonts w:ascii="Arial Unicode MS" w:eastAsia="Arial Unicode MS" w:hAnsi="Arial Unicode MS" w:cs="Arial Unicode MS"/>
          <w:sz w:val="20"/>
        </w:rPr>
        <w:t xml:space="preserve">kitchen (between 17:30-18:00), the carbon dioxide levels peaked at 2163 ppm. This suggests the MVHR system is not capable of coping with every-day occupancy. This may be as a result of occupants adjusting the supply vents, poor commissioning, and/or faults with the MVHR system. </w:t>
      </w:r>
    </w:p>
    <w:p w:rsidR="00985198" w:rsidRDefault="00532A5F" w:rsidP="00532A5F">
      <w:pPr>
        <w:pStyle w:val="Heading3"/>
        <w:numPr>
          <w:ilvl w:val="2"/>
          <w:numId w:val="14"/>
        </w:numPr>
        <w:rPr>
          <w:rFonts w:eastAsia="Arial Unicode MS"/>
        </w:rPr>
      </w:pPr>
      <w:r>
        <w:rPr>
          <w:rFonts w:eastAsia="Arial Unicode MS"/>
        </w:rPr>
        <w:t>Summer season</w:t>
      </w:r>
    </w:p>
    <w:p w:rsidR="00657189" w:rsidRPr="000E0FA4" w:rsidRDefault="00657189" w:rsidP="00657189">
      <w:pPr>
        <w:pStyle w:val="15TableTitle"/>
        <w:ind w:left="0" w:firstLine="0"/>
        <w:jc w:val="left"/>
        <w:rPr>
          <w:rFonts w:ascii="Arial Unicode MS" w:eastAsia="Arial Unicode MS" w:hAnsi="Arial Unicode MS" w:cs="Arial Unicode MS"/>
          <w:b w:val="0"/>
        </w:rPr>
      </w:pPr>
      <w:r w:rsidRPr="000E0FA4">
        <w:rPr>
          <w:rFonts w:ascii="Arial Unicode MS" w:eastAsia="Arial Unicode MS" w:hAnsi="Arial Unicode MS" w:cs="Arial Unicode MS"/>
          <w:b w:val="0"/>
        </w:rPr>
        <w:t>Table 3.   Summer carbon dioxide levels (ppm) in living room</w:t>
      </w:r>
    </w:p>
    <w:tbl>
      <w:tblPr>
        <w:tblW w:w="4953" w:type="pct"/>
        <w:jc w:val="center"/>
        <w:tblBorders>
          <w:top w:val="single" w:sz="18" w:space="0" w:color="auto"/>
          <w:bottom w:val="single" w:sz="18" w:space="0" w:color="auto"/>
        </w:tblBorders>
        <w:tblLook w:val="04A0" w:firstRow="1" w:lastRow="0" w:firstColumn="1" w:lastColumn="0" w:noHBand="0" w:noVBand="1"/>
      </w:tblPr>
      <w:tblGrid>
        <w:gridCol w:w="2968"/>
        <w:gridCol w:w="994"/>
        <w:gridCol w:w="947"/>
        <w:gridCol w:w="985"/>
        <w:gridCol w:w="1091"/>
        <w:gridCol w:w="1055"/>
        <w:gridCol w:w="1115"/>
      </w:tblGrid>
      <w:tr w:rsidR="00657189" w:rsidRPr="00532A5F" w:rsidTr="00DD4A10">
        <w:trPr>
          <w:jc w:val="center"/>
        </w:trPr>
        <w:tc>
          <w:tcPr>
            <w:tcW w:w="1621" w:type="pct"/>
            <w:tcBorders>
              <w:top w:val="single" w:sz="2" w:space="0" w:color="auto"/>
              <w:bottom w:val="single" w:sz="2" w:space="0" w:color="auto"/>
            </w:tcBorders>
            <w:vAlign w:val="center"/>
          </w:tcPr>
          <w:p w:rsidR="00657189" w:rsidRPr="00532A5F" w:rsidRDefault="00657189" w:rsidP="00DD4A10">
            <w:pPr>
              <w:pStyle w:val="NoSpacing"/>
            </w:pPr>
          </w:p>
        </w:tc>
        <w:tc>
          <w:tcPr>
            <w:tcW w:w="543" w:type="pct"/>
            <w:tcBorders>
              <w:top w:val="single" w:sz="2" w:space="0" w:color="auto"/>
              <w:bottom w:val="single" w:sz="2" w:space="0" w:color="auto"/>
            </w:tcBorders>
            <w:vAlign w:val="center"/>
          </w:tcPr>
          <w:p w:rsidR="00657189" w:rsidRPr="00532A5F" w:rsidRDefault="00657189" w:rsidP="00DD4A10">
            <w:pPr>
              <w:pStyle w:val="NoSpacing"/>
            </w:pPr>
            <w:r w:rsidRPr="00532A5F">
              <w:t>No.1</w:t>
            </w:r>
          </w:p>
        </w:tc>
        <w:tc>
          <w:tcPr>
            <w:tcW w:w="517" w:type="pct"/>
            <w:tcBorders>
              <w:top w:val="single" w:sz="2" w:space="0" w:color="auto"/>
              <w:bottom w:val="single" w:sz="2" w:space="0" w:color="auto"/>
            </w:tcBorders>
            <w:vAlign w:val="center"/>
          </w:tcPr>
          <w:p w:rsidR="00657189" w:rsidRPr="00532A5F" w:rsidRDefault="00657189" w:rsidP="00DD4A10">
            <w:pPr>
              <w:pStyle w:val="NoSpacing"/>
            </w:pPr>
            <w:r w:rsidRPr="00532A5F">
              <w:t>No.2</w:t>
            </w:r>
          </w:p>
        </w:tc>
        <w:tc>
          <w:tcPr>
            <w:tcW w:w="538" w:type="pct"/>
            <w:tcBorders>
              <w:top w:val="single" w:sz="2" w:space="0" w:color="auto"/>
              <w:bottom w:val="single" w:sz="2" w:space="0" w:color="auto"/>
            </w:tcBorders>
            <w:vAlign w:val="center"/>
          </w:tcPr>
          <w:p w:rsidR="00657189" w:rsidRPr="00532A5F" w:rsidRDefault="00657189" w:rsidP="00DD4A10">
            <w:pPr>
              <w:pStyle w:val="NoSpacing"/>
            </w:pPr>
            <w:r w:rsidRPr="00532A5F">
              <w:t>No.3</w:t>
            </w:r>
          </w:p>
        </w:tc>
        <w:tc>
          <w:tcPr>
            <w:tcW w:w="596" w:type="pct"/>
            <w:tcBorders>
              <w:top w:val="single" w:sz="2" w:space="0" w:color="auto"/>
              <w:bottom w:val="single" w:sz="2" w:space="0" w:color="auto"/>
            </w:tcBorders>
            <w:vAlign w:val="center"/>
          </w:tcPr>
          <w:p w:rsidR="00657189" w:rsidRPr="00532A5F" w:rsidRDefault="00657189" w:rsidP="00DD4A10">
            <w:pPr>
              <w:pStyle w:val="NoSpacing"/>
            </w:pPr>
            <w:r w:rsidRPr="00532A5F">
              <w:t>No.4</w:t>
            </w:r>
          </w:p>
        </w:tc>
        <w:tc>
          <w:tcPr>
            <w:tcW w:w="576" w:type="pct"/>
            <w:tcBorders>
              <w:top w:val="single" w:sz="2" w:space="0" w:color="auto"/>
              <w:bottom w:val="single" w:sz="2" w:space="0" w:color="auto"/>
            </w:tcBorders>
            <w:vAlign w:val="center"/>
          </w:tcPr>
          <w:p w:rsidR="00657189" w:rsidRPr="00532A5F" w:rsidRDefault="00657189" w:rsidP="00DD4A10">
            <w:pPr>
              <w:pStyle w:val="NoSpacing"/>
            </w:pPr>
            <w:r w:rsidRPr="00532A5F">
              <w:t>No.5</w:t>
            </w:r>
          </w:p>
        </w:tc>
        <w:tc>
          <w:tcPr>
            <w:tcW w:w="609" w:type="pct"/>
            <w:tcBorders>
              <w:top w:val="single" w:sz="2" w:space="0" w:color="auto"/>
              <w:bottom w:val="single" w:sz="2" w:space="0" w:color="auto"/>
            </w:tcBorders>
            <w:vAlign w:val="center"/>
          </w:tcPr>
          <w:p w:rsidR="00657189" w:rsidRPr="00532A5F" w:rsidRDefault="00657189" w:rsidP="00DD4A10">
            <w:pPr>
              <w:pStyle w:val="NoSpacing"/>
            </w:pPr>
            <w:r w:rsidRPr="00532A5F">
              <w:t>No.6</w:t>
            </w:r>
          </w:p>
        </w:tc>
      </w:tr>
      <w:tr w:rsidR="00657189" w:rsidRPr="00532A5F" w:rsidTr="00DD4A10">
        <w:trPr>
          <w:jc w:val="center"/>
        </w:trPr>
        <w:tc>
          <w:tcPr>
            <w:tcW w:w="1621" w:type="pct"/>
            <w:tcBorders>
              <w:top w:val="single" w:sz="2" w:space="0" w:color="auto"/>
            </w:tcBorders>
            <w:vAlign w:val="center"/>
          </w:tcPr>
          <w:p w:rsidR="00657189" w:rsidRPr="00532A5F" w:rsidRDefault="00657189" w:rsidP="00DD4A10">
            <w:pPr>
              <w:pStyle w:val="NoSpacing"/>
              <w:rPr>
                <w:sz w:val="20"/>
              </w:rPr>
            </w:pPr>
            <w:r w:rsidRPr="00532A5F">
              <w:rPr>
                <w:sz w:val="20"/>
              </w:rPr>
              <w:t>Maximum</w:t>
            </w:r>
          </w:p>
        </w:tc>
        <w:tc>
          <w:tcPr>
            <w:tcW w:w="543" w:type="pct"/>
            <w:tcBorders>
              <w:top w:val="single" w:sz="2" w:space="0" w:color="auto"/>
            </w:tcBorders>
            <w:vAlign w:val="center"/>
          </w:tcPr>
          <w:p w:rsidR="00657189" w:rsidRPr="00532A5F" w:rsidRDefault="00657189" w:rsidP="00DD4A10">
            <w:pPr>
              <w:pStyle w:val="NoSpacing"/>
              <w:rPr>
                <w:sz w:val="20"/>
              </w:rPr>
            </w:pPr>
            <w:r>
              <w:rPr>
                <w:sz w:val="20"/>
              </w:rPr>
              <w:t>1074</w:t>
            </w:r>
          </w:p>
        </w:tc>
        <w:tc>
          <w:tcPr>
            <w:tcW w:w="517" w:type="pct"/>
            <w:tcBorders>
              <w:top w:val="single" w:sz="2" w:space="0" w:color="auto"/>
            </w:tcBorders>
            <w:vAlign w:val="center"/>
          </w:tcPr>
          <w:p w:rsidR="00657189" w:rsidRPr="00532A5F" w:rsidRDefault="00657189" w:rsidP="00DD4A10">
            <w:pPr>
              <w:pStyle w:val="NoSpacing"/>
              <w:rPr>
                <w:sz w:val="20"/>
              </w:rPr>
            </w:pPr>
            <w:r>
              <w:rPr>
                <w:sz w:val="20"/>
              </w:rPr>
              <w:t>1126</w:t>
            </w:r>
          </w:p>
        </w:tc>
        <w:tc>
          <w:tcPr>
            <w:tcW w:w="538" w:type="pct"/>
            <w:tcBorders>
              <w:top w:val="single" w:sz="2" w:space="0" w:color="auto"/>
            </w:tcBorders>
            <w:vAlign w:val="center"/>
          </w:tcPr>
          <w:p w:rsidR="00657189" w:rsidRPr="00532A5F" w:rsidRDefault="00657189" w:rsidP="00DD4A10">
            <w:pPr>
              <w:pStyle w:val="NoSpacing"/>
              <w:rPr>
                <w:sz w:val="20"/>
              </w:rPr>
            </w:pPr>
            <w:r>
              <w:rPr>
                <w:sz w:val="20"/>
              </w:rPr>
              <w:t>781</w:t>
            </w:r>
          </w:p>
        </w:tc>
        <w:tc>
          <w:tcPr>
            <w:tcW w:w="596" w:type="pct"/>
            <w:tcBorders>
              <w:top w:val="single" w:sz="2" w:space="0" w:color="auto"/>
            </w:tcBorders>
            <w:vAlign w:val="bottom"/>
          </w:tcPr>
          <w:p w:rsidR="00657189" w:rsidRPr="001C41F7" w:rsidRDefault="00657189" w:rsidP="00DD4A10">
            <w:pPr>
              <w:ind w:right="-134"/>
              <w:rPr>
                <w:rFonts w:ascii="Calibri" w:hAnsi="Calibri"/>
                <w:color w:val="000000"/>
                <w:szCs w:val="20"/>
              </w:rPr>
            </w:pPr>
            <w:r>
              <w:rPr>
                <w:rFonts w:ascii="Calibri" w:hAnsi="Calibri"/>
                <w:color w:val="000000"/>
                <w:szCs w:val="20"/>
              </w:rPr>
              <w:t>1100</w:t>
            </w:r>
          </w:p>
        </w:tc>
        <w:tc>
          <w:tcPr>
            <w:tcW w:w="576" w:type="pct"/>
            <w:tcBorders>
              <w:top w:val="single" w:sz="2" w:space="0" w:color="auto"/>
            </w:tcBorders>
            <w:vAlign w:val="center"/>
          </w:tcPr>
          <w:p w:rsidR="00657189" w:rsidRPr="00532A5F" w:rsidRDefault="00657189" w:rsidP="00DD4A10">
            <w:pPr>
              <w:pStyle w:val="NoSpacing"/>
              <w:rPr>
                <w:sz w:val="20"/>
              </w:rPr>
            </w:pPr>
            <w:r>
              <w:rPr>
                <w:sz w:val="20"/>
              </w:rPr>
              <w:t>1347</w:t>
            </w:r>
          </w:p>
        </w:tc>
        <w:tc>
          <w:tcPr>
            <w:tcW w:w="609" w:type="pct"/>
            <w:tcBorders>
              <w:top w:val="single" w:sz="2" w:space="0" w:color="auto"/>
            </w:tcBorders>
            <w:vAlign w:val="center"/>
          </w:tcPr>
          <w:p w:rsidR="00657189" w:rsidRPr="00532A5F" w:rsidRDefault="00657189" w:rsidP="00DD4A10">
            <w:pPr>
              <w:pStyle w:val="NoSpacing"/>
              <w:rPr>
                <w:sz w:val="20"/>
              </w:rPr>
            </w:pPr>
            <w:r>
              <w:rPr>
                <w:sz w:val="20"/>
              </w:rPr>
              <w:t>1034</w:t>
            </w:r>
          </w:p>
        </w:tc>
      </w:tr>
      <w:tr w:rsidR="00657189" w:rsidRPr="00532A5F" w:rsidTr="00DD4A10">
        <w:trPr>
          <w:jc w:val="center"/>
        </w:trPr>
        <w:tc>
          <w:tcPr>
            <w:tcW w:w="1621" w:type="pct"/>
            <w:vAlign w:val="center"/>
          </w:tcPr>
          <w:p w:rsidR="00657189" w:rsidRPr="00532A5F" w:rsidRDefault="00657189" w:rsidP="00DD4A10">
            <w:pPr>
              <w:pStyle w:val="NoSpacing"/>
              <w:rPr>
                <w:sz w:val="20"/>
              </w:rPr>
            </w:pPr>
            <w:r w:rsidRPr="00532A5F">
              <w:rPr>
                <w:sz w:val="20"/>
              </w:rPr>
              <w:t>Minimum</w:t>
            </w:r>
          </w:p>
        </w:tc>
        <w:tc>
          <w:tcPr>
            <w:tcW w:w="543" w:type="pct"/>
            <w:vAlign w:val="center"/>
          </w:tcPr>
          <w:p w:rsidR="00657189" w:rsidRPr="00532A5F" w:rsidRDefault="00657189" w:rsidP="00DD4A10">
            <w:pPr>
              <w:pStyle w:val="NoSpacing"/>
              <w:rPr>
                <w:sz w:val="20"/>
              </w:rPr>
            </w:pPr>
            <w:r>
              <w:rPr>
                <w:sz w:val="20"/>
              </w:rPr>
              <w:t>488</w:t>
            </w:r>
          </w:p>
        </w:tc>
        <w:tc>
          <w:tcPr>
            <w:tcW w:w="517" w:type="pct"/>
            <w:vAlign w:val="center"/>
          </w:tcPr>
          <w:p w:rsidR="00657189" w:rsidRPr="00532A5F" w:rsidRDefault="00657189" w:rsidP="00DD4A10">
            <w:pPr>
              <w:pStyle w:val="NoSpacing"/>
              <w:rPr>
                <w:sz w:val="20"/>
              </w:rPr>
            </w:pPr>
            <w:r>
              <w:rPr>
                <w:sz w:val="20"/>
              </w:rPr>
              <w:t>530</w:t>
            </w:r>
          </w:p>
        </w:tc>
        <w:tc>
          <w:tcPr>
            <w:tcW w:w="538" w:type="pct"/>
            <w:vAlign w:val="center"/>
          </w:tcPr>
          <w:p w:rsidR="00657189" w:rsidRPr="00532A5F" w:rsidRDefault="00657189" w:rsidP="00DD4A10">
            <w:pPr>
              <w:pStyle w:val="NoSpacing"/>
              <w:rPr>
                <w:sz w:val="20"/>
              </w:rPr>
            </w:pPr>
            <w:r>
              <w:rPr>
                <w:sz w:val="20"/>
              </w:rPr>
              <w:t>453</w:t>
            </w:r>
          </w:p>
        </w:tc>
        <w:tc>
          <w:tcPr>
            <w:tcW w:w="596" w:type="pct"/>
            <w:vAlign w:val="bottom"/>
          </w:tcPr>
          <w:p w:rsidR="00657189" w:rsidRPr="001C41F7" w:rsidRDefault="00657189" w:rsidP="00DD4A10">
            <w:pPr>
              <w:ind w:right="-134"/>
              <w:rPr>
                <w:rFonts w:ascii="Calibri" w:hAnsi="Calibri"/>
                <w:color w:val="000000"/>
                <w:szCs w:val="20"/>
              </w:rPr>
            </w:pPr>
            <w:r>
              <w:rPr>
                <w:rFonts w:ascii="Calibri" w:hAnsi="Calibri"/>
                <w:color w:val="000000"/>
                <w:szCs w:val="20"/>
              </w:rPr>
              <w:t>402</w:t>
            </w:r>
          </w:p>
        </w:tc>
        <w:tc>
          <w:tcPr>
            <w:tcW w:w="576" w:type="pct"/>
            <w:vAlign w:val="center"/>
          </w:tcPr>
          <w:p w:rsidR="00657189" w:rsidRPr="00532A5F" w:rsidRDefault="00657189" w:rsidP="00DD4A10">
            <w:pPr>
              <w:pStyle w:val="NoSpacing"/>
              <w:rPr>
                <w:sz w:val="20"/>
              </w:rPr>
            </w:pPr>
            <w:r>
              <w:rPr>
                <w:sz w:val="20"/>
              </w:rPr>
              <w:t>446</w:t>
            </w:r>
          </w:p>
        </w:tc>
        <w:tc>
          <w:tcPr>
            <w:tcW w:w="609" w:type="pct"/>
            <w:vAlign w:val="center"/>
          </w:tcPr>
          <w:p w:rsidR="00657189" w:rsidRPr="00532A5F" w:rsidRDefault="00657189" w:rsidP="00DD4A10">
            <w:pPr>
              <w:pStyle w:val="NoSpacing"/>
              <w:rPr>
                <w:sz w:val="20"/>
              </w:rPr>
            </w:pPr>
            <w:r>
              <w:rPr>
                <w:sz w:val="20"/>
              </w:rPr>
              <w:t>537</w:t>
            </w:r>
          </w:p>
        </w:tc>
      </w:tr>
      <w:tr w:rsidR="00657189" w:rsidRPr="00532A5F" w:rsidTr="00DD4A10">
        <w:trPr>
          <w:jc w:val="center"/>
        </w:trPr>
        <w:tc>
          <w:tcPr>
            <w:tcW w:w="1621" w:type="pct"/>
            <w:vAlign w:val="center"/>
          </w:tcPr>
          <w:p w:rsidR="00657189" w:rsidRPr="00532A5F" w:rsidRDefault="00657189" w:rsidP="00DD4A10">
            <w:pPr>
              <w:pStyle w:val="NoSpacing"/>
              <w:rPr>
                <w:sz w:val="20"/>
              </w:rPr>
            </w:pPr>
            <w:r w:rsidRPr="00532A5F">
              <w:rPr>
                <w:sz w:val="20"/>
              </w:rPr>
              <w:t>Standard deviation</w:t>
            </w:r>
          </w:p>
        </w:tc>
        <w:tc>
          <w:tcPr>
            <w:tcW w:w="543" w:type="pct"/>
            <w:vAlign w:val="center"/>
          </w:tcPr>
          <w:p w:rsidR="00657189" w:rsidRPr="00532A5F" w:rsidRDefault="00657189" w:rsidP="00DD4A10">
            <w:pPr>
              <w:pStyle w:val="NoSpacing"/>
              <w:rPr>
                <w:sz w:val="20"/>
              </w:rPr>
            </w:pPr>
            <w:r>
              <w:rPr>
                <w:sz w:val="20"/>
              </w:rPr>
              <w:t>156.4</w:t>
            </w:r>
          </w:p>
        </w:tc>
        <w:tc>
          <w:tcPr>
            <w:tcW w:w="517" w:type="pct"/>
            <w:vAlign w:val="center"/>
          </w:tcPr>
          <w:p w:rsidR="00657189" w:rsidRPr="00532A5F" w:rsidRDefault="00657189" w:rsidP="00DD4A10">
            <w:pPr>
              <w:pStyle w:val="NoSpacing"/>
              <w:rPr>
                <w:sz w:val="20"/>
              </w:rPr>
            </w:pPr>
            <w:r>
              <w:rPr>
                <w:sz w:val="20"/>
              </w:rPr>
              <w:t>162.4</w:t>
            </w:r>
          </w:p>
        </w:tc>
        <w:tc>
          <w:tcPr>
            <w:tcW w:w="538" w:type="pct"/>
            <w:vAlign w:val="center"/>
          </w:tcPr>
          <w:p w:rsidR="00657189" w:rsidRPr="00532A5F" w:rsidRDefault="00657189" w:rsidP="00DD4A10">
            <w:pPr>
              <w:pStyle w:val="NoSpacing"/>
              <w:rPr>
                <w:sz w:val="20"/>
              </w:rPr>
            </w:pPr>
            <w:r>
              <w:rPr>
                <w:sz w:val="20"/>
              </w:rPr>
              <w:t>65.9</w:t>
            </w:r>
          </w:p>
        </w:tc>
        <w:tc>
          <w:tcPr>
            <w:tcW w:w="596" w:type="pct"/>
            <w:vAlign w:val="bottom"/>
          </w:tcPr>
          <w:p w:rsidR="00657189" w:rsidRPr="001C41F7" w:rsidRDefault="00657189" w:rsidP="00DD4A10">
            <w:pPr>
              <w:ind w:right="-134"/>
              <w:rPr>
                <w:rFonts w:ascii="Calibri" w:hAnsi="Calibri"/>
                <w:color w:val="000000"/>
                <w:szCs w:val="20"/>
              </w:rPr>
            </w:pPr>
            <w:r w:rsidRPr="001C41F7">
              <w:rPr>
                <w:rFonts w:ascii="Calibri" w:hAnsi="Calibri"/>
                <w:color w:val="000000"/>
                <w:szCs w:val="20"/>
              </w:rPr>
              <w:t>194.9</w:t>
            </w:r>
          </w:p>
        </w:tc>
        <w:tc>
          <w:tcPr>
            <w:tcW w:w="576" w:type="pct"/>
            <w:vAlign w:val="center"/>
          </w:tcPr>
          <w:p w:rsidR="00657189" w:rsidRPr="00532A5F" w:rsidRDefault="00657189" w:rsidP="00DD4A10">
            <w:pPr>
              <w:pStyle w:val="NoSpacing"/>
              <w:rPr>
                <w:sz w:val="20"/>
              </w:rPr>
            </w:pPr>
            <w:r>
              <w:rPr>
                <w:sz w:val="20"/>
              </w:rPr>
              <w:t>234.6</w:t>
            </w:r>
          </w:p>
        </w:tc>
        <w:tc>
          <w:tcPr>
            <w:tcW w:w="609" w:type="pct"/>
            <w:vAlign w:val="center"/>
          </w:tcPr>
          <w:p w:rsidR="00657189" w:rsidRPr="00532A5F" w:rsidRDefault="00657189" w:rsidP="00DD4A10">
            <w:pPr>
              <w:pStyle w:val="NoSpacing"/>
              <w:rPr>
                <w:sz w:val="20"/>
              </w:rPr>
            </w:pPr>
            <w:r>
              <w:rPr>
                <w:sz w:val="20"/>
              </w:rPr>
              <w:t>98.2</w:t>
            </w:r>
          </w:p>
        </w:tc>
      </w:tr>
      <w:tr w:rsidR="00657189" w:rsidRPr="00532A5F" w:rsidTr="00DD4A10">
        <w:trPr>
          <w:jc w:val="center"/>
        </w:trPr>
        <w:tc>
          <w:tcPr>
            <w:tcW w:w="1621" w:type="pct"/>
            <w:tcBorders>
              <w:bottom w:val="single" w:sz="2" w:space="0" w:color="auto"/>
            </w:tcBorders>
            <w:vAlign w:val="center"/>
          </w:tcPr>
          <w:p w:rsidR="00657189" w:rsidRPr="00532A5F" w:rsidRDefault="00657189" w:rsidP="00DD4A10">
            <w:pPr>
              <w:pStyle w:val="NoSpacing"/>
              <w:rPr>
                <w:sz w:val="20"/>
              </w:rPr>
            </w:pPr>
            <w:r w:rsidRPr="00532A5F">
              <w:rPr>
                <w:sz w:val="20"/>
              </w:rPr>
              <w:t>Average</w:t>
            </w:r>
          </w:p>
        </w:tc>
        <w:tc>
          <w:tcPr>
            <w:tcW w:w="543" w:type="pct"/>
            <w:tcBorders>
              <w:bottom w:val="single" w:sz="2" w:space="0" w:color="auto"/>
            </w:tcBorders>
            <w:vAlign w:val="center"/>
          </w:tcPr>
          <w:p w:rsidR="00657189" w:rsidRPr="00532A5F" w:rsidRDefault="00657189" w:rsidP="00DD4A10">
            <w:pPr>
              <w:pStyle w:val="NoSpacing"/>
              <w:rPr>
                <w:sz w:val="20"/>
              </w:rPr>
            </w:pPr>
            <w:r>
              <w:rPr>
                <w:sz w:val="20"/>
              </w:rPr>
              <w:t>760.2</w:t>
            </w:r>
          </w:p>
        </w:tc>
        <w:tc>
          <w:tcPr>
            <w:tcW w:w="517" w:type="pct"/>
            <w:tcBorders>
              <w:bottom w:val="single" w:sz="2" w:space="0" w:color="auto"/>
            </w:tcBorders>
            <w:vAlign w:val="center"/>
          </w:tcPr>
          <w:p w:rsidR="00657189" w:rsidRPr="00532A5F" w:rsidRDefault="00657189" w:rsidP="00DD4A10">
            <w:pPr>
              <w:pStyle w:val="NoSpacing"/>
              <w:rPr>
                <w:sz w:val="20"/>
              </w:rPr>
            </w:pPr>
            <w:r>
              <w:rPr>
                <w:sz w:val="20"/>
              </w:rPr>
              <w:t>762.7</w:t>
            </w:r>
          </w:p>
        </w:tc>
        <w:tc>
          <w:tcPr>
            <w:tcW w:w="538" w:type="pct"/>
            <w:tcBorders>
              <w:bottom w:val="single" w:sz="2" w:space="0" w:color="auto"/>
            </w:tcBorders>
            <w:vAlign w:val="center"/>
          </w:tcPr>
          <w:p w:rsidR="00657189" w:rsidRPr="00532A5F" w:rsidRDefault="00657189" w:rsidP="00DD4A10">
            <w:pPr>
              <w:pStyle w:val="NoSpacing"/>
              <w:rPr>
                <w:sz w:val="20"/>
              </w:rPr>
            </w:pPr>
            <w:r>
              <w:rPr>
                <w:sz w:val="20"/>
              </w:rPr>
              <w:t>523.3</w:t>
            </w:r>
          </w:p>
        </w:tc>
        <w:tc>
          <w:tcPr>
            <w:tcW w:w="596" w:type="pct"/>
            <w:tcBorders>
              <w:bottom w:val="single" w:sz="2" w:space="0" w:color="auto"/>
            </w:tcBorders>
            <w:vAlign w:val="bottom"/>
          </w:tcPr>
          <w:p w:rsidR="00657189" w:rsidRPr="001C41F7" w:rsidRDefault="00657189" w:rsidP="00DD4A10">
            <w:pPr>
              <w:ind w:right="-134"/>
              <w:rPr>
                <w:rFonts w:ascii="Calibri" w:hAnsi="Calibri"/>
                <w:color w:val="000000"/>
                <w:szCs w:val="20"/>
              </w:rPr>
            </w:pPr>
            <w:r w:rsidRPr="001C41F7">
              <w:rPr>
                <w:rFonts w:ascii="Calibri" w:hAnsi="Calibri"/>
                <w:color w:val="000000"/>
                <w:szCs w:val="20"/>
              </w:rPr>
              <w:t>669.1</w:t>
            </w:r>
          </w:p>
        </w:tc>
        <w:tc>
          <w:tcPr>
            <w:tcW w:w="576" w:type="pct"/>
            <w:tcBorders>
              <w:bottom w:val="single" w:sz="2" w:space="0" w:color="auto"/>
            </w:tcBorders>
            <w:vAlign w:val="center"/>
          </w:tcPr>
          <w:p w:rsidR="00657189" w:rsidRPr="00532A5F" w:rsidRDefault="00657189" w:rsidP="00DD4A10">
            <w:pPr>
              <w:pStyle w:val="NoSpacing"/>
              <w:rPr>
                <w:sz w:val="20"/>
              </w:rPr>
            </w:pPr>
            <w:r>
              <w:rPr>
                <w:sz w:val="20"/>
              </w:rPr>
              <w:t>723.9</w:t>
            </w:r>
          </w:p>
        </w:tc>
        <w:tc>
          <w:tcPr>
            <w:tcW w:w="609" w:type="pct"/>
            <w:tcBorders>
              <w:bottom w:val="single" w:sz="2" w:space="0" w:color="auto"/>
            </w:tcBorders>
            <w:vAlign w:val="center"/>
          </w:tcPr>
          <w:p w:rsidR="00657189" w:rsidRPr="00532A5F" w:rsidRDefault="00657189" w:rsidP="00DD4A10">
            <w:pPr>
              <w:pStyle w:val="NoSpacing"/>
              <w:rPr>
                <w:sz w:val="20"/>
              </w:rPr>
            </w:pPr>
            <w:r>
              <w:rPr>
                <w:sz w:val="20"/>
              </w:rPr>
              <w:t>693.7</w:t>
            </w:r>
          </w:p>
        </w:tc>
      </w:tr>
      <w:tr w:rsidR="00657189" w:rsidRPr="00532A5F" w:rsidTr="00DD4A10">
        <w:trPr>
          <w:jc w:val="center"/>
        </w:trPr>
        <w:tc>
          <w:tcPr>
            <w:tcW w:w="1621" w:type="pct"/>
            <w:tcBorders>
              <w:top w:val="single" w:sz="2" w:space="0" w:color="auto"/>
              <w:bottom w:val="nil"/>
            </w:tcBorders>
            <w:vAlign w:val="center"/>
          </w:tcPr>
          <w:p w:rsidR="00657189" w:rsidRPr="00532A5F" w:rsidRDefault="00657189" w:rsidP="00DD4A10">
            <w:pPr>
              <w:pStyle w:val="NoSpacing"/>
              <w:rPr>
                <w:sz w:val="20"/>
              </w:rPr>
            </w:pPr>
            <w:r>
              <w:rPr>
                <w:sz w:val="20"/>
              </w:rPr>
              <w:t>Mean occupancy in living room</w:t>
            </w:r>
          </w:p>
        </w:tc>
        <w:tc>
          <w:tcPr>
            <w:tcW w:w="543" w:type="pct"/>
            <w:tcBorders>
              <w:top w:val="single" w:sz="2" w:space="0" w:color="auto"/>
              <w:bottom w:val="nil"/>
            </w:tcBorders>
            <w:vAlign w:val="center"/>
          </w:tcPr>
          <w:p w:rsidR="00657189" w:rsidRDefault="00657189" w:rsidP="00DD4A10">
            <w:pPr>
              <w:pStyle w:val="NoSpacing"/>
              <w:rPr>
                <w:sz w:val="20"/>
              </w:rPr>
            </w:pPr>
            <w:r>
              <w:rPr>
                <w:sz w:val="20"/>
              </w:rPr>
              <w:t>1.08</w:t>
            </w:r>
          </w:p>
        </w:tc>
        <w:tc>
          <w:tcPr>
            <w:tcW w:w="517" w:type="pct"/>
            <w:tcBorders>
              <w:top w:val="single" w:sz="2" w:space="0" w:color="auto"/>
              <w:bottom w:val="nil"/>
            </w:tcBorders>
            <w:vAlign w:val="center"/>
          </w:tcPr>
          <w:p w:rsidR="00657189" w:rsidRDefault="00657189" w:rsidP="00DD4A10">
            <w:pPr>
              <w:pStyle w:val="NoSpacing"/>
              <w:rPr>
                <w:sz w:val="20"/>
              </w:rPr>
            </w:pPr>
            <w:r>
              <w:rPr>
                <w:sz w:val="20"/>
              </w:rPr>
              <w:t>1.12</w:t>
            </w:r>
          </w:p>
        </w:tc>
        <w:tc>
          <w:tcPr>
            <w:tcW w:w="538" w:type="pct"/>
            <w:tcBorders>
              <w:top w:val="single" w:sz="2" w:space="0" w:color="auto"/>
              <w:bottom w:val="nil"/>
            </w:tcBorders>
            <w:vAlign w:val="center"/>
          </w:tcPr>
          <w:p w:rsidR="00657189" w:rsidRDefault="00657189" w:rsidP="00DD4A10">
            <w:pPr>
              <w:pStyle w:val="NoSpacing"/>
              <w:rPr>
                <w:sz w:val="20"/>
              </w:rPr>
            </w:pPr>
            <w:r>
              <w:rPr>
                <w:sz w:val="20"/>
              </w:rPr>
              <w:t>0.28</w:t>
            </w:r>
          </w:p>
        </w:tc>
        <w:tc>
          <w:tcPr>
            <w:tcW w:w="596" w:type="pct"/>
            <w:tcBorders>
              <w:top w:val="single" w:sz="2" w:space="0" w:color="auto"/>
              <w:bottom w:val="nil"/>
            </w:tcBorders>
            <w:vAlign w:val="center"/>
          </w:tcPr>
          <w:p w:rsidR="00657189" w:rsidRDefault="00657189" w:rsidP="00DD4A10">
            <w:pPr>
              <w:pStyle w:val="NoSpacing"/>
              <w:rPr>
                <w:sz w:val="20"/>
              </w:rPr>
            </w:pPr>
            <w:r>
              <w:rPr>
                <w:sz w:val="20"/>
              </w:rPr>
              <w:t>0.75</w:t>
            </w:r>
          </w:p>
        </w:tc>
        <w:tc>
          <w:tcPr>
            <w:tcW w:w="576" w:type="pct"/>
            <w:tcBorders>
              <w:top w:val="single" w:sz="2" w:space="0" w:color="auto"/>
              <w:bottom w:val="nil"/>
            </w:tcBorders>
            <w:vAlign w:val="center"/>
          </w:tcPr>
          <w:p w:rsidR="00657189" w:rsidRDefault="00657189" w:rsidP="00DD4A10">
            <w:pPr>
              <w:pStyle w:val="NoSpacing"/>
              <w:rPr>
                <w:sz w:val="20"/>
              </w:rPr>
            </w:pPr>
            <w:r>
              <w:rPr>
                <w:sz w:val="20"/>
              </w:rPr>
              <w:t>1.20</w:t>
            </w:r>
          </w:p>
        </w:tc>
        <w:tc>
          <w:tcPr>
            <w:tcW w:w="609" w:type="pct"/>
            <w:tcBorders>
              <w:top w:val="single" w:sz="2" w:space="0" w:color="auto"/>
              <w:bottom w:val="nil"/>
            </w:tcBorders>
            <w:vAlign w:val="center"/>
          </w:tcPr>
          <w:p w:rsidR="00657189" w:rsidRDefault="00657189" w:rsidP="00DD4A10">
            <w:pPr>
              <w:pStyle w:val="NoSpacing"/>
              <w:rPr>
                <w:sz w:val="20"/>
              </w:rPr>
            </w:pPr>
            <w:r>
              <w:rPr>
                <w:sz w:val="20"/>
              </w:rPr>
              <w:t>1.13</w:t>
            </w:r>
          </w:p>
        </w:tc>
      </w:tr>
      <w:tr w:rsidR="00657189" w:rsidRPr="00532A5F" w:rsidTr="00DD4A10">
        <w:trPr>
          <w:jc w:val="center"/>
        </w:trPr>
        <w:tc>
          <w:tcPr>
            <w:tcW w:w="1621" w:type="pct"/>
            <w:tcBorders>
              <w:top w:val="nil"/>
              <w:bottom w:val="single" w:sz="2" w:space="0" w:color="auto"/>
            </w:tcBorders>
            <w:vAlign w:val="center"/>
          </w:tcPr>
          <w:p w:rsidR="00657189" w:rsidRPr="00532A5F" w:rsidRDefault="00657189" w:rsidP="00DD4A10">
            <w:pPr>
              <w:pStyle w:val="NoSpacing"/>
              <w:rPr>
                <w:sz w:val="20"/>
              </w:rPr>
            </w:pPr>
            <w:r>
              <w:rPr>
                <w:sz w:val="20"/>
              </w:rPr>
              <w:t>Mean occupancy in home</w:t>
            </w:r>
          </w:p>
        </w:tc>
        <w:tc>
          <w:tcPr>
            <w:tcW w:w="543" w:type="pct"/>
            <w:tcBorders>
              <w:top w:val="nil"/>
              <w:bottom w:val="single" w:sz="2" w:space="0" w:color="auto"/>
            </w:tcBorders>
            <w:vAlign w:val="center"/>
          </w:tcPr>
          <w:p w:rsidR="00657189" w:rsidRDefault="00657189" w:rsidP="00DD4A10">
            <w:pPr>
              <w:pStyle w:val="NoSpacing"/>
              <w:rPr>
                <w:sz w:val="20"/>
              </w:rPr>
            </w:pPr>
            <w:r>
              <w:rPr>
                <w:sz w:val="20"/>
              </w:rPr>
              <w:t>2.17</w:t>
            </w:r>
          </w:p>
        </w:tc>
        <w:tc>
          <w:tcPr>
            <w:tcW w:w="517" w:type="pct"/>
            <w:tcBorders>
              <w:top w:val="nil"/>
              <w:bottom w:val="single" w:sz="2" w:space="0" w:color="auto"/>
            </w:tcBorders>
            <w:vAlign w:val="center"/>
          </w:tcPr>
          <w:p w:rsidR="00657189" w:rsidRDefault="00657189" w:rsidP="00DD4A10">
            <w:pPr>
              <w:pStyle w:val="NoSpacing"/>
              <w:rPr>
                <w:sz w:val="20"/>
              </w:rPr>
            </w:pPr>
            <w:r>
              <w:rPr>
                <w:sz w:val="20"/>
              </w:rPr>
              <w:t>2.56</w:t>
            </w:r>
          </w:p>
        </w:tc>
        <w:tc>
          <w:tcPr>
            <w:tcW w:w="538" w:type="pct"/>
            <w:tcBorders>
              <w:top w:val="nil"/>
              <w:bottom w:val="single" w:sz="2" w:space="0" w:color="auto"/>
            </w:tcBorders>
            <w:vAlign w:val="center"/>
          </w:tcPr>
          <w:p w:rsidR="00657189" w:rsidRDefault="00657189" w:rsidP="00DD4A10">
            <w:pPr>
              <w:pStyle w:val="NoSpacing"/>
              <w:rPr>
                <w:sz w:val="20"/>
              </w:rPr>
            </w:pPr>
            <w:r>
              <w:rPr>
                <w:sz w:val="20"/>
              </w:rPr>
              <w:t>0.64</w:t>
            </w:r>
          </w:p>
        </w:tc>
        <w:tc>
          <w:tcPr>
            <w:tcW w:w="596" w:type="pct"/>
            <w:tcBorders>
              <w:top w:val="nil"/>
              <w:bottom w:val="single" w:sz="2" w:space="0" w:color="auto"/>
            </w:tcBorders>
            <w:vAlign w:val="center"/>
          </w:tcPr>
          <w:p w:rsidR="00657189" w:rsidRDefault="00657189" w:rsidP="00DD4A10">
            <w:pPr>
              <w:pStyle w:val="NoSpacing"/>
              <w:rPr>
                <w:sz w:val="20"/>
              </w:rPr>
            </w:pPr>
            <w:r>
              <w:rPr>
                <w:sz w:val="20"/>
              </w:rPr>
              <w:t>2.50</w:t>
            </w:r>
          </w:p>
        </w:tc>
        <w:tc>
          <w:tcPr>
            <w:tcW w:w="576" w:type="pct"/>
            <w:tcBorders>
              <w:top w:val="nil"/>
              <w:bottom w:val="single" w:sz="2" w:space="0" w:color="auto"/>
            </w:tcBorders>
            <w:vAlign w:val="center"/>
          </w:tcPr>
          <w:p w:rsidR="00657189" w:rsidRDefault="00657189" w:rsidP="00DD4A10">
            <w:pPr>
              <w:pStyle w:val="NoSpacing"/>
              <w:rPr>
                <w:sz w:val="20"/>
              </w:rPr>
            </w:pPr>
            <w:r>
              <w:rPr>
                <w:sz w:val="20"/>
              </w:rPr>
              <w:t>1.84</w:t>
            </w:r>
          </w:p>
        </w:tc>
        <w:tc>
          <w:tcPr>
            <w:tcW w:w="609" w:type="pct"/>
            <w:tcBorders>
              <w:top w:val="nil"/>
              <w:bottom w:val="single" w:sz="2" w:space="0" w:color="auto"/>
            </w:tcBorders>
            <w:vAlign w:val="center"/>
          </w:tcPr>
          <w:p w:rsidR="00657189" w:rsidRDefault="00657189" w:rsidP="00DD4A10">
            <w:pPr>
              <w:pStyle w:val="NoSpacing"/>
              <w:rPr>
                <w:sz w:val="20"/>
              </w:rPr>
            </w:pPr>
            <w:r>
              <w:rPr>
                <w:sz w:val="20"/>
              </w:rPr>
              <w:t>2.13</w:t>
            </w:r>
          </w:p>
        </w:tc>
      </w:tr>
    </w:tbl>
    <w:p w:rsidR="00657189" w:rsidRPr="00657189" w:rsidRDefault="00657189" w:rsidP="00657189">
      <w:pPr>
        <w:rPr>
          <w:rFonts w:eastAsia="Arial Unicode MS"/>
        </w:rPr>
      </w:pPr>
    </w:p>
    <w:p w:rsidR="00531A05" w:rsidRDefault="00531A05" w:rsidP="000C60F4">
      <w:pPr>
        <w:jc w:val="both"/>
        <w:rPr>
          <w:rFonts w:eastAsia="Arial Unicode MS"/>
        </w:rPr>
      </w:pPr>
      <w:r w:rsidRPr="00531A05">
        <w:rPr>
          <w:rFonts w:eastAsia="Arial Unicode MS"/>
        </w:rPr>
        <w:t>During the summer months carbon dioxide levels were lower</w:t>
      </w:r>
      <w:r w:rsidR="00EF3F05">
        <w:rPr>
          <w:rFonts w:eastAsia="Arial Unicode MS"/>
        </w:rPr>
        <w:t xml:space="preserve"> in the open plan living room and kitchen</w:t>
      </w:r>
      <w:r w:rsidRPr="00531A05">
        <w:rPr>
          <w:rFonts w:eastAsia="Arial Unicode MS"/>
        </w:rPr>
        <w:t xml:space="preserve">; however the maximum recommended level of 1,000ppm was exceeded in </w:t>
      </w:r>
      <w:r w:rsidR="00FF5CF9">
        <w:rPr>
          <w:rFonts w:eastAsia="Arial Unicode MS"/>
        </w:rPr>
        <w:t>five out of the six</w:t>
      </w:r>
      <w:r w:rsidRPr="00531A05">
        <w:rPr>
          <w:rFonts w:eastAsia="Arial Unicode MS"/>
        </w:rPr>
        <w:t xml:space="preserve"> dwellings monitored. </w:t>
      </w:r>
      <w:r>
        <w:rPr>
          <w:rFonts w:eastAsia="Arial Unicode MS"/>
        </w:rPr>
        <w:t xml:space="preserve">Carbon dioxide in household No.3 did not exceed this </w:t>
      </w:r>
      <w:r w:rsidR="00EF3F05">
        <w:rPr>
          <w:rFonts w:eastAsia="Arial Unicode MS"/>
        </w:rPr>
        <w:t>level;</w:t>
      </w:r>
      <w:r>
        <w:rPr>
          <w:rFonts w:eastAsia="Arial Unicode MS"/>
        </w:rPr>
        <w:t xml:space="preserve"> however significantly lower occupancy rates</w:t>
      </w:r>
      <w:r w:rsidR="00EF3F05">
        <w:rPr>
          <w:rFonts w:eastAsia="Arial Unicode MS"/>
        </w:rPr>
        <w:t xml:space="preserve"> were recorded</w:t>
      </w:r>
      <w:r>
        <w:rPr>
          <w:rFonts w:eastAsia="Arial Unicode MS"/>
        </w:rPr>
        <w:t xml:space="preserve"> during the measurement period</w:t>
      </w:r>
      <w:r w:rsidR="00EF3F05">
        <w:rPr>
          <w:rFonts w:eastAsia="Arial Unicode MS"/>
        </w:rPr>
        <w:t xml:space="preserve">. All average values of carbon dioxide remained below 1,000ppm. </w:t>
      </w:r>
    </w:p>
    <w:p w:rsidR="00657189" w:rsidRDefault="00657189" w:rsidP="00657189">
      <w:pPr>
        <w:pStyle w:val="15TableTitle"/>
        <w:ind w:left="0" w:firstLine="0"/>
        <w:jc w:val="left"/>
        <w:rPr>
          <w:rFonts w:ascii="Arial Unicode MS" w:eastAsia="Arial Unicode MS" w:hAnsi="Arial Unicode MS" w:cs="Arial Unicode MS"/>
          <w:b w:val="0"/>
        </w:rPr>
      </w:pPr>
    </w:p>
    <w:p w:rsidR="00657189" w:rsidRPr="000E0FA4" w:rsidRDefault="00657189" w:rsidP="00657189">
      <w:pPr>
        <w:pStyle w:val="15TableTitle"/>
        <w:ind w:left="0" w:firstLine="0"/>
        <w:jc w:val="left"/>
        <w:rPr>
          <w:rFonts w:ascii="Arial Unicode MS" w:eastAsia="Arial Unicode MS" w:hAnsi="Arial Unicode MS" w:cs="Arial Unicode MS"/>
          <w:b w:val="0"/>
        </w:rPr>
      </w:pPr>
      <w:r w:rsidRPr="000E0FA4">
        <w:rPr>
          <w:rFonts w:ascii="Arial Unicode MS" w:eastAsia="Arial Unicode MS" w:hAnsi="Arial Unicode MS" w:cs="Arial Unicode MS"/>
          <w:b w:val="0"/>
        </w:rPr>
        <w:t>Table 4.   Summer carbon dioxide levels (ppm) in main bedroom</w:t>
      </w:r>
    </w:p>
    <w:tbl>
      <w:tblPr>
        <w:tblW w:w="4977" w:type="pct"/>
        <w:jc w:val="center"/>
        <w:tblBorders>
          <w:top w:val="single" w:sz="18" w:space="0" w:color="auto"/>
          <w:bottom w:val="single" w:sz="18" w:space="0" w:color="auto"/>
        </w:tblBorders>
        <w:tblLook w:val="04A0" w:firstRow="1" w:lastRow="0" w:firstColumn="1" w:lastColumn="0" w:noHBand="0" w:noVBand="1"/>
      </w:tblPr>
      <w:tblGrid>
        <w:gridCol w:w="2796"/>
        <w:gridCol w:w="1062"/>
        <w:gridCol w:w="1100"/>
        <w:gridCol w:w="1058"/>
        <w:gridCol w:w="936"/>
        <w:gridCol w:w="1130"/>
        <w:gridCol w:w="1117"/>
      </w:tblGrid>
      <w:tr w:rsidR="00657189" w:rsidRPr="00532A5F" w:rsidTr="00DD4A10">
        <w:trPr>
          <w:jc w:val="center"/>
        </w:trPr>
        <w:tc>
          <w:tcPr>
            <w:tcW w:w="1520" w:type="pct"/>
            <w:tcBorders>
              <w:top w:val="single" w:sz="2" w:space="0" w:color="auto"/>
              <w:bottom w:val="single" w:sz="2" w:space="0" w:color="auto"/>
            </w:tcBorders>
            <w:vAlign w:val="center"/>
          </w:tcPr>
          <w:p w:rsidR="00657189" w:rsidRPr="00532A5F" w:rsidRDefault="00657189" w:rsidP="00DD4A10">
            <w:pPr>
              <w:pStyle w:val="NoSpacing"/>
            </w:pPr>
          </w:p>
        </w:tc>
        <w:tc>
          <w:tcPr>
            <w:tcW w:w="577" w:type="pct"/>
            <w:tcBorders>
              <w:top w:val="single" w:sz="2" w:space="0" w:color="auto"/>
              <w:bottom w:val="single" w:sz="2" w:space="0" w:color="auto"/>
            </w:tcBorders>
            <w:vAlign w:val="center"/>
          </w:tcPr>
          <w:p w:rsidR="00657189" w:rsidRPr="00532A5F" w:rsidRDefault="00657189" w:rsidP="00DD4A10">
            <w:pPr>
              <w:pStyle w:val="NoSpacing"/>
              <w:ind w:right="-49"/>
            </w:pPr>
            <w:r w:rsidRPr="00532A5F">
              <w:t>No.1</w:t>
            </w:r>
          </w:p>
        </w:tc>
        <w:tc>
          <w:tcPr>
            <w:tcW w:w="598" w:type="pct"/>
            <w:tcBorders>
              <w:top w:val="single" w:sz="2" w:space="0" w:color="auto"/>
              <w:bottom w:val="single" w:sz="2" w:space="0" w:color="auto"/>
            </w:tcBorders>
            <w:vAlign w:val="center"/>
          </w:tcPr>
          <w:p w:rsidR="00657189" w:rsidRPr="00532A5F" w:rsidRDefault="00657189" w:rsidP="00DD4A10">
            <w:pPr>
              <w:pStyle w:val="NoSpacing"/>
            </w:pPr>
            <w:r w:rsidRPr="00532A5F">
              <w:t>No.2</w:t>
            </w:r>
          </w:p>
        </w:tc>
        <w:tc>
          <w:tcPr>
            <w:tcW w:w="575" w:type="pct"/>
            <w:tcBorders>
              <w:top w:val="single" w:sz="2" w:space="0" w:color="auto"/>
              <w:bottom w:val="single" w:sz="2" w:space="0" w:color="auto"/>
            </w:tcBorders>
            <w:vAlign w:val="center"/>
          </w:tcPr>
          <w:p w:rsidR="00657189" w:rsidRPr="00532A5F" w:rsidRDefault="00657189" w:rsidP="00DD4A10">
            <w:pPr>
              <w:pStyle w:val="NoSpacing"/>
            </w:pPr>
            <w:r w:rsidRPr="00532A5F">
              <w:t>No.3</w:t>
            </w:r>
          </w:p>
        </w:tc>
        <w:tc>
          <w:tcPr>
            <w:tcW w:w="509" w:type="pct"/>
            <w:tcBorders>
              <w:top w:val="single" w:sz="2" w:space="0" w:color="auto"/>
              <w:bottom w:val="single" w:sz="2" w:space="0" w:color="auto"/>
            </w:tcBorders>
            <w:vAlign w:val="center"/>
          </w:tcPr>
          <w:p w:rsidR="00657189" w:rsidRPr="00532A5F" w:rsidRDefault="00657189" w:rsidP="00DD4A10">
            <w:pPr>
              <w:pStyle w:val="NoSpacing"/>
            </w:pPr>
            <w:r w:rsidRPr="00532A5F">
              <w:t>No.4</w:t>
            </w:r>
          </w:p>
        </w:tc>
        <w:tc>
          <w:tcPr>
            <w:tcW w:w="614" w:type="pct"/>
            <w:tcBorders>
              <w:top w:val="single" w:sz="2" w:space="0" w:color="auto"/>
              <w:bottom w:val="single" w:sz="2" w:space="0" w:color="auto"/>
            </w:tcBorders>
            <w:vAlign w:val="center"/>
          </w:tcPr>
          <w:p w:rsidR="00657189" w:rsidRPr="00532A5F" w:rsidRDefault="00657189" w:rsidP="00DD4A10">
            <w:pPr>
              <w:pStyle w:val="NoSpacing"/>
            </w:pPr>
            <w:r w:rsidRPr="00532A5F">
              <w:t>No.5</w:t>
            </w:r>
          </w:p>
        </w:tc>
        <w:tc>
          <w:tcPr>
            <w:tcW w:w="607" w:type="pct"/>
            <w:tcBorders>
              <w:top w:val="single" w:sz="2" w:space="0" w:color="auto"/>
              <w:bottom w:val="single" w:sz="2" w:space="0" w:color="auto"/>
            </w:tcBorders>
            <w:vAlign w:val="center"/>
          </w:tcPr>
          <w:p w:rsidR="00657189" w:rsidRPr="00532A5F" w:rsidRDefault="00657189" w:rsidP="00DD4A10">
            <w:pPr>
              <w:pStyle w:val="NoSpacing"/>
            </w:pPr>
            <w:r w:rsidRPr="00532A5F">
              <w:t>No.6</w:t>
            </w:r>
          </w:p>
        </w:tc>
      </w:tr>
      <w:tr w:rsidR="00657189" w:rsidRPr="00532A5F" w:rsidTr="00DD4A10">
        <w:trPr>
          <w:jc w:val="center"/>
        </w:trPr>
        <w:tc>
          <w:tcPr>
            <w:tcW w:w="1520" w:type="pct"/>
            <w:tcBorders>
              <w:top w:val="single" w:sz="2" w:space="0" w:color="auto"/>
            </w:tcBorders>
            <w:vAlign w:val="center"/>
          </w:tcPr>
          <w:p w:rsidR="00657189" w:rsidRPr="00532A5F" w:rsidRDefault="00657189" w:rsidP="00DD4A10">
            <w:pPr>
              <w:pStyle w:val="NoSpacing"/>
              <w:ind w:left="-21"/>
              <w:rPr>
                <w:sz w:val="20"/>
              </w:rPr>
            </w:pPr>
            <w:r w:rsidRPr="00532A5F">
              <w:rPr>
                <w:sz w:val="20"/>
              </w:rPr>
              <w:t>Maximum</w:t>
            </w:r>
          </w:p>
        </w:tc>
        <w:tc>
          <w:tcPr>
            <w:tcW w:w="577" w:type="pct"/>
            <w:tcBorders>
              <w:top w:val="single" w:sz="2" w:space="0" w:color="auto"/>
            </w:tcBorders>
            <w:vAlign w:val="center"/>
          </w:tcPr>
          <w:p w:rsidR="00657189" w:rsidRPr="00532A5F" w:rsidRDefault="00657189" w:rsidP="00DD4A10">
            <w:pPr>
              <w:pStyle w:val="NoSpacing"/>
              <w:rPr>
                <w:sz w:val="20"/>
              </w:rPr>
            </w:pPr>
            <w:r>
              <w:rPr>
                <w:sz w:val="20"/>
              </w:rPr>
              <w:t>1453</w:t>
            </w:r>
          </w:p>
        </w:tc>
        <w:tc>
          <w:tcPr>
            <w:tcW w:w="598" w:type="pct"/>
            <w:tcBorders>
              <w:top w:val="single" w:sz="2" w:space="0" w:color="auto"/>
            </w:tcBorders>
            <w:vAlign w:val="center"/>
          </w:tcPr>
          <w:p w:rsidR="00657189" w:rsidRPr="00532A5F" w:rsidRDefault="00657189" w:rsidP="00DD4A10">
            <w:pPr>
              <w:pStyle w:val="NoSpacing"/>
              <w:rPr>
                <w:sz w:val="20"/>
              </w:rPr>
            </w:pPr>
            <w:r>
              <w:rPr>
                <w:sz w:val="20"/>
              </w:rPr>
              <w:t>1402</w:t>
            </w:r>
          </w:p>
        </w:tc>
        <w:tc>
          <w:tcPr>
            <w:tcW w:w="575" w:type="pct"/>
            <w:tcBorders>
              <w:top w:val="single" w:sz="2" w:space="0" w:color="auto"/>
            </w:tcBorders>
            <w:vAlign w:val="center"/>
          </w:tcPr>
          <w:p w:rsidR="00657189" w:rsidRPr="00532A5F" w:rsidRDefault="00657189" w:rsidP="00DD4A10">
            <w:pPr>
              <w:pStyle w:val="NoSpacing"/>
              <w:rPr>
                <w:sz w:val="20"/>
              </w:rPr>
            </w:pPr>
            <w:r>
              <w:rPr>
                <w:sz w:val="20"/>
              </w:rPr>
              <w:t>687.0</w:t>
            </w:r>
          </w:p>
        </w:tc>
        <w:tc>
          <w:tcPr>
            <w:tcW w:w="509" w:type="pct"/>
            <w:tcBorders>
              <w:top w:val="single" w:sz="2" w:space="0" w:color="auto"/>
            </w:tcBorders>
            <w:vAlign w:val="bottom"/>
          </w:tcPr>
          <w:p w:rsidR="00657189" w:rsidRPr="0056579F" w:rsidRDefault="00657189" w:rsidP="00DD4A10">
            <w:pPr>
              <w:rPr>
                <w:rFonts w:ascii="Calibri" w:hAnsi="Calibri"/>
                <w:color w:val="000000"/>
                <w:szCs w:val="20"/>
              </w:rPr>
            </w:pPr>
            <w:r w:rsidRPr="0056579F">
              <w:rPr>
                <w:rFonts w:ascii="Calibri" w:hAnsi="Calibri"/>
                <w:color w:val="000000"/>
                <w:szCs w:val="20"/>
              </w:rPr>
              <w:t>886</w:t>
            </w:r>
          </w:p>
        </w:tc>
        <w:tc>
          <w:tcPr>
            <w:tcW w:w="614" w:type="pct"/>
            <w:tcBorders>
              <w:top w:val="single" w:sz="2" w:space="0" w:color="auto"/>
            </w:tcBorders>
            <w:vAlign w:val="center"/>
          </w:tcPr>
          <w:p w:rsidR="00657189" w:rsidRPr="00532A5F" w:rsidRDefault="00657189" w:rsidP="00DD4A10">
            <w:pPr>
              <w:pStyle w:val="NoSpacing"/>
              <w:rPr>
                <w:sz w:val="20"/>
              </w:rPr>
            </w:pPr>
            <w:r>
              <w:rPr>
                <w:sz w:val="20"/>
              </w:rPr>
              <w:t>752.0</w:t>
            </w:r>
          </w:p>
        </w:tc>
        <w:tc>
          <w:tcPr>
            <w:tcW w:w="607" w:type="pct"/>
            <w:tcBorders>
              <w:top w:val="single" w:sz="2" w:space="0" w:color="auto"/>
            </w:tcBorders>
            <w:vAlign w:val="center"/>
          </w:tcPr>
          <w:p w:rsidR="00657189" w:rsidRPr="00532A5F" w:rsidRDefault="00657189" w:rsidP="00DD4A10">
            <w:pPr>
              <w:pStyle w:val="NoSpacing"/>
              <w:rPr>
                <w:sz w:val="20"/>
              </w:rPr>
            </w:pPr>
            <w:r>
              <w:rPr>
                <w:sz w:val="20"/>
              </w:rPr>
              <w:t>826</w:t>
            </w:r>
          </w:p>
        </w:tc>
      </w:tr>
      <w:tr w:rsidR="00657189" w:rsidRPr="00532A5F" w:rsidTr="00DD4A10">
        <w:trPr>
          <w:jc w:val="center"/>
        </w:trPr>
        <w:tc>
          <w:tcPr>
            <w:tcW w:w="1520" w:type="pct"/>
            <w:vAlign w:val="center"/>
          </w:tcPr>
          <w:p w:rsidR="00657189" w:rsidRPr="00532A5F" w:rsidRDefault="00657189" w:rsidP="00DD4A10">
            <w:pPr>
              <w:pStyle w:val="NoSpacing"/>
              <w:ind w:left="-21"/>
              <w:rPr>
                <w:sz w:val="20"/>
              </w:rPr>
            </w:pPr>
            <w:r w:rsidRPr="00532A5F">
              <w:rPr>
                <w:sz w:val="20"/>
              </w:rPr>
              <w:t>Minimum</w:t>
            </w:r>
          </w:p>
        </w:tc>
        <w:tc>
          <w:tcPr>
            <w:tcW w:w="577" w:type="pct"/>
            <w:vAlign w:val="center"/>
          </w:tcPr>
          <w:p w:rsidR="00657189" w:rsidRPr="00532A5F" w:rsidRDefault="00657189" w:rsidP="00DD4A10">
            <w:pPr>
              <w:pStyle w:val="NoSpacing"/>
              <w:rPr>
                <w:sz w:val="20"/>
              </w:rPr>
            </w:pPr>
            <w:r>
              <w:rPr>
                <w:sz w:val="20"/>
              </w:rPr>
              <w:t>455</w:t>
            </w:r>
          </w:p>
        </w:tc>
        <w:tc>
          <w:tcPr>
            <w:tcW w:w="598" w:type="pct"/>
            <w:vAlign w:val="center"/>
          </w:tcPr>
          <w:p w:rsidR="00657189" w:rsidRPr="00532A5F" w:rsidRDefault="00657189" w:rsidP="00DD4A10">
            <w:pPr>
              <w:pStyle w:val="NoSpacing"/>
              <w:rPr>
                <w:sz w:val="20"/>
              </w:rPr>
            </w:pPr>
            <w:r>
              <w:rPr>
                <w:sz w:val="20"/>
              </w:rPr>
              <w:t>440</w:t>
            </w:r>
          </w:p>
        </w:tc>
        <w:tc>
          <w:tcPr>
            <w:tcW w:w="575" w:type="pct"/>
            <w:vAlign w:val="center"/>
          </w:tcPr>
          <w:p w:rsidR="00657189" w:rsidRPr="00532A5F" w:rsidRDefault="00657189" w:rsidP="00DD4A10">
            <w:pPr>
              <w:pStyle w:val="NoSpacing"/>
              <w:rPr>
                <w:sz w:val="20"/>
              </w:rPr>
            </w:pPr>
            <w:r>
              <w:rPr>
                <w:sz w:val="20"/>
              </w:rPr>
              <w:t>436.0</w:t>
            </w:r>
          </w:p>
        </w:tc>
        <w:tc>
          <w:tcPr>
            <w:tcW w:w="509" w:type="pct"/>
            <w:vAlign w:val="bottom"/>
          </w:tcPr>
          <w:p w:rsidR="00657189" w:rsidRPr="0056579F" w:rsidRDefault="00657189" w:rsidP="00DD4A10">
            <w:pPr>
              <w:rPr>
                <w:rFonts w:ascii="Calibri" w:hAnsi="Calibri"/>
                <w:color w:val="000000"/>
                <w:szCs w:val="20"/>
              </w:rPr>
            </w:pPr>
            <w:r w:rsidRPr="0056579F">
              <w:rPr>
                <w:rFonts w:ascii="Calibri" w:hAnsi="Calibri"/>
                <w:color w:val="000000"/>
                <w:szCs w:val="20"/>
              </w:rPr>
              <w:t>467</w:t>
            </w:r>
          </w:p>
        </w:tc>
        <w:tc>
          <w:tcPr>
            <w:tcW w:w="614" w:type="pct"/>
            <w:vAlign w:val="center"/>
          </w:tcPr>
          <w:p w:rsidR="00657189" w:rsidRPr="00532A5F" w:rsidRDefault="00657189" w:rsidP="00DD4A10">
            <w:pPr>
              <w:pStyle w:val="NoSpacing"/>
              <w:rPr>
                <w:sz w:val="20"/>
              </w:rPr>
            </w:pPr>
            <w:r>
              <w:rPr>
                <w:sz w:val="20"/>
              </w:rPr>
              <w:t>412.0</w:t>
            </w:r>
          </w:p>
        </w:tc>
        <w:tc>
          <w:tcPr>
            <w:tcW w:w="607" w:type="pct"/>
            <w:vAlign w:val="center"/>
          </w:tcPr>
          <w:p w:rsidR="00657189" w:rsidRPr="00532A5F" w:rsidRDefault="00657189" w:rsidP="00DD4A10">
            <w:pPr>
              <w:pStyle w:val="NoSpacing"/>
              <w:rPr>
                <w:sz w:val="20"/>
              </w:rPr>
            </w:pPr>
            <w:r>
              <w:rPr>
                <w:sz w:val="20"/>
              </w:rPr>
              <w:t>410</w:t>
            </w:r>
          </w:p>
        </w:tc>
      </w:tr>
      <w:tr w:rsidR="00657189" w:rsidRPr="00532A5F" w:rsidTr="00DD4A10">
        <w:trPr>
          <w:jc w:val="center"/>
        </w:trPr>
        <w:tc>
          <w:tcPr>
            <w:tcW w:w="1520" w:type="pct"/>
            <w:vAlign w:val="center"/>
          </w:tcPr>
          <w:p w:rsidR="00657189" w:rsidRPr="00532A5F" w:rsidRDefault="00657189" w:rsidP="00DD4A10">
            <w:pPr>
              <w:pStyle w:val="NoSpacing"/>
              <w:ind w:left="-21"/>
              <w:rPr>
                <w:sz w:val="20"/>
              </w:rPr>
            </w:pPr>
            <w:r w:rsidRPr="00532A5F">
              <w:rPr>
                <w:sz w:val="20"/>
              </w:rPr>
              <w:t>Standard deviation</w:t>
            </w:r>
          </w:p>
        </w:tc>
        <w:tc>
          <w:tcPr>
            <w:tcW w:w="577" w:type="pct"/>
            <w:vAlign w:val="center"/>
          </w:tcPr>
          <w:p w:rsidR="00657189" w:rsidRPr="00532A5F" w:rsidRDefault="00657189" w:rsidP="00DD4A10">
            <w:pPr>
              <w:pStyle w:val="NoSpacing"/>
              <w:rPr>
                <w:sz w:val="20"/>
              </w:rPr>
            </w:pPr>
            <w:r>
              <w:rPr>
                <w:sz w:val="20"/>
              </w:rPr>
              <w:t>315.6</w:t>
            </w:r>
          </w:p>
        </w:tc>
        <w:tc>
          <w:tcPr>
            <w:tcW w:w="598" w:type="pct"/>
            <w:vAlign w:val="center"/>
          </w:tcPr>
          <w:p w:rsidR="00657189" w:rsidRPr="00532A5F" w:rsidRDefault="00657189" w:rsidP="00DD4A10">
            <w:pPr>
              <w:pStyle w:val="NoSpacing"/>
              <w:rPr>
                <w:sz w:val="20"/>
              </w:rPr>
            </w:pPr>
            <w:r>
              <w:rPr>
                <w:sz w:val="20"/>
              </w:rPr>
              <w:t>258.9</w:t>
            </w:r>
          </w:p>
        </w:tc>
        <w:tc>
          <w:tcPr>
            <w:tcW w:w="575" w:type="pct"/>
            <w:vAlign w:val="center"/>
          </w:tcPr>
          <w:p w:rsidR="00657189" w:rsidRPr="00532A5F" w:rsidRDefault="00657189" w:rsidP="00DD4A10">
            <w:pPr>
              <w:pStyle w:val="NoSpacing"/>
              <w:rPr>
                <w:sz w:val="20"/>
              </w:rPr>
            </w:pPr>
            <w:r>
              <w:rPr>
                <w:sz w:val="20"/>
              </w:rPr>
              <w:t>78.1</w:t>
            </w:r>
          </w:p>
        </w:tc>
        <w:tc>
          <w:tcPr>
            <w:tcW w:w="509" w:type="pct"/>
            <w:vAlign w:val="bottom"/>
          </w:tcPr>
          <w:p w:rsidR="00657189" w:rsidRPr="0056579F" w:rsidRDefault="00657189" w:rsidP="00DD4A10">
            <w:pPr>
              <w:rPr>
                <w:rFonts w:ascii="Calibri" w:hAnsi="Calibri"/>
                <w:color w:val="000000"/>
                <w:szCs w:val="20"/>
              </w:rPr>
            </w:pPr>
            <w:r w:rsidRPr="0056579F">
              <w:rPr>
                <w:rFonts w:ascii="Calibri" w:hAnsi="Calibri"/>
                <w:color w:val="000000"/>
                <w:szCs w:val="20"/>
              </w:rPr>
              <w:t>136.2</w:t>
            </w:r>
          </w:p>
        </w:tc>
        <w:tc>
          <w:tcPr>
            <w:tcW w:w="614" w:type="pct"/>
            <w:vAlign w:val="center"/>
          </w:tcPr>
          <w:p w:rsidR="00657189" w:rsidRPr="00532A5F" w:rsidRDefault="00657189" w:rsidP="00DD4A10">
            <w:pPr>
              <w:pStyle w:val="NoSpacing"/>
              <w:rPr>
                <w:sz w:val="20"/>
              </w:rPr>
            </w:pPr>
            <w:r>
              <w:rPr>
                <w:sz w:val="20"/>
              </w:rPr>
              <w:t>68.4</w:t>
            </w:r>
          </w:p>
        </w:tc>
        <w:tc>
          <w:tcPr>
            <w:tcW w:w="607" w:type="pct"/>
            <w:vAlign w:val="center"/>
          </w:tcPr>
          <w:p w:rsidR="00657189" w:rsidRPr="00532A5F" w:rsidRDefault="00657189" w:rsidP="00DD4A10">
            <w:pPr>
              <w:pStyle w:val="NoSpacing"/>
              <w:rPr>
                <w:sz w:val="20"/>
              </w:rPr>
            </w:pPr>
            <w:r>
              <w:rPr>
                <w:sz w:val="20"/>
              </w:rPr>
              <w:t>124.4</w:t>
            </w:r>
          </w:p>
        </w:tc>
      </w:tr>
      <w:tr w:rsidR="00657189" w:rsidRPr="00532A5F" w:rsidTr="00DD4A10">
        <w:trPr>
          <w:jc w:val="center"/>
        </w:trPr>
        <w:tc>
          <w:tcPr>
            <w:tcW w:w="1520" w:type="pct"/>
            <w:tcBorders>
              <w:bottom w:val="single" w:sz="2" w:space="0" w:color="auto"/>
            </w:tcBorders>
            <w:vAlign w:val="center"/>
          </w:tcPr>
          <w:p w:rsidR="00657189" w:rsidRPr="00532A5F" w:rsidRDefault="00657189" w:rsidP="00DD4A10">
            <w:pPr>
              <w:pStyle w:val="NoSpacing"/>
              <w:ind w:left="-21"/>
              <w:rPr>
                <w:sz w:val="20"/>
              </w:rPr>
            </w:pPr>
            <w:r w:rsidRPr="00532A5F">
              <w:rPr>
                <w:sz w:val="20"/>
              </w:rPr>
              <w:t>Average</w:t>
            </w:r>
          </w:p>
        </w:tc>
        <w:tc>
          <w:tcPr>
            <w:tcW w:w="577" w:type="pct"/>
            <w:tcBorders>
              <w:bottom w:val="single" w:sz="2" w:space="0" w:color="auto"/>
            </w:tcBorders>
            <w:vAlign w:val="center"/>
          </w:tcPr>
          <w:p w:rsidR="00657189" w:rsidRPr="00532A5F" w:rsidRDefault="00657189" w:rsidP="00DD4A10">
            <w:pPr>
              <w:pStyle w:val="NoSpacing"/>
              <w:rPr>
                <w:sz w:val="20"/>
              </w:rPr>
            </w:pPr>
            <w:r>
              <w:rPr>
                <w:sz w:val="20"/>
              </w:rPr>
              <w:t>875.5</w:t>
            </w:r>
          </w:p>
        </w:tc>
        <w:tc>
          <w:tcPr>
            <w:tcW w:w="598" w:type="pct"/>
            <w:tcBorders>
              <w:bottom w:val="single" w:sz="2" w:space="0" w:color="auto"/>
            </w:tcBorders>
            <w:vAlign w:val="center"/>
          </w:tcPr>
          <w:p w:rsidR="00657189" w:rsidRPr="00532A5F" w:rsidRDefault="00657189" w:rsidP="00DD4A10">
            <w:pPr>
              <w:pStyle w:val="NoSpacing"/>
              <w:rPr>
                <w:sz w:val="20"/>
              </w:rPr>
            </w:pPr>
            <w:r>
              <w:rPr>
                <w:sz w:val="20"/>
              </w:rPr>
              <w:t>831.2</w:t>
            </w:r>
          </w:p>
        </w:tc>
        <w:tc>
          <w:tcPr>
            <w:tcW w:w="575" w:type="pct"/>
            <w:tcBorders>
              <w:bottom w:val="single" w:sz="2" w:space="0" w:color="auto"/>
            </w:tcBorders>
            <w:vAlign w:val="center"/>
          </w:tcPr>
          <w:p w:rsidR="00657189" w:rsidRPr="00532A5F" w:rsidRDefault="00657189" w:rsidP="00DD4A10">
            <w:pPr>
              <w:pStyle w:val="NoSpacing"/>
              <w:rPr>
                <w:sz w:val="20"/>
              </w:rPr>
            </w:pPr>
            <w:r>
              <w:rPr>
                <w:sz w:val="20"/>
              </w:rPr>
              <w:t>546.9</w:t>
            </w:r>
          </w:p>
        </w:tc>
        <w:tc>
          <w:tcPr>
            <w:tcW w:w="509" w:type="pct"/>
            <w:tcBorders>
              <w:bottom w:val="single" w:sz="2" w:space="0" w:color="auto"/>
            </w:tcBorders>
            <w:vAlign w:val="bottom"/>
          </w:tcPr>
          <w:p w:rsidR="00657189" w:rsidRPr="0056579F" w:rsidRDefault="00657189" w:rsidP="00DD4A10">
            <w:pPr>
              <w:rPr>
                <w:rFonts w:ascii="Calibri" w:hAnsi="Calibri"/>
                <w:color w:val="000000"/>
                <w:szCs w:val="20"/>
              </w:rPr>
            </w:pPr>
            <w:r w:rsidRPr="0056579F">
              <w:rPr>
                <w:rFonts w:ascii="Calibri" w:hAnsi="Calibri"/>
                <w:color w:val="000000"/>
                <w:szCs w:val="20"/>
              </w:rPr>
              <w:t>662.9</w:t>
            </w:r>
          </w:p>
        </w:tc>
        <w:tc>
          <w:tcPr>
            <w:tcW w:w="614" w:type="pct"/>
            <w:tcBorders>
              <w:bottom w:val="single" w:sz="2" w:space="0" w:color="auto"/>
            </w:tcBorders>
            <w:vAlign w:val="center"/>
          </w:tcPr>
          <w:p w:rsidR="00657189" w:rsidRPr="00532A5F" w:rsidRDefault="00657189" w:rsidP="00DD4A10">
            <w:pPr>
              <w:pStyle w:val="NoSpacing"/>
              <w:rPr>
                <w:sz w:val="20"/>
              </w:rPr>
            </w:pPr>
            <w:r>
              <w:rPr>
                <w:sz w:val="20"/>
              </w:rPr>
              <w:t>501.6</w:t>
            </w:r>
          </w:p>
        </w:tc>
        <w:tc>
          <w:tcPr>
            <w:tcW w:w="607" w:type="pct"/>
            <w:tcBorders>
              <w:bottom w:val="single" w:sz="2" w:space="0" w:color="auto"/>
            </w:tcBorders>
            <w:vAlign w:val="center"/>
          </w:tcPr>
          <w:p w:rsidR="00657189" w:rsidRPr="00532A5F" w:rsidRDefault="00657189" w:rsidP="00DD4A10">
            <w:pPr>
              <w:pStyle w:val="NoSpacing"/>
              <w:rPr>
                <w:sz w:val="20"/>
              </w:rPr>
            </w:pPr>
            <w:r>
              <w:rPr>
                <w:sz w:val="20"/>
              </w:rPr>
              <w:t>596.3</w:t>
            </w:r>
          </w:p>
        </w:tc>
      </w:tr>
      <w:tr w:rsidR="00657189" w:rsidRPr="00532A5F" w:rsidTr="00DD4A10">
        <w:trPr>
          <w:jc w:val="center"/>
        </w:trPr>
        <w:tc>
          <w:tcPr>
            <w:tcW w:w="1520" w:type="pct"/>
            <w:tcBorders>
              <w:top w:val="single" w:sz="2" w:space="0" w:color="auto"/>
              <w:bottom w:val="nil"/>
            </w:tcBorders>
            <w:vAlign w:val="center"/>
          </w:tcPr>
          <w:p w:rsidR="00657189" w:rsidRPr="00532A5F" w:rsidRDefault="00657189" w:rsidP="00DD4A10">
            <w:pPr>
              <w:pStyle w:val="NoSpacing"/>
              <w:ind w:left="-21"/>
              <w:rPr>
                <w:sz w:val="20"/>
              </w:rPr>
            </w:pPr>
            <w:r>
              <w:rPr>
                <w:sz w:val="20"/>
              </w:rPr>
              <w:t>Bedroom door status at night</w:t>
            </w:r>
          </w:p>
        </w:tc>
        <w:tc>
          <w:tcPr>
            <w:tcW w:w="577" w:type="pct"/>
            <w:tcBorders>
              <w:top w:val="single" w:sz="2" w:space="0" w:color="auto"/>
              <w:bottom w:val="nil"/>
            </w:tcBorders>
            <w:vAlign w:val="center"/>
          </w:tcPr>
          <w:p w:rsidR="00657189" w:rsidRDefault="00657189" w:rsidP="00DD4A10">
            <w:pPr>
              <w:pStyle w:val="NoSpacing"/>
              <w:rPr>
                <w:sz w:val="20"/>
              </w:rPr>
            </w:pPr>
            <w:r>
              <w:rPr>
                <w:sz w:val="20"/>
              </w:rPr>
              <w:t>Closed</w:t>
            </w:r>
          </w:p>
        </w:tc>
        <w:tc>
          <w:tcPr>
            <w:tcW w:w="598" w:type="pct"/>
            <w:tcBorders>
              <w:top w:val="single" w:sz="2" w:space="0" w:color="auto"/>
              <w:bottom w:val="nil"/>
            </w:tcBorders>
            <w:vAlign w:val="center"/>
          </w:tcPr>
          <w:p w:rsidR="00657189" w:rsidRDefault="00657189" w:rsidP="00DD4A10">
            <w:pPr>
              <w:pStyle w:val="NoSpacing"/>
              <w:rPr>
                <w:sz w:val="20"/>
              </w:rPr>
            </w:pPr>
            <w:r>
              <w:rPr>
                <w:sz w:val="20"/>
              </w:rPr>
              <w:t>Closed</w:t>
            </w:r>
          </w:p>
        </w:tc>
        <w:tc>
          <w:tcPr>
            <w:tcW w:w="575" w:type="pct"/>
            <w:tcBorders>
              <w:top w:val="single" w:sz="2" w:space="0" w:color="auto"/>
              <w:bottom w:val="nil"/>
            </w:tcBorders>
            <w:vAlign w:val="center"/>
          </w:tcPr>
          <w:p w:rsidR="00657189" w:rsidRDefault="00657189" w:rsidP="00DD4A10">
            <w:pPr>
              <w:pStyle w:val="NoSpacing"/>
              <w:rPr>
                <w:sz w:val="20"/>
              </w:rPr>
            </w:pPr>
            <w:r>
              <w:rPr>
                <w:sz w:val="20"/>
              </w:rPr>
              <w:t>Opened</w:t>
            </w:r>
          </w:p>
        </w:tc>
        <w:tc>
          <w:tcPr>
            <w:tcW w:w="509" w:type="pct"/>
            <w:tcBorders>
              <w:top w:val="single" w:sz="2" w:space="0" w:color="auto"/>
              <w:bottom w:val="nil"/>
            </w:tcBorders>
            <w:vAlign w:val="center"/>
          </w:tcPr>
          <w:p w:rsidR="00657189" w:rsidRDefault="00657189" w:rsidP="00DD4A10">
            <w:pPr>
              <w:pStyle w:val="NoSpacing"/>
              <w:rPr>
                <w:sz w:val="20"/>
              </w:rPr>
            </w:pPr>
            <w:r>
              <w:rPr>
                <w:sz w:val="20"/>
              </w:rPr>
              <w:t>Open</w:t>
            </w:r>
          </w:p>
        </w:tc>
        <w:tc>
          <w:tcPr>
            <w:tcW w:w="614" w:type="pct"/>
            <w:tcBorders>
              <w:top w:val="single" w:sz="2" w:space="0" w:color="auto"/>
              <w:bottom w:val="nil"/>
            </w:tcBorders>
            <w:vAlign w:val="center"/>
          </w:tcPr>
          <w:p w:rsidR="00657189" w:rsidRDefault="00657189" w:rsidP="00DD4A10">
            <w:pPr>
              <w:pStyle w:val="NoSpacing"/>
              <w:rPr>
                <w:sz w:val="20"/>
              </w:rPr>
            </w:pPr>
            <w:r>
              <w:rPr>
                <w:sz w:val="20"/>
              </w:rPr>
              <w:t>Opened</w:t>
            </w:r>
          </w:p>
        </w:tc>
        <w:tc>
          <w:tcPr>
            <w:tcW w:w="607" w:type="pct"/>
            <w:tcBorders>
              <w:top w:val="single" w:sz="2" w:space="0" w:color="auto"/>
              <w:bottom w:val="nil"/>
            </w:tcBorders>
            <w:vAlign w:val="center"/>
          </w:tcPr>
          <w:p w:rsidR="00657189" w:rsidRDefault="00657189" w:rsidP="00DD4A10">
            <w:pPr>
              <w:pStyle w:val="NoSpacing"/>
              <w:rPr>
                <w:sz w:val="20"/>
              </w:rPr>
            </w:pPr>
            <w:r>
              <w:rPr>
                <w:sz w:val="20"/>
              </w:rPr>
              <w:t>Closed</w:t>
            </w:r>
          </w:p>
        </w:tc>
      </w:tr>
      <w:tr w:rsidR="00657189" w:rsidRPr="00532A5F" w:rsidTr="00DD4A10">
        <w:trPr>
          <w:jc w:val="center"/>
        </w:trPr>
        <w:tc>
          <w:tcPr>
            <w:tcW w:w="1520" w:type="pct"/>
            <w:tcBorders>
              <w:top w:val="nil"/>
              <w:bottom w:val="nil"/>
            </w:tcBorders>
            <w:vAlign w:val="center"/>
          </w:tcPr>
          <w:p w:rsidR="00657189" w:rsidRPr="00532A5F" w:rsidRDefault="00657189" w:rsidP="00DD4A10">
            <w:pPr>
              <w:pStyle w:val="NoSpacing"/>
              <w:ind w:left="-21" w:right="-93"/>
              <w:rPr>
                <w:sz w:val="20"/>
              </w:rPr>
            </w:pPr>
            <w:r>
              <w:rPr>
                <w:sz w:val="20"/>
              </w:rPr>
              <w:t>Bedroom window status at night</w:t>
            </w:r>
          </w:p>
        </w:tc>
        <w:tc>
          <w:tcPr>
            <w:tcW w:w="577" w:type="pct"/>
            <w:tcBorders>
              <w:top w:val="nil"/>
              <w:bottom w:val="nil"/>
            </w:tcBorders>
            <w:vAlign w:val="center"/>
          </w:tcPr>
          <w:p w:rsidR="00657189" w:rsidRDefault="00657189" w:rsidP="00DD4A10">
            <w:pPr>
              <w:pStyle w:val="NoSpacing"/>
              <w:rPr>
                <w:sz w:val="20"/>
              </w:rPr>
            </w:pPr>
            <w:r>
              <w:rPr>
                <w:sz w:val="20"/>
              </w:rPr>
              <w:t>Closed</w:t>
            </w:r>
          </w:p>
        </w:tc>
        <w:tc>
          <w:tcPr>
            <w:tcW w:w="598" w:type="pct"/>
            <w:tcBorders>
              <w:top w:val="nil"/>
              <w:bottom w:val="nil"/>
            </w:tcBorders>
            <w:vAlign w:val="center"/>
          </w:tcPr>
          <w:p w:rsidR="00657189" w:rsidRDefault="00657189" w:rsidP="00DD4A10">
            <w:pPr>
              <w:pStyle w:val="NoSpacing"/>
              <w:rPr>
                <w:sz w:val="20"/>
              </w:rPr>
            </w:pPr>
            <w:r>
              <w:rPr>
                <w:sz w:val="20"/>
              </w:rPr>
              <w:t>Closed</w:t>
            </w:r>
          </w:p>
        </w:tc>
        <w:tc>
          <w:tcPr>
            <w:tcW w:w="575" w:type="pct"/>
            <w:tcBorders>
              <w:top w:val="nil"/>
              <w:bottom w:val="nil"/>
            </w:tcBorders>
            <w:vAlign w:val="center"/>
          </w:tcPr>
          <w:p w:rsidR="00657189" w:rsidRDefault="00657189" w:rsidP="00DD4A10">
            <w:pPr>
              <w:pStyle w:val="NoSpacing"/>
              <w:rPr>
                <w:sz w:val="20"/>
              </w:rPr>
            </w:pPr>
            <w:r>
              <w:rPr>
                <w:sz w:val="20"/>
              </w:rPr>
              <w:t>Closed</w:t>
            </w:r>
          </w:p>
        </w:tc>
        <w:tc>
          <w:tcPr>
            <w:tcW w:w="509" w:type="pct"/>
            <w:tcBorders>
              <w:top w:val="nil"/>
              <w:bottom w:val="nil"/>
            </w:tcBorders>
            <w:vAlign w:val="center"/>
          </w:tcPr>
          <w:p w:rsidR="00657189" w:rsidRDefault="00657189" w:rsidP="00DD4A10">
            <w:pPr>
              <w:pStyle w:val="NoSpacing"/>
              <w:rPr>
                <w:sz w:val="20"/>
              </w:rPr>
            </w:pPr>
            <w:r>
              <w:rPr>
                <w:sz w:val="20"/>
              </w:rPr>
              <w:t>Closed</w:t>
            </w:r>
          </w:p>
        </w:tc>
        <w:tc>
          <w:tcPr>
            <w:tcW w:w="614" w:type="pct"/>
            <w:tcBorders>
              <w:top w:val="nil"/>
              <w:bottom w:val="nil"/>
            </w:tcBorders>
            <w:vAlign w:val="center"/>
          </w:tcPr>
          <w:p w:rsidR="00657189" w:rsidRDefault="00657189" w:rsidP="00DD4A10">
            <w:pPr>
              <w:pStyle w:val="NoSpacing"/>
              <w:rPr>
                <w:sz w:val="20"/>
              </w:rPr>
            </w:pPr>
            <w:r>
              <w:rPr>
                <w:sz w:val="20"/>
              </w:rPr>
              <w:t>Opened</w:t>
            </w:r>
          </w:p>
        </w:tc>
        <w:tc>
          <w:tcPr>
            <w:tcW w:w="607" w:type="pct"/>
            <w:tcBorders>
              <w:top w:val="nil"/>
              <w:bottom w:val="nil"/>
            </w:tcBorders>
            <w:vAlign w:val="center"/>
          </w:tcPr>
          <w:p w:rsidR="00657189" w:rsidRDefault="00657189" w:rsidP="00DD4A10">
            <w:pPr>
              <w:pStyle w:val="NoSpacing"/>
              <w:rPr>
                <w:sz w:val="20"/>
              </w:rPr>
            </w:pPr>
            <w:r>
              <w:rPr>
                <w:sz w:val="20"/>
              </w:rPr>
              <w:t>Opened</w:t>
            </w:r>
          </w:p>
        </w:tc>
      </w:tr>
      <w:tr w:rsidR="00657189" w:rsidRPr="00532A5F" w:rsidTr="00DD4A10">
        <w:trPr>
          <w:jc w:val="center"/>
        </w:trPr>
        <w:tc>
          <w:tcPr>
            <w:tcW w:w="1520" w:type="pct"/>
            <w:tcBorders>
              <w:top w:val="nil"/>
              <w:bottom w:val="single" w:sz="2" w:space="0" w:color="auto"/>
            </w:tcBorders>
            <w:vAlign w:val="center"/>
          </w:tcPr>
          <w:p w:rsidR="00657189" w:rsidRPr="00532A5F" w:rsidRDefault="00657189" w:rsidP="00DD4A10">
            <w:pPr>
              <w:pStyle w:val="NoSpacing"/>
              <w:ind w:left="-21"/>
              <w:rPr>
                <w:sz w:val="20"/>
              </w:rPr>
            </w:pPr>
            <w:r>
              <w:rPr>
                <w:sz w:val="20"/>
              </w:rPr>
              <w:t>Night time occupancy</w:t>
            </w:r>
          </w:p>
        </w:tc>
        <w:tc>
          <w:tcPr>
            <w:tcW w:w="577" w:type="pct"/>
            <w:tcBorders>
              <w:top w:val="nil"/>
              <w:bottom w:val="single" w:sz="2" w:space="0" w:color="auto"/>
            </w:tcBorders>
            <w:vAlign w:val="center"/>
          </w:tcPr>
          <w:p w:rsidR="00657189" w:rsidRDefault="00657189" w:rsidP="00DD4A10">
            <w:pPr>
              <w:pStyle w:val="NoSpacing"/>
              <w:rPr>
                <w:sz w:val="20"/>
              </w:rPr>
            </w:pPr>
            <w:r>
              <w:rPr>
                <w:sz w:val="20"/>
              </w:rPr>
              <w:t>2 adults</w:t>
            </w:r>
          </w:p>
        </w:tc>
        <w:tc>
          <w:tcPr>
            <w:tcW w:w="598" w:type="pct"/>
            <w:tcBorders>
              <w:top w:val="nil"/>
              <w:bottom w:val="single" w:sz="2" w:space="0" w:color="auto"/>
            </w:tcBorders>
            <w:vAlign w:val="center"/>
          </w:tcPr>
          <w:p w:rsidR="00657189" w:rsidRDefault="00657189" w:rsidP="00DD4A10">
            <w:pPr>
              <w:pStyle w:val="NoSpacing"/>
              <w:rPr>
                <w:sz w:val="20"/>
              </w:rPr>
            </w:pPr>
            <w:r>
              <w:rPr>
                <w:sz w:val="20"/>
              </w:rPr>
              <w:t xml:space="preserve">2 adults, </w:t>
            </w:r>
          </w:p>
          <w:p w:rsidR="00657189" w:rsidRDefault="00657189" w:rsidP="00DD4A10">
            <w:pPr>
              <w:pStyle w:val="NoSpacing"/>
              <w:rPr>
                <w:sz w:val="20"/>
              </w:rPr>
            </w:pPr>
            <w:r>
              <w:rPr>
                <w:sz w:val="20"/>
              </w:rPr>
              <w:t xml:space="preserve">1 child </w:t>
            </w:r>
          </w:p>
        </w:tc>
        <w:tc>
          <w:tcPr>
            <w:tcW w:w="575" w:type="pct"/>
            <w:tcBorders>
              <w:top w:val="nil"/>
              <w:bottom w:val="single" w:sz="2" w:space="0" w:color="auto"/>
            </w:tcBorders>
            <w:vAlign w:val="center"/>
          </w:tcPr>
          <w:p w:rsidR="00657189" w:rsidRDefault="00657189" w:rsidP="00DD4A10">
            <w:pPr>
              <w:pStyle w:val="NoSpacing"/>
              <w:rPr>
                <w:sz w:val="20"/>
              </w:rPr>
            </w:pPr>
            <w:r>
              <w:rPr>
                <w:sz w:val="20"/>
              </w:rPr>
              <w:t>1 adult</w:t>
            </w:r>
          </w:p>
        </w:tc>
        <w:tc>
          <w:tcPr>
            <w:tcW w:w="509" w:type="pct"/>
            <w:tcBorders>
              <w:top w:val="nil"/>
              <w:bottom w:val="single" w:sz="2" w:space="0" w:color="auto"/>
            </w:tcBorders>
            <w:vAlign w:val="center"/>
          </w:tcPr>
          <w:p w:rsidR="00657189" w:rsidRDefault="00657189" w:rsidP="00DD4A10">
            <w:pPr>
              <w:pStyle w:val="NoSpacing"/>
              <w:rPr>
                <w:sz w:val="20"/>
              </w:rPr>
            </w:pPr>
            <w:r>
              <w:rPr>
                <w:sz w:val="20"/>
              </w:rPr>
              <w:t>1 child</w:t>
            </w:r>
          </w:p>
        </w:tc>
        <w:tc>
          <w:tcPr>
            <w:tcW w:w="614" w:type="pct"/>
            <w:tcBorders>
              <w:top w:val="nil"/>
              <w:bottom w:val="single" w:sz="2" w:space="0" w:color="auto"/>
            </w:tcBorders>
            <w:vAlign w:val="center"/>
          </w:tcPr>
          <w:p w:rsidR="00657189" w:rsidRDefault="00657189" w:rsidP="00DD4A10">
            <w:pPr>
              <w:pStyle w:val="NoSpacing"/>
              <w:rPr>
                <w:sz w:val="20"/>
              </w:rPr>
            </w:pPr>
            <w:r>
              <w:rPr>
                <w:sz w:val="20"/>
              </w:rPr>
              <w:t>2 adults</w:t>
            </w:r>
          </w:p>
        </w:tc>
        <w:tc>
          <w:tcPr>
            <w:tcW w:w="607" w:type="pct"/>
            <w:tcBorders>
              <w:top w:val="nil"/>
              <w:bottom w:val="single" w:sz="2" w:space="0" w:color="auto"/>
            </w:tcBorders>
            <w:vAlign w:val="center"/>
          </w:tcPr>
          <w:p w:rsidR="00657189" w:rsidRDefault="00657189" w:rsidP="00DD4A10">
            <w:pPr>
              <w:pStyle w:val="NoSpacing"/>
              <w:rPr>
                <w:sz w:val="20"/>
              </w:rPr>
            </w:pPr>
            <w:r>
              <w:rPr>
                <w:sz w:val="20"/>
              </w:rPr>
              <w:t>2 adults</w:t>
            </w:r>
          </w:p>
        </w:tc>
      </w:tr>
    </w:tbl>
    <w:p w:rsidR="00EF3F05" w:rsidRPr="00531A05" w:rsidRDefault="00EF3F05" w:rsidP="00531A05">
      <w:pPr>
        <w:rPr>
          <w:rFonts w:eastAsia="Arial Unicode MS"/>
        </w:rPr>
      </w:pPr>
    </w:p>
    <w:p w:rsidR="00E46D99" w:rsidRDefault="00EF3F05" w:rsidP="000C60F4">
      <w:pPr>
        <w:jc w:val="both"/>
        <w:rPr>
          <w:rFonts w:eastAsia="Arial Unicode MS"/>
        </w:rPr>
      </w:pPr>
      <w:r>
        <w:rPr>
          <w:rFonts w:eastAsia="Arial Unicode MS"/>
        </w:rPr>
        <w:t>In the main bedroom, the recommended level of 1,000ppm was exceeded in two dwellings (No.1 and No.2)</w:t>
      </w:r>
      <w:r w:rsidR="009633F9">
        <w:rPr>
          <w:rFonts w:eastAsia="Arial Unicode MS"/>
        </w:rPr>
        <w:t xml:space="preserve"> during the monitoring period</w:t>
      </w:r>
      <w:r>
        <w:rPr>
          <w:rFonts w:eastAsia="Arial Unicode MS"/>
        </w:rPr>
        <w:t>. Occupants of these homes stated that the bedroom door and window were closed at night during the monitoring period, which may have contributed to the higher readings. All average levels of carbon dioxide were below 1,000ppm.</w:t>
      </w:r>
    </w:p>
    <w:p w:rsidR="00CB4E25" w:rsidRDefault="00CB4E25" w:rsidP="00532A5F">
      <w:pPr>
        <w:rPr>
          <w:rFonts w:eastAsia="Arial Unicode MS"/>
        </w:rPr>
      </w:pPr>
    </w:p>
    <w:p w:rsidR="00532A5F" w:rsidRDefault="00532A5F" w:rsidP="00633EBF">
      <w:pPr>
        <w:pStyle w:val="Heading20"/>
        <w:numPr>
          <w:ilvl w:val="1"/>
          <w:numId w:val="12"/>
        </w:numPr>
        <w:rPr>
          <w:rFonts w:eastAsia="Arial Unicode MS" w:cs="Arial"/>
        </w:rPr>
      </w:pPr>
      <w:r>
        <w:rPr>
          <w:rFonts w:eastAsia="Arial Unicode MS" w:cs="Arial"/>
        </w:rPr>
        <w:t>Relative humidity</w:t>
      </w:r>
    </w:p>
    <w:p w:rsidR="00532A5F" w:rsidRPr="00EF3F05" w:rsidRDefault="004175CD" w:rsidP="005A39B5">
      <w:pPr>
        <w:pStyle w:val="Heading3"/>
        <w:numPr>
          <w:ilvl w:val="2"/>
          <w:numId w:val="17"/>
        </w:numPr>
        <w:rPr>
          <w:rFonts w:eastAsia="Arial Unicode MS"/>
        </w:rPr>
      </w:pPr>
      <w:r>
        <w:rPr>
          <w:rFonts w:eastAsia="Arial Unicode MS"/>
        </w:rPr>
        <w:t>Winter season</w:t>
      </w:r>
    </w:p>
    <w:tbl>
      <w:tblPr>
        <w:tblW w:w="5123" w:type="pct"/>
        <w:jc w:val="center"/>
        <w:tblInd w:w="-493" w:type="dxa"/>
        <w:tblBorders>
          <w:top w:val="single" w:sz="18" w:space="0" w:color="auto"/>
          <w:bottom w:val="single" w:sz="18" w:space="0" w:color="auto"/>
        </w:tblBorders>
        <w:tblLook w:val="04A0" w:firstRow="1" w:lastRow="0" w:firstColumn="1" w:lastColumn="0" w:noHBand="0" w:noVBand="1"/>
      </w:tblPr>
      <w:tblGrid>
        <w:gridCol w:w="269"/>
        <w:gridCol w:w="480"/>
        <w:gridCol w:w="682"/>
        <w:gridCol w:w="710"/>
        <w:gridCol w:w="67"/>
        <w:gridCol w:w="615"/>
        <w:gridCol w:w="754"/>
        <w:gridCol w:w="50"/>
        <w:gridCol w:w="634"/>
        <w:gridCol w:w="850"/>
        <w:gridCol w:w="76"/>
        <w:gridCol w:w="606"/>
        <w:gridCol w:w="850"/>
        <w:gridCol w:w="103"/>
        <w:gridCol w:w="17"/>
        <w:gridCol w:w="564"/>
        <w:gridCol w:w="750"/>
        <w:gridCol w:w="91"/>
        <w:gridCol w:w="53"/>
        <w:gridCol w:w="542"/>
        <w:gridCol w:w="706"/>
      </w:tblGrid>
      <w:tr w:rsidR="005A39B5" w:rsidRPr="00532A5F" w:rsidTr="009C4800">
        <w:trPr>
          <w:gridBefore w:val="1"/>
          <w:wBefore w:w="142" w:type="pct"/>
          <w:jc w:val="center"/>
        </w:trPr>
        <w:tc>
          <w:tcPr>
            <w:tcW w:w="4858" w:type="pct"/>
            <w:gridSpan w:val="20"/>
            <w:tcBorders>
              <w:top w:val="nil"/>
              <w:bottom w:val="single" w:sz="2" w:space="0" w:color="auto"/>
            </w:tcBorders>
          </w:tcPr>
          <w:p w:rsidR="00532A5F" w:rsidRPr="000E0FA4" w:rsidRDefault="00CB4E25" w:rsidP="009C4800">
            <w:pPr>
              <w:pStyle w:val="15TableTitle"/>
              <w:ind w:left="0" w:firstLine="0"/>
              <w:jc w:val="left"/>
              <w:rPr>
                <w:rFonts w:ascii="Arial Unicode MS" w:eastAsia="Arial Unicode MS" w:hAnsi="Arial Unicode MS" w:cs="Arial Unicode MS"/>
                <w:b w:val="0"/>
              </w:rPr>
            </w:pPr>
            <w:r>
              <w:rPr>
                <w:rFonts w:ascii="Arial Unicode MS" w:eastAsia="Arial Unicode MS" w:hAnsi="Arial Unicode MS" w:cs="Arial Unicode MS"/>
                <w:b w:val="0"/>
              </w:rPr>
              <w:t>Table 5</w:t>
            </w:r>
            <w:r w:rsidR="009C4800" w:rsidRPr="000E0FA4">
              <w:rPr>
                <w:rFonts w:ascii="Arial Unicode MS" w:eastAsia="Arial Unicode MS" w:hAnsi="Arial Unicode MS" w:cs="Arial Unicode MS"/>
                <w:b w:val="0"/>
              </w:rPr>
              <w:t>.   Winter r</w:t>
            </w:r>
            <w:r w:rsidR="00532A5F" w:rsidRPr="000E0FA4">
              <w:rPr>
                <w:rFonts w:ascii="Arial Unicode MS" w:eastAsia="Arial Unicode MS" w:hAnsi="Arial Unicode MS" w:cs="Arial Unicode MS"/>
                <w:b w:val="0"/>
              </w:rPr>
              <w:t>elative humidity (%)</w:t>
            </w:r>
            <w:r w:rsidR="009C4800" w:rsidRPr="000E0FA4">
              <w:rPr>
                <w:rFonts w:ascii="Arial Unicode MS" w:eastAsia="Arial Unicode MS" w:hAnsi="Arial Unicode MS" w:cs="Arial Unicode MS"/>
                <w:b w:val="0"/>
              </w:rPr>
              <w:t xml:space="preserve">in living room </w:t>
            </w:r>
            <w:r w:rsidR="00532A5F" w:rsidRPr="000E0FA4">
              <w:rPr>
                <w:rFonts w:ascii="Arial Unicode MS" w:eastAsia="Arial Unicode MS" w:hAnsi="Arial Unicode MS" w:cs="Arial Unicode MS"/>
                <w:b w:val="0"/>
              </w:rPr>
              <w:t xml:space="preserve">and presence of </w:t>
            </w:r>
            <w:r w:rsidR="00532A5F" w:rsidRPr="00EF3F05">
              <w:rPr>
                <w:rFonts w:ascii="Arial Unicode MS" w:eastAsia="Arial Unicode MS" w:hAnsi="Arial Unicode MS" w:cs="Arial Unicode MS"/>
                <w:b w:val="0"/>
                <w:lang w:val="en-GB"/>
              </w:rPr>
              <w:t>mould</w:t>
            </w:r>
            <w:r w:rsidR="004175CD" w:rsidRPr="000E0FA4">
              <w:rPr>
                <w:rFonts w:ascii="Arial Unicode MS" w:eastAsia="Arial Unicode MS" w:hAnsi="Arial Unicode MS" w:cs="Arial Unicode MS"/>
                <w:b w:val="0"/>
              </w:rPr>
              <w:t xml:space="preserve"> </w:t>
            </w:r>
          </w:p>
        </w:tc>
      </w:tr>
      <w:tr w:rsidR="009C4800" w:rsidRPr="00532A5F" w:rsidTr="009C4800">
        <w:trPr>
          <w:jc w:val="center"/>
        </w:trPr>
        <w:tc>
          <w:tcPr>
            <w:tcW w:w="396" w:type="pct"/>
            <w:gridSpan w:val="2"/>
            <w:tcBorders>
              <w:top w:val="single" w:sz="2" w:space="0" w:color="auto"/>
              <w:bottom w:val="single" w:sz="2" w:space="0" w:color="auto"/>
            </w:tcBorders>
            <w:vAlign w:val="center"/>
          </w:tcPr>
          <w:p w:rsidR="00532A5F" w:rsidRPr="00532A5F" w:rsidRDefault="00532A5F" w:rsidP="009C4800">
            <w:pPr>
              <w:pStyle w:val="NoSpacing"/>
              <w:jc w:val="center"/>
            </w:pPr>
          </w:p>
        </w:tc>
        <w:tc>
          <w:tcPr>
            <w:tcW w:w="770" w:type="pct"/>
            <w:gridSpan w:val="3"/>
            <w:tcBorders>
              <w:top w:val="single" w:sz="2" w:space="0" w:color="auto"/>
              <w:bottom w:val="single" w:sz="2" w:space="0" w:color="auto"/>
            </w:tcBorders>
            <w:vAlign w:val="center"/>
          </w:tcPr>
          <w:p w:rsidR="00532A5F" w:rsidRPr="009C4800" w:rsidRDefault="00532A5F" w:rsidP="009C4800">
            <w:pPr>
              <w:pStyle w:val="NoSpacing"/>
              <w:jc w:val="center"/>
              <w:rPr>
                <w:sz w:val="20"/>
                <w:szCs w:val="20"/>
              </w:rPr>
            </w:pPr>
            <w:r w:rsidRPr="009C4800">
              <w:rPr>
                <w:sz w:val="20"/>
                <w:szCs w:val="20"/>
              </w:rPr>
              <w:t>No.1</w:t>
            </w:r>
          </w:p>
        </w:tc>
        <w:tc>
          <w:tcPr>
            <w:tcW w:w="749" w:type="pct"/>
            <w:gridSpan w:val="3"/>
            <w:tcBorders>
              <w:top w:val="single" w:sz="2" w:space="0" w:color="auto"/>
              <w:bottom w:val="single" w:sz="2" w:space="0" w:color="auto"/>
            </w:tcBorders>
            <w:vAlign w:val="center"/>
          </w:tcPr>
          <w:p w:rsidR="00532A5F" w:rsidRPr="009C4800" w:rsidRDefault="00532A5F" w:rsidP="009C4800">
            <w:pPr>
              <w:pStyle w:val="NoSpacing"/>
              <w:jc w:val="center"/>
              <w:rPr>
                <w:sz w:val="20"/>
                <w:szCs w:val="20"/>
              </w:rPr>
            </w:pPr>
            <w:r w:rsidRPr="009C4800">
              <w:rPr>
                <w:sz w:val="20"/>
                <w:szCs w:val="20"/>
              </w:rPr>
              <w:t>No.2</w:t>
            </w:r>
          </w:p>
        </w:tc>
        <w:tc>
          <w:tcPr>
            <w:tcW w:w="824" w:type="pct"/>
            <w:gridSpan w:val="3"/>
            <w:tcBorders>
              <w:top w:val="single" w:sz="2" w:space="0" w:color="auto"/>
              <w:bottom w:val="single" w:sz="2" w:space="0" w:color="auto"/>
            </w:tcBorders>
            <w:vAlign w:val="center"/>
          </w:tcPr>
          <w:p w:rsidR="00532A5F" w:rsidRPr="009C4800" w:rsidRDefault="00532A5F" w:rsidP="009C4800">
            <w:pPr>
              <w:pStyle w:val="NoSpacing"/>
              <w:jc w:val="center"/>
              <w:rPr>
                <w:sz w:val="20"/>
                <w:szCs w:val="20"/>
              </w:rPr>
            </w:pPr>
            <w:r w:rsidRPr="009C4800">
              <w:rPr>
                <w:sz w:val="20"/>
                <w:szCs w:val="20"/>
              </w:rPr>
              <w:t>No.3</w:t>
            </w:r>
          </w:p>
        </w:tc>
        <w:tc>
          <w:tcPr>
            <w:tcW w:w="823" w:type="pct"/>
            <w:gridSpan w:val="3"/>
            <w:tcBorders>
              <w:top w:val="single" w:sz="2" w:space="0" w:color="auto"/>
              <w:bottom w:val="single" w:sz="2" w:space="0" w:color="auto"/>
            </w:tcBorders>
            <w:vAlign w:val="center"/>
          </w:tcPr>
          <w:p w:rsidR="00532A5F" w:rsidRPr="009C4800" w:rsidRDefault="00532A5F" w:rsidP="009C4800">
            <w:pPr>
              <w:pStyle w:val="NoSpacing"/>
              <w:jc w:val="center"/>
              <w:rPr>
                <w:sz w:val="20"/>
                <w:szCs w:val="20"/>
              </w:rPr>
            </w:pPr>
            <w:r w:rsidRPr="009C4800">
              <w:rPr>
                <w:sz w:val="20"/>
                <w:szCs w:val="20"/>
              </w:rPr>
              <w:t>No.4</w:t>
            </w:r>
          </w:p>
        </w:tc>
        <w:tc>
          <w:tcPr>
            <w:tcW w:w="779" w:type="pct"/>
            <w:gridSpan w:val="5"/>
            <w:tcBorders>
              <w:top w:val="single" w:sz="2" w:space="0" w:color="auto"/>
              <w:bottom w:val="single" w:sz="2" w:space="0" w:color="auto"/>
            </w:tcBorders>
            <w:vAlign w:val="center"/>
          </w:tcPr>
          <w:p w:rsidR="00532A5F" w:rsidRPr="009C4800" w:rsidRDefault="00532A5F" w:rsidP="009C4800">
            <w:pPr>
              <w:pStyle w:val="NoSpacing"/>
              <w:jc w:val="center"/>
              <w:rPr>
                <w:sz w:val="20"/>
                <w:szCs w:val="20"/>
              </w:rPr>
            </w:pPr>
            <w:r w:rsidRPr="009C4800">
              <w:rPr>
                <w:sz w:val="20"/>
                <w:szCs w:val="20"/>
              </w:rPr>
              <w:t>No.5</w:t>
            </w:r>
          </w:p>
        </w:tc>
        <w:tc>
          <w:tcPr>
            <w:tcW w:w="659" w:type="pct"/>
            <w:gridSpan w:val="2"/>
            <w:tcBorders>
              <w:top w:val="single" w:sz="2" w:space="0" w:color="auto"/>
              <w:bottom w:val="single" w:sz="2" w:space="0" w:color="auto"/>
            </w:tcBorders>
            <w:vAlign w:val="center"/>
          </w:tcPr>
          <w:p w:rsidR="00532A5F" w:rsidRPr="009C4800" w:rsidRDefault="00532A5F" w:rsidP="009C4800">
            <w:pPr>
              <w:pStyle w:val="NoSpacing"/>
              <w:jc w:val="center"/>
              <w:rPr>
                <w:sz w:val="20"/>
                <w:szCs w:val="20"/>
              </w:rPr>
            </w:pPr>
            <w:r w:rsidRPr="009C4800">
              <w:rPr>
                <w:sz w:val="20"/>
                <w:szCs w:val="20"/>
              </w:rPr>
              <w:t>No.6</w:t>
            </w:r>
          </w:p>
        </w:tc>
      </w:tr>
      <w:tr w:rsidR="009C4800" w:rsidRPr="00532A5F" w:rsidTr="009C4800">
        <w:trPr>
          <w:jc w:val="center"/>
        </w:trPr>
        <w:tc>
          <w:tcPr>
            <w:tcW w:w="396" w:type="pct"/>
            <w:gridSpan w:val="2"/>
            <w:tcBorders>
              <w:top w:val="single" w:sz="2" w:space="0" w:color="auto"/>
              <w:bottom w:val="single" w:sz="2" w:space="0" w:color="auto"/>
            </w:tcBorders>
            <w:vAlign w:val="center"/>
          </w:tcPr>
          <w:p w:rsidR="00532A5F" w:rsidRPr="00532A5F" w:rsidRDefault="00532A5F" w:rsidP="009C4800">
            <w:pPr>
              <w:pStyle w:val="NoSpacing"/>
              <w:jc w:val="center"/>
              <w:rPr>
                <w:sz w:val="20"/>
              </w:rPr>
            </w:pPr>
          </w:p>
        </w:tc>
        <w:tc>
          <w:tcPr>
            <w:tcW w:w="360" w:type="pct"/>
            <w:tcBorders>
              <w:top w:val="single" w:sz="2" w:space="0" w:color="auto"/>
              <w:bottom w:val="single" w:sz="2" w:space="0" w:color="auto"/>
            </w:tcBorders>
            <w:vAlign w:val="center"/>
          </w:tcPr>
          <w:p w:rsidR="00532A5F" w:rsidRPr="00532A5F" w:rsidRDefault="00985198" w:rsidP="009C4800">
            <w:pPr>
              <w:pStyle w:val="NoSpacing"/>
              <w:jc w:val="center"/>
              <w:rPr>
                <w:sz w:val="20"/>
              </w:rPr>
            </w:pPr>
            <w:r>
              <w:rPr>
                <w:sz w:val="20"/>
              </w:rPr>
              <w:t>Living room</w:t>
            </w:r>
          </w:p>
        </w:tc>
        <w:tc>
          <w:tcPr>
            <w:tcW w:w="375" w:type="pct"/>
            <w:tcBorders>
              <w:top w:val="single" w:sz="2" w:space="0" w:color="auto"/>
              <w:bottom w:val="single" w:sz="2" w:space="0" w:color="auto"/>
            </w:tcBorders>
            <w:vAlign w:val="center"/>
          </w:tcPr>
          <w:p w:rsidR="00532A5F" w:rsidRPr="00532A5F" w:rsidRDefault="00532A5F" w:rsidP="009C4800">
            <w:pPr>
              <w:pStyle w:val="NoSpacing"/>
              <w:ind w:left="-48" w:right="-81" w:hanging="11"/>
              <w:jc w:val="center"/>
              <w:rPr>
                <w:sz w:val="20"/>
              </w:rPr>
            </w:pPr>
            <w:r w:rsidRPr="00532A5F">
              <w:rPr>
                <w:sz w:val="20"/>
              </w:rPr>
              <w:t>Outside</w:t>
            </w:r>
          </w:p>
        </w:tc>
        <w:tc>
          <w:tcPr>
            <w:tcW w:w="360" w:type="pct"/>
            <w:gridSpan w:val="2"/>
            <w:tcBorders>
              <w:top w:val="single" w:sz="2" w:space="0" w:color="auto"/>
              <w:bottom w:val="single" w:sz="2" w:space="0" w:color="auto"/>
            </w:tcBorders>
            <w:vAlign w:val="center"/>
          </w:tcPr>
          <w:p w:rsidR="00532A5F" w:rsidRPr="00532A5F" w:rsidRDefault="00985198" w:rsidP="009C4800">
            <w:pPr>
              <w:pStyle w:val="NoSpacing"/>
              <w:jc w:val="center"/>
              <w:rPr>
                <w:sz w:val="20"/>
              </w:rPr>
            </w:pPr>
            <w:r>
              <w:rPr>
                <w:sz w:val="20"/>
              </w:rPr>
              <w:t>Living room</w:t>
            </w:r>
          </w:p>
        </w:tc>
        <w:tc>
          <w:tcPr>
            <w:tcW w:w="398" w:type="pct"/>
            <w:tcBorders>
              <w:top w:val="single" w:sz="2" w:space="0" w:color="auto"/>
              <w:bottom w:val="single" w:sz="2" w:space="0" w:color="auto"/>
            </w:tcBorders>
            <w:vAlign w:val="center"/>
          </w:tcPr>
          <w:p w:rsidR="00532A5F" w:rsidRPr="00532A5F" w:rsidRDefault="00532A5F" w:rsidP="009C4800">
            <w:pPr>
              <w:pStyle w:val="NoSpacing"/>
              <w:ind w:left="-22" w:right="-75"/>
              <w:jc w:val="center"/>
              <w:rPr>
                <w:sz w:val="20"/>
              </w:rPr>
            </w:pPr>
            <w:r w:rsidRPr="00532A5F">
              <w:rPr>
                <w:sz w:val="20"/>
              </w:rPr>
              <w:t>Outside</w:t>
            </w:r>
          </w:p>
        </w:tc>
        <w:tc>
          <w:tcPr>
            <w:tcW w:w="361" w:type="pct"/>
            <w:gridSpan w:val="2"/>
            <w:tcBorders>
              <w:top w:val="single" w:sz="2" w:space="0" w:color="auto"/>
              <w:bottom w:val="single" w:sz="2" w:space="0" w:color="auto"/>
            </w:tcBorders>
            <w:vAlign w:val="center"/>
          </w:tcPr>
          <w:p w:rsidR="00532A5F" w:rsidRPr="00532A5F" w:rsidRDefault="00985198" w:rsidP="009C4800">
            <w:pPr>
              <w:pStyle w:val="NoSpacing"/>
              <w:jc w:val="center"/>
              <w:rPr>
                <w:sz w:val="20"/>
              </w:rPr>
            </w:pPr>
            <w:r>
              <w:rPr>
                <w:sz w:val="20"/>
              </w:rPr>
              <w:t>Living room</w:t>
            </w:r>
          </w:p>
        </w:tc>
        <w:tc>
          <w:tcPr>
            <w:tcW w:w="449" w:type="pct"/>
            <w:tcBorders>
              <w:top w:val="single" w:sz="2" w:space="0" w:color="auto"/>
              <w:bottom w:val="single" w:sz="2" w:space="0" w:color="auto"/>
            </w:tcBorders>
            <w:vAlign w:val="center"/>
          </w:tcPr>
          <w:p w:rsidR="00532A5F" w:rsidRPr="00532A5F" w:rsidRDefault="00532A5F" w:rsidP="009C4800">
            <w:pPr>
              <w:pStyle w:val="NoSpacing"/>
              <w:jc w:val="center"/>
              <w:rPr>
                <w:sz w:val="20"/>
              </w:rPr>
            </w:pPr>
            <w:r w:rsidRPr="00532A5F">
              <w:rPr>
                <w:sz w:val="20"/>
              </w:rPr>
              <w:t>Outside</w:t>
            </w:r>
          </w:p>
        </w:tc>
        <w:tc>
          <w:tcPr>
            <w:tcW w:w="360" w:type="pct"/>
            <w:gridSpan w:val="2"/>
            <w:tcBorders>
              <w:top w:val="single" w:sz="2" w:space="0" w:color="auto"/>
              <w:bottom w:val="single" w:sz="2" w:space="0" w:color="auto"/>
            </w:tcBorders>
            <w:vAlign w:val="center"/>
          </w:tcPr>
          <w:p w:rsidR="00532A5F" w:rsidRPr="00532A5F" w:rsidRDefault="00985198" w:rsidP="009C4800">
            <w:pPr>
              <w:pStyle w:val="NoSpacing"/>
              <w:jc w:val="center"/>
              <w:rPr>
                <w:sz w:val="20"/>
              </w:rPr>
            </w:pPr>
            <w:r>
              <w:rPr>
                <w:sz w:val="20"/>
              </w:rPr>
              <w:t>Living room</w:t>
            </w:r>
          </w:p>
        </w:tc>
        <w:tc>
          <w:tcPr>
            <w:tcW w:w="449" w:type="pct"/>
            <w:tcBorders>
              <w:top w:val="single" w:sz="2" w:space="0" w:color="auto"/>
              <w:bottom w:val="single" w:sz="2" w:space="0" w:color="auto"/>
            </w:tcBorders>
            <w:vAlign w:val="center"/>
          </w:tcPr>
          <w:p w:rsidR="00532A5F" w:rsidRPr="00532A5F" w:rsidRDefault="00532A5F" w:rsidP="009C4800">
            <w:pPr>
              <w:pStyle w:val="NoSpacing"/>
              <w:jc w:val="center"/>
              <w:rPr>
                <w:sz w:val="20"/>
              </w:rPr>
            </w:pPr>
            <w:r w:rsidRPr="00532A5F">
              <w:rPr>
                <w:sz w:val="20"/>
              </w:rPr>
              <w:t>Outside</w:t>
            </w:r>
          </w:p>
        </w:tc>
        <w:tc>
          <w:tcPr>
            <w:tcW w:w="361" w:type="pct"/>
            <w:gridSpan w:val="3"/>
            <w:tcBorders>
              <w:top w:val="single" w:sz="2" w:space="0" w:color="auto"/>
              <w:bottom w:val="single" w:sz="2" w:space="0" w:color="auto"/>
            </w:tcBorders>
            <w:vAlign w:val="center"/>
          </w:tcPr>
          <w:p w:rsidR="00532A5F" w:rsidRPr="00532A5F" w:rsidRDefault="00985198" w:rsidP="009C4800">
            <w:pPr>
              <w:pStyle w:val="NoSpacing"/>
              <w:jc w:val="center"/>
              <w:rPr>
                <w:sz w:val="20"/>
              </w:rPr>
            </w:pPr>
            <w:r>
              <w:rPr>
                <w:sz w:val="20"/>
              </w:rPr>
              <w:t>Living room</w:t>
            </w:r>
          </w:p>
        </w:tc>
        <w:tc>
          <w:tcPr>
            <w:tcW w:w="396" w:type="pct"/>
            <w:tcBorders>
              <w:top w:val="single" w:sz="2" w:space="0" w:color="auto"/>
              <w:bottom w:val="single" w:sz="2" w:space="0" w:color="auto"/>
            </w:tcBorders>
            <w:vAlign w:val="center"/>
          </w:tcPr>
          <w:p w:rsidR="00532A5F" w:rsidRPr="00532A5F" w:rsidRDefault="00532A5F" w:rsidP="009C4800">
            <w:pPr>
              <w:pStyle w:val="NoSpacing"/>
              <w:ind w:left="-11" w:right="-90"/>
              <w:jc w:val="center"/>
              <w:rPr>
                <w:sz w:val="20"/>
              </w:rPr>
            </w:pPr>
            <w:r w:rsidRPr="00532A5F">
              <w:rPr>
                <w:sz w:val="20"/>
              </w:rPr>
              <w:t>Outside</w:t>
            </w:r>
          </w:p>
        </w:tc>
        <w:tc>
          <w:tcPr>
            <w:tcW w:w="362" w:type="pct"/>
            <w:gridSpan w:val="3"/>
            <w:tcBorders>
              <w:top w:val="single" w:sz="2" w:space="0" w:color="auto"/>
              <w:bottom w:val="single" w:sz="2" w:space="0" w:color="auto"/>
            </w:tcBorders>
            <w:vAlign w:val="center"/>
          </w:tcPr>
          <w:p w:rsidR="00532A5F" w:rsidRPr="00532A5F" w:rsidRDefault="00985198" w:rsidP="009C4800">
            <w:pPr>
              <w:pStyle w:val="NoSpacing"/>
              <w:jc w:val="center"/>
              <w:rPr>
                <w:sz w:val="20"/>
              </w:rPr>
            </w:pPr>
            <w:r>
              <w:rPr>
                <w:sz w:val="20"/>
              </w:rPr>
              <w:t>Living room</w:t>
            </w:r>
          </w:p>
        </w:tc>
        <w:tc>
          <w:tcPr>
            <w:tcW w:w="374" w:type="pct"/>
            <w:tcBorders>
              <w:top w:val="single" w:sz="2" w:space="0" w:color="auto"/>
              <w:bottom w:val="single" w:sz="2" w:space="0" w:color="auto"/>
            </w:tcBorders>
            <w:vAlign w:val="center"/>
          </w:tcPr>
          <w:p w:rsidR="00532A5F" w:rsidRPr="009C4800" w:rsidRDefault="00532A5F" w:rsidP="009C4800">
            <w:pPr>
              <w:pStyle w:val="16TableText"/>
              <w:ind w:left="-118" w:right="-87" w:firstLine="0"/>
              <w:rPr>
                <w:rFonts w:asciiTheme="minorHAnsi" w:eastAsia="Arial Unicode MS" w:hAnsiTheme="minorHAnsi" w:cs="Arial Unicode MS"/>
                <w:sz w:val="20"/>
              </w:rPr>
            </w:pPr>
            <w:r w:rsidRPr="009C4800">
              <w:rPr>
                <w:rFonts w:asciiTheme="minorHAnsi" w:eastAsia="Arial Unicode MS" w:hAnsiTheme="minorHAnsi" w:cs="Arial Unicode MS"/>
                <w:sz w:val="20"/>
              </w:rPr>
              <w:t>Outside</w:t>
            </w:r>
          </w:p>
        </w:tc>
      </w:tr>
      <w:tr w:rsidR="009C4800" w:rsidRPr="00532A5F" w:rsidTr="009C4800">
        <w:trPr>
          <w:trHeight w:val="324"/>
          <w:jc w:val="center"/>
        </w:trPr>
        <w:tc>
          <w:tcPr>
            <w:tcW w:w="396" w:type="pct"/>
            <w:gridSpan w:val="2"/>
            <w:tcBorders>
              <w:top w:val="single" w:sz="2" w:space="0" w:color="auto"/>
            </w:tcBorders>
            <w:vAlign w:val="center"/>
          </w:tcPr>
          <w:p w:rsidR="00532A5F" w:rsidRPr="00532A5F" w:rsidRDefault="00532A5F" w:rsidP="009C4800">
            <w:pPr>
              <w:pStyle w:val="NoSpacing"/>
              <w:jc w:val="center"/>
              <w:rPr>
                <w:sz w:val="20"/>
              </w:rPr>
            </w:pPr>
            <w:r>
              <w:rPr>
                <w:sz w:val="20"/>
              </w:rPr>
              <w:t>Max</w:t>
            </w:r>
          </w:p>
        </w:tc>
        <w:tc>
          <w:tcPr>
            <w:tcW w:w="360" w:type="pct"/>
            <w:tcBorders>
              <w:top w:val="single" w:sz="2" w:space="0" w:color="auto"/>
            </w:tcBorders>
            <w:vAlign w:val="center"/>
          </w:tcPr>
          <w:p w:rsidR="00532A5F" w:rsidRPr="00532A5F" w:rsidRDefault="00532A5F" w:rsidP="009C4800">
            <w:pPr>
              <w:pStyle w:val="NoSpacing"/>
              <w:jc w:val="center"/>
              <w:rPr>
                <w:sz w:val="20"/>
              </w:rPr>
            </w:pPr>
            <w:r w:rsidRPr="00532A5F">
              <w:rPr>
                <w:sz w:val="20"/>
              </w:rPr>
              <w:t>59.2</w:t>
            </w:r>
          </w:p>
        </w:tc>
        <w:tc>
          <w:tcPr>
            <w:tcW w:w="375" w:type="pct"/>
            <w:tcBorders>
              <w:top w:val="single" w:sz="2" w:space="0" w:color="auto"/>
            </w:tcBorders>
            <w:vAlign w:val="center"/>
          </w:tcPr>
          <w:p w:rsidR="00532A5F" w:rsidRPr="00532A5F" w:rsidRDefault="00532A5F" w:rsidP="009C4800">
            <w:pPr>
              <w:pStyle w:val="NoSpacing"/>
              <w:ind w:left="-48" w:right="-81" w:hanging="11"/>
              <w:jc w:val="center"/>
              <w:rPr>
                <w:sz w:val="20"/>
              </w:rPr>
            </w:pPr>
            <w:r w:rsidRPr="00532A5F">
              <w:rPr>
                <w:sz w:val="20"/>
              </w:rPr>
              <w:t>75</w:t>
            </w:r>
          </w:p>
        </w:tc>
        <w:tc>
          <w:tcPr>
            <w:tcW w:w="360" w:type="pct"/>
            <w:gridSpan w:val="2"/>
            <w:tcBorders>
              <w:top w:val="single" w:sz="2" w:space="0" w:color="auto"/>
            </w:tcBorders>
            <w:vAlign w:val="center"/>
          </w:tcPr>
          <w:p w:rsidR="00532A5F" w:rsidRPr="00532A5F" w:rsidRDefault="00532A5F" w:rsidP="009C4800">
            <w:pPr>
              <w:pStyle w:val="NoSpacing"/>
              <w:jc w:val="center"/>
              <w:rPr>
                <w:sz w:val="20"/>
              </w:rPr>
            </w:pPr>
            <w:r w:rsidRPr="00532A5F">
              <w:rPr>
                <w:sz w:val="20"/>
              </w:rPr>
              <w:t>64.0</w:t>
            </w:r>
          </w:p>
        </w:tc>
        <w:tc>
          <w:tcPr>
            <w:tcW w:w="398" w:type="pct"/>
            <w:tcBorders>
              <w:top w:val="single" w:sz="2" w:space="0" w:color="auto"/>
            </w:tcBorders>
            <w:vAlign w:val="center"/>
          </w:tcPr>
          <w:p w:rsidR="00532A5F" w:rsidRPr="00532A5F" w:rsidRDefault="00532A5F" w:rsidP="009C4800">
            <w:pPr>
              <w:pStyle w:val="NoSpacing"/>
              <w:ind w:left="-22" w:right="-75"/>
              <w:jc w:val="center"/>
              <w:rPr>
                <w:sz w:val="20"/>
              </w:rPr>
            </w:pPr>
            <w:r w:rsidRPr="00532A5F">
              <w:rPr>
                <w:sz w:val="20"/>
              </w:rPr>
              <w:t>86.0</w:t>
            </w:r>
          </w:p>
        </w:tc>
        <w:tc>
          <w:tcPr>
            <w:tcW w:w="361" w:type="pct"/>
            <w:gridSpan w:val="2"/>
            <w:tcBorders>
              <w:top w:val="single" w:sz="2" w:space="0" w:color="auto"/>
            </w:tcBorders>
            <w:vAlign w:val="center"/>
          </w:tcPr>
          <w:p w:rsidR="00532A5F" w:rsidRPr="00532A5F" w:rsidRDefault="00532A5F" w:rsidP="009C4800">
            <w:pPr>
              <w:pStyle w:val="NoSpacing"/>
              <w:jc w:val="center"/>
              <w:rPr>
                <w:sz w:val="20"/>
              </w:rPr>
            </w:pPr>
            <w:r w:rsidRPr="00532A5F">
              <w:rPr>
                <w:sz w:val="20"/>
              </w:rPr>
              <w:t>67.9</w:t>
            </w:r>
          </w:p>
        </w:tc>
        <w:tc>
          <w:tcPr>
            <w:tcW w:w="449" w:type="pct"/>
            <w:tcBorders>
              <w:top w:val="single" w:sz="2" w:space="0" w:color="auto"/>
            </w:tcBorders>
            <w:vAlign w:val="center"/>
          </w:tcPr>
          <w:p w:rsidR="00532A5F" w:rsidRPr="00532A5F" w:rsidRDefault="00532A5F" w:rsidP="009C4800">
            <w:pPr>
              <w:pStyle w:val="NoSpacing"/>
              <w:jc w:val="center"/>
              <w:rPr>
                <w:sz w:val="20"/>
              </w:rPr>
            </w:pPr>
            <w:r w:rsidRPr="00532A5F">
              <w:rPr>
                <w:sz w:val="20"/>
              </w:rPr>
              <w:t>82</w:t>
            </w:r>
          </w:p>
        </w:tc>
        <w:tc>
          <w:tcPr>
            <w:tcW w:w="360" w:type="pct"/>
            <w:gridSpan w:val="2"/>
            <w:tcBorders>
              <w:top w:val="single" w:sz="2" w:space="0" w:color="auto"/>
            </w:tcBorders>
            <w:vAlign w:val="center"/>
          </w:tcPr>
          <w:p w:rsidR="00532A5F" w:rsidRPr="00532A5F" w:rsidRDefault="00532A5F" w:rsidP="009C4800">
            <w:pPr>
              <w:pStyle w:val="NoSpacing"/>
              <w:jc w:val="center"/>
              <w:rPr>
                <w:sz w:val="20"/>
              </w:rPr>
            </w:pPr>
            <w:r w:rsidRPr="00532A5F">
              <w:rPr>
                <w:sz w:val="20"/>
              </w:rPr>
              <w:t>45.3</w:t>
            </w:r>
          </w:p>
        </w:tc>
        <w:tc>
          <w:tcPr>
            <w:tcW w:w="449" w:type="pct"/>
            <w:tcBorders>
              <w:top w:val="single" w:sz="2" w:space="0" w:color="auto"/>
            </w:tcBorders>
            <w:vAlign w:val="center"/>
          </w:tcPr>
          <w:p w:rsidR="00532A5F" w:rsidRPr="00532A5F" w:rsidRDefault="00532A5F" w:rsidP="009C4800">
            <w:pPr>
              <w:pStyle w:val="NoSpacing"/>
              <w:jc w:val="center"/>
              <w:rPr>
                <w:sz w:val="20"/>
              </w:rPr>
            </w:pPr>
            <w:r w:rsidRPr="00532A5F">
              <w:rPr>
                <w:sz w:val="20"/>
              </w:rPr>
              <w:t>87</w:t>
            </w:r>
          </w:p>
        </w:tc>
        <w:tc>
          <w:tcPr>
            <w:tcW w:w="361" w:type="pct"/>
            <w:gridSpan w:val="3"/>
            <w:tcBorders>
              <w:top w:val="single" w:sz="2" w:space="0" w:color="auto"/>
            </w:tcBorders>
            <w:vAlign w:val="center"/>
          </w:tcPr>
          <w:p w:rsidR="00532A5F" w:rsidRPr="00532A5F" w:rsidRDefault="00532A5F" w:rsidP="009C4800">
            <w:pPr>
              <w:pStyle w:val="NoSpacing"/>
              <w:jc w:val="center"/>
              <w:rPr>
                <w:sz w:val="20"/>
              </w:rPr>
            </w:pPr>
            <w:r w:rsidRPr="00532A5F">
              <w:rPr>
                <w:sz w:val="20"/>
              </w:rPr>
              <w:t>50.4</w:t>
            </w:r>
          </w:p>
        </w:tc>
        <w:tc>
          <w:tcPr>
            <w:tcW w:w="396" w:type="pct"/>
            <w:tcBorders>
              <w:top w:val="single" w:sz="2" w:space="0" w:color="auto"/>
            </w:tcBorders>
            <w:vAlign w:val="center"/>
          </w:tcPr>
          <w:p w:rsidR="00532A5F" w:rsidRPr="00532A5F" w:rsidRDefault="00532A5F" w:rsidP="009C4800">
            <w:pPr>
              <w:pStyle w:val="NoSpacing"/>
              <w:ind w:left="-11" w:right="-90"/>
              <w:jc w:val="center"/>
              <w:rPr>
                <w:sz w:val="20"/>
              </w:rPr>
            </w:pPr>
            <w:r w:rsidRPr="00532A5F">
              <w:rPr>
                <w:sz w:val="20"/>
              </w:rPr>
              <w:t>86</w:t>
            </w:r>
          </w:p>
        </w:tc>
        <w:tc>
          <w:tcPr>
            <w:tcW w:w="362" w:type="pct"/>
            <w:gridSpan w:val="3"/>
            <w:tcBorders>
              <w:top w:val="single" w:sz="2" w:space="0" w:color="auto"/>
            </w:tcBorders>
            <w:vAlign w:val="center"/>
          </w:tcPr>
          <w:p w:rsidR="00532A5F" w:rsidRPr="00532A5F" w:rsidRDefault="00532A5F" w:rsidP="009C4800">
            <w:pPr>
              <w:pStyle w:val="NoSpacing"/>
              <w:jc w:val="center"/>
              <w:rPr>
                <w:sz w:val="20"/>
              </w:rPr>
            </w:pPr>
            <w:r w:rsidRPr="00532A5F">
              <w:rPr>
                <w:sz w:val="20"/>
              </w:rPr>
              <w:t>63.0</w:t>
            </w:r>
          </w:p>
        </w:tc>
        <w:tc>
          <w:tcPr>
            <w:tcW w:w="374" w:type="pct"/>
            <w:tcBorders>
              <w:top w:val="single" w:sz="2" w:space="0" w:color="auto"/>
            </w:tcBorders>
            <w:vAlign w:val="center"/>
          </w:tcPr>
          <w:p w:rsidR="00532A5F" w:rsidRPr="009C4800" w:rsidRDefault="00532A5F" w:rsidP="009C4800">
            <w:pPr>
              <w:pStyle w:val="16TableText"/>
              <w:ind w:left="-118" w:right="-87" w:firstLine="0"/>
              <w:rPr>
                <w:rFonts w:asciiTheme="minorHAnsi" w:eastAsia="Arial Unicode MS" w:hAnsiTheme="minorHAnsi" w:cs="Arial Unicode MS"/>
                <w:sz w:val="20"/>
              </w:rPr>
            </w:pPr>
            <w:r w:rsidRPr="009C4800">
              <w:rPr>
                <w:rFonts w:asciiTheme="minorHAnsi" w:eastAsia="Arial Unicode MS" w:hAnsiTheme="minorHAnsi" w:cs="Arial Unicode MS"/>
                <w:sz w:val="20"/>
              </w:rPr>
              <w:t>77</w:t>
            </w:r>
          </w:p>
        </w:tc>
      </w:tr>
      <w:tr w:rsidR="009C4800" w:rsidRPr="00532A5F" w:rsidTr="009C4800">
        <w:trPr>
          <w:jc w:val="center"/>
        </w:trPr>
        <w:tc>
          <w:tcPr>
            <w:tcW w:w="396" w:type="pct"/>
            <w:gridSpan w:val="2"/>
            <w:vAlign w:val="center"/>
          </w:tcPr>
          <w:p w:rsidR="00532A5F" w:rsidRPr="00532A5F" w:rsidRDefault="00532A5F" w:rsidP="009C4800">
            <w:pPr>
              <w:pStyle w:val="NoSpacing"/>
              <w:jc w:val="center"/>
              <w:rPr>
                <w:sz w:val="20"/>
              </w:rPr>
            </w:pPr>
            <w:r>
              <w:rPr>
                <w:sz w:val="20"/>
              </w:rPr>
              <w:t>Min</w:t>
            </w:r>
          </w:p>
        </w:tc>
        <w:tc>
          <w:tcPr>
            <w:tcW w:w="360" w:type="pct"/>
            <w:vAlign w:val="center"/>
          </w:tcPr>
          <w:p w:rsidR="00532A5F" w:rsidRPr="00532A5F" w:rsidRDefault="00532A5F" w:rsidP="009C4800">
            <w:pPr>
              <w:pStyle w:val="NoSpacing"/>
              <w:jc w:val="center"/>
              <w:rPr>
                <w:sz w:val="20"/>
              </w:rPr>
            </w:pPr>
            <w:r w:rsidRPr="00532A5F">
              <w:rPr>
                <w:sz w:val="20"/>
              </w:rPr>
              <w:t>51.4</w:t>
            </w:r>
          </w:p>
        </w:tc>
        <w:tc>
          <w:tcPr>
            <w:tcW w:w="375" w:type="pct"/>
            <w:vAlign w:val="center"/>
          </w:tcPr>
          <w:p w:rsidR="00532A5F" w:rsidRPr="00532A5F" w:rsidRDefault="00532A5F" w:rsidP="009C4800">
            <w:pPr>
              <w:pStyle w:val="NoSpacing"/>
              <w:ind w:left="-48" w:right="-81" w:hanging="11"/>
              <w:jc w:val="center"/>
              <w:rPr>
                <w:sz w:val="20"/>
              </w:rPr>
            </w:pPr>
            <w:r w:rsidRPr="00532A5F">
              <w:rPr>
                <w:sz w:val="20"/>
              </w:rPr>
              <w:t>60</w:t>
            </w:r>
          </w:p>
        </w:tc>
        <w:tc>
          <w:tcPr>
            <w:tcW w:w="360" w:type="pct"/>
            <w:gridSpan w:val="2"/>
            <w:vAlign w:val="center"/>
          </w:tcPr>
          <w:p w:rsidR="00532A5F" w:rsidRPr="00532A5F" w:rsidRDefault="00532A5F" w:rsidP="009C4800">
            <w:pPr>
              <w:pStyle w:val="NoSpacing"/>
              <w:jc w:val="center"/>
              <w:rPr>
                <w:sz w:val="20"/>
              </w:rPr>
            </w:pPr>
            <w:r w:rsidRPr="00532A5F">
              <w:rPr>
                <w:sz w:val="20"/>
              </w:rPr>
              <w:t>49.4</w:t>
            </w:r>
          </w:p>
        </w:tc>
        <w:tc>
          <w:tcPr>
            <w:tcW w:w="398" w:type="pct"/>
            <w:vAlign w:val="center"/>
          </w:tcPr>
          <w:p w:rsidR="00532A5F" w:rsidRPr="00532A5F" w:rsidRDefault="00532A5F" w:rsidP="009C4800">
            <w:pPr>
              <w:pStyle w:val="NoSpacing"/>
              <w:ind w:left="-22" w:right="-75"/>
              <w:jc w:val="center"/>
              <w:rPr>
                <w:sz w:val="20"/>
              </w:rPr>
            </w:pPr>
            <w:r w:rsidRPr="00532A5F">
              <w:rPr>
                <w:sz w:val="20"/>
              </w:rPr>
              <w:t>77.0</w:t>
            </w:r>
          </w:p>
        </w:tc>
        <w:tc>
          <w:tcPr>
            <w:tcW w:w="361" w:type="pct"/>
            <w:gridSpan w:val="2"/>
            <w:vAlign w:val="center"/>
          </w:tcPr>
          <w:p w:rsidR="00532A5F" w:rsidRPr="00532A5F" w:rsidRDefault="00532A5F" w:rsidP="009C4800">
            <w:pPr>
              <w:pStyle w:val="NoSpacing"/>
              <w:jc w:val="center"/>
              <w:rPr>
                <w:sz w:val="20"/>
              </w:rPr>
            </w:pPr>
            <w:r w:rsidRPr="00532A5F">
              <w:rPr>
                <w:sz w:val="20"/>
              </w:rPr>
              <w:t>56.7</w:t>
            </w:r>
          </w:p>
        </w:tc>
        <w:tc>
          <w:tcPr>
            <w:tcW w:w="449" w:type="pct"/>
            <w:vAlign w:val="center"/>
          </w:tcPr>
          <w:p w:rsidR="00532A5F" w:rsidRPr="00532A5F" w:rsidRDefault="00532A5F" w:rsidP="009C4800">
            <w:pPr>
              <w:pStyle w:val="NoSpacing"/>
              <w:jc w:val="center"/>
              <w:rPr>
                <w:sz w:val="20"/>
              </w:rPr>
            </w:pPr>
            <w:r w:rsidRPr="00532A5F">
              <w:rPr>
                <w:sz w:val="20"/>
              </w:rPr>
              <w:t>65</w:t>
            </w:r>
          </w:p>
        </w:tc>
        <w:tc>
          <w:tcPr>
            <w:tcW w:w="360" w:type="pct"/>
            <w:gridSpan w:val="2"/>
            <w:vAlign w:val="center"/>
          </w:tcPr>
          <w:p w:rsidR="00532A5F" w:rsidRPr="00532A5F" w:rsidRDefault="00532A5F" w:rsidP="009C4800">
            <w:pPr>
              <w:pStyle w:val="NoSpacing"/>
              <w:jc w:val="center"/>
              <w:rPr>
                <w:sz w:val="20"/>
              </w:rPr>
            </w:pPr>
            <w:r w:rsidRPr="00532A5F">
              <w:rPr>
                <w:sz w:val="20"/>
              </w:rPr>
              <w:t>36.4</w:t>
            </w:r>
          </w:p>
        </w:tc>
        <w:tc>
          <w:tcPr>
            <w:tcW w:w="449" w:type="pct"/>
            <w:vAlign w:val="center"/>
          </w:tcPr>
          <w:p w:rsidR="00532A5F" w:rsidRPr="00532A5F" w:rsidRDefault="00532A5F" w:rsidP="009C4800">
            <w:pPr>
              <w:pStyle w:val="NoSpacing"/>
              <w:jc w:val="center"/>
              <w:rPr>
                <w:sz w:val="20"/>
              </w:rPr>
            </w:pPr>
            <w:r w:rsidRPr="00532A5F">
              <w:rPr>
                <w:sz w:val="20"/>
              </w:rPr>
              <w:t>77</w:t>
            </w:r>
          </w:p>
        </w:tc>
        <w:tc>
          <w:tcPr>
            <w:tcW w:w="361" w:type="pct"/>
            <w:gridSpan w:val="3"/>
            <w:vAlign w:val="center"/>
          </w:tcPr>
          <w:p w:rsidR="00532A5F" w:rsidRPr="00532A5F" w:rsidRDefault="00532A5F" w:rsidP="009C4800">
            <w:pPr>
              <w:pStyle w:val="NoSpacing"/>
              <w:jc w:val="center"/>
              <w:rPr>
                <w:sz w:val="20"/>
              </w:rPr>
            </w:pPr>
            <w:r w:rsidRPr="00532A5F">
              <w:rPr>
                <w:sz w:val="20"/>
              </w:rPr>
              <w:t>37.8</w:t>
            </w:r>
          </w:p>
        </w:tc>
        <w:tc>
          <w:tcPr>
            <w:tcW w:w="396" w:type="pct"/>
            <w:vAlign w:val="center"/>
          </w:tcPr>
          <w:p w:rsidR="00532A5F" w:rsidRPr="00532A5F" w:rsidRDefault="00532A5F" w:rsidP="009C4800">
            <w:pPr>
              <w:pStyle w:val="NoSpacing"/>
              <w:ind w:left="-11" w:right="-90"/>
              <w:jc w:val="center"/>
              <w:rPr>
                <w:sz w:val="20"/>
              </w:rPr>
            </w:pPr>
            <w:r w:rsidRPr="00532A5F">
              <w:rPr>
                <w:sz w:val="20"/>
              </w:rPr>
              <w:t>67</w:t>
            </w:r>
          </w:p>
        </w:tc>
        <w:tc>
          <w:tcPr>
            <w:tcW w:w="362" w:type="pct"/>
            <w:gridSpan w:val="3"/>
            <w:vAlign w:val="center"/>
          </w:tcPr>
          <w:p w:rsidR="00532A5F" w:rsidRPr="00532A5F" w:rsidRDefault="00532A5F" w:rsidP="009C4800">
            <w:pPr>
              <w:pStyle w:val="NoSpacing"/>
              <w:jc w:val="center"/>
              <w:rPr>
                <w:sz w:val="20"/>
              </w:rPr>
            </w:pPr>
            <w:r w:rsidRPr="00532A5F">
              <w:rPr>
                <w:sz w:val="20"/>
              </w:rPr>
              <w:t>35.7</w:t>
            </w:r>
          </w:p>
        </w:tc>
        <w:tc>
          <w:tcPr>
            <w:tcW w:w="374" w:type="pct"/>
            <w:vAlign w:val="center"/>
          </w:tcPr>
          <w:p w:rsidR="00532A5F" w:rsidRPr="009C4800" w:rsidRDefault="00532A5F" w:rsidP="009C4800">
            <w:pPr>
              <w:pStyle w:val="16TableText"/>
              <w:ind w:left="-118" w:right="-87" w:firstLine="0"/>
              <w:rPr>
                <w:rFonts w:asciiTheme="minorHAnsi" w:eastAsia="Arial Unicode MS" w:hAnsiTheme="minorHAnsi" w:cs="Arial Unicode MS"/>
                <w:sz w:val="20"/>
              </w:rPr>
            </w:pPr>
            <w:r w:rsidRPr="009C4800">
              <w:rPr>
                <w:rFonts w:asciiTheme="minorHAnsi" w:eastAsia="Arial Unicode MS" w:hAnsiTheme="minorHAnsi" w:cs="Arial Unicode MS"/>
                <w:sz w:val="20"/>
              </w:rPr>
              <w:t>39</w:t>
            </w:r>
          </w:p>
        </w:tc>
      </w:tr>
      <w:tr w:rsidR="009C4800" w:rsidRPr="00532A5F" w:rsidTr="009C4800">
        <w:trPr>
          <w:jc w:val="center"/>
        </w:trPr>
        <w:tc>
          <w:tcPr>
            <w:tcW w:w="396" w:type="pct"/>
            <w:gridSpan w:val="2"/>
            <w:vAlign w:val="center"/>
          </w:tcPr>
          <w:p w:rsidR="00532A5F" w:rsidRPr="00532A5F" w:rsidRDefault="00532A5F" w:rsidP="009C4800">
            <w:pPr>
              <w:pStyle w:val="NoSpacing"/>
              <w:jc w:val="center"/>
              <w:rPr>
                <w:sz w:val="20"/>
              </w:rPr>
            </w:pPr>
            <w:r>
              <w:rPr>
                <w:sz w:val="20"/>
              </w:rPr>
              <w:t>SD</w:t>
            </w:r>
          </w:p>
        </w:tc>
        <w:tc>
          <w:tcPr>
            <w:tcW w:w="360" w:type="pct"/>
            <w:vAlign w:val="center"/>
          </w:tcPr>
          <w:p w:rsidR="00532A5F" w:rsidRPr="00532A5F" w:rsidRDefault="00532A5F" w:rsidP="009C4800">
            <w:pPr>
              <w:pStyle w:val="NoSpacing"/>
              <w:jc w:val="center"/>
              <w:rPr>
                <w:sz w:val="20"/>
              </w:rPr>
            </w:pPr>
            <w:r w:rsidRPr="00532A5F">
              <w:rPr>
                <w:sz w:val="20"/>
              </w:rPr>
              <w:t>1.4</w:t>
            </w:r>
          </w:p>
        </w:tc>
        <w:tc>
          <w:tcPr>
            <w:tcW w:w="375" w:type="pct"/>
            <w:vAlign w:val="center"/>
          </w:tcPr>
          <w:p w:rsidR="00532A5F" w:rsidRPr="00532A5F" w:rsidRDefault="00532A5F" w:rsidP="009C4800">
            <w:pPr>
              <w:pStyle w:val="NoSpacing"/>
              <w:ind w:left="-48" w:right="-81" w:hanging="11"/>
              <w:jc w:val="center"/>
              <w:rPr>
                <w:sz w:val="20"/>
              </w:rPr>
            </w:pPr>
            <w:r w:rsidRPr="00532A5F">
              <w:rPr>
                <w:sz w:val="20"/>
              </w:rPr>
              <w:t>3.8</w:t>
            </w:r>
          </w:p>
        </w:tc>
        <w:tc>
          <w:tcPr>
            <w:tcW w:w="360" w:type="pct"/>
            <w:gridSpan w:val="2"/>
            <w:vAlign w:val="center"/>
          </w:tcPr>
          <w:p w:rsidR="00532A5F" w:rsidRPr="00532A5F" w:rsidRDefault="00532A5F" w:rsidP="009C4800">
            <w:pPr>
              <w:pStyle w:val="NoSpacing"/>
              <w:jc w:val="center"/>
              <w:rPr>
                <w:sz w:val="20"/>
              </w:rPr>
            </w:pPr>
            <w:r w:rsidRPr="00532A5F">
              <w:rPr>
                <w:sz w:val="20"/>
              </w:rPr>
              <w:t>3.4</w:t>
            </w:r>
          </w:p>
        </w:tc>
        <w:tc>
          <w:tcPr>
            <w:tcW w:w="398" w:type="pct"/>
            <w:vAlign w:val="center"/>
          </w:tcPr>
          <w:p w:rsidR="00532A5F" w:rsidRPr="00532A5F" w:rsidRDefault="00532A5F" w:rsidP="009C4800">
            <w:pPr>
              <w:pStyle w:val="NoSpacing"/>
              <w:ind w:left="-22" w:right="-75"/>
              <w:jc w:val="center"/>
              <w:rPr>
                <w:sz w:val="20"/>
              </w:rPr>
            </w:pPr>
            <w:r w:rsidRPr="00532A5F">
              <w:rPr>
                <w:sz w:val="20"/>
              </w:rPr>
              <w:t>1.9</w:t>
            </w:r>
          </w:p>
        </w:tc>
        <w:tc>
          <w:tcPr>
            <w:tcW w:w="361" w:type="pct"/>
            <w:gridSpan w:val="2"/>
            <w:vAlign w:val="center"/>
          </w:tcPr>
          <w:p w:rsidR="00532A5F" w:rsidRPr="00532A5F" w:rsidRDefault="00532A5F" w:rsidP="009C4800">
            <w:pPr>
              <w:pStyle w:val="NoSpacing"/>
              <w:jc w:val="center"/>
              <w:rPr>
                <w:sz w:val="20"/>
              </w:rPr>
            </w:pPr>
            <w:r w:rsidRPr="00532A5F">
              <w:rPr>
                <w:sz w:val="20"/>
              </w:rPr>
              <w:t>1.7</w:t>
            </w:r>
          </w:p>
        </w:tc>
        <w:tc>
          <w:tcPr>
            <w:tcW w:w="449" w:type="pct"/>
            <w:vAlign w:val="center"/>
          </w:tcPr>
          <w:p w:rsidR="00532A5F" w:rsidRPr="00532A5F" w:rsidRDefault="00532A5F" w:rsidP="009C4800">
            <w:pPr>
              <w:pStyle w:val="NoSpacing"/>
              <w:jc w:val="center"/>
              <w:rPr>
                <w:sz w:val="20"/>
              </w:rPr>
            </w:pPr>
            <w:r w:rsidRPr="00532A5F">
              <w:rPr>
                <w:sz w:val="20"/>
              </w:rPr>
              <w:t>5.4</w:t>
            </w:r>
          </w:p>
        </w:tc>
        <w:tc>
          <w:tcPr>
            <w:tcW w:w="360" w:type="pct"/>
            <w:gridSpan w:val="2"/>
            <w:vAlign w:val="center"/>
          </w:tcPr>
          <w:p w:rsidR="00532A5F" w:rsidRPr="00532A5F" w:rsidRDefault="00532A5F" w:rsidP="009C4800">
            <w:pPr>
              <w:pStyle w:val="NoSpacing"/>
              <w:jc w:val="center"/>
              <w:rPr>
                <w:sz w:val="20"/>
              </w:rPr>
            </w:pPr>
            <w:r w:rsidRPr="00532A5F">
              <w:rPr>
                <w:sz w:val="20"/>
              </w:rPr>
              <w:t>1.7</w:t>
            </w:r>
          </w:p>
        </w:tc>
        <w:tc>
          <w:tcPr>
            <w:tcW w:w="449" w:type="pct"/>
            <w:vAlign w:val="center"/>
          </w:tcPr>
          <w:p w:rsidR="00532A5F" w:rsidRPr="00532A5F" w:rsidRDefault="00532A5F" w:rsidP="009C4800">
            <w:pPr>
              <w:pStyle w:val="NoSpacing"/>
              <w:jc w:val="center"/>
              <w:rPr>
                <w:sz w:val="20"/>
              </w:rPr>
            </w:pPr>
            <w:r w:rsidRPr="00532A5F">
              <w:rPr>
                <w:sz w:val="20"/>
              </w:rPr>
              <w:t>2.3</w:t>
            </w:r>
          </w:p>
        </w:tc>
        <w:tc>
          <w:tcPr>
            <w:tcW w:w="361" w:type="pct"/>
            <w:gridSpan w:val="3"/>
            <w:vAlign w:val="center"/>
          </w:tcPr>
          <w:p w:rsidR="00532A5F" w:rsidRPr="00532A5F" w:rsidRDefault="00532A5F" w:rsidP="009C4800">
            <w:pPr>
              <w:pStyle w:val="NoSpacing"/>
              <w:jc w:val="center"/>
              <w:rPr>
                <w:sz w:val="20"/>
              </w:rPr>
            </w:pPr>
            <w:r w:rsidRPr="00532A5F">
              <w:rPr>
                <w:sz w:val="20"/>
              </w:rPr>
              <w:t>1.7</w:t>
            </w:r>
          </w:p>
        </w:tc>
        <w:tc>
          <w:tcPr>
            <w:tcW w:w="396" w:type="pct"/>
            <w:vAlign w:val="center"/>
          </w:tcPr>
          <w:p w:rsidR="00532A5F" w:rsidRPr="00532A5F" w:rsidRDefault="00532A5F" w:rsidP="009C4800">
            <w:pPr>
              <w:pStyle w:val="NoSpacing"/>
              <w:ind w:left="-11" w:right="-90"/>
              <w:jc w:val="center"/>
              <w:rPr>
                <w:sz w:val="20"/>
              </w:rPr>
            </w:pPr>
            <w:r w:rsidRPr="00532A5F">
              <w:rPr>
                <w:sz w:val="20"/>
              </w:rPr>
              <w:t>3.6</w:t>
            </w:r>
          </w:p>
        </w:tc>
        <w:tc>
          <w:tcPr>
            <w:tcW w:w="362" w:type="pct"/>
            <w:gridSpan w:val="3"/>
            <w:vAlign w:val="center"/>
          </w:tcPr>
          <w:p w:rsidR="00532A5F" w:rsidRPr="00532A5F" w:rsidRDefault="00532A5F" w:rsidP="009C4800">
            <w:pPr>
              <w:pStyle w:val="NoSpacing"/>
              <w:jc w:val="center"/>
              <w:rPr>
                <w:sz w:val="20"/>
              </w:rPr>
            </w:pPr>
            <w:r w:rsidRPr="00532A5F">
              <w:rPr>
                <w:sz w:val="20"/>
              </w:rPr>
              <w:t>4.6</w:t>
            </w:r>
          </w:p>
        </w:tc>
        <w:tc>
          <w:tcPr>
            <w:tcW w:w="374" w:type="pct"/>
            <w:vAlign w:val="center"/>
          </w:tcPr>
          <w:p w:rsidR="00532A5F" w:rsidRPr="009C4800" w:rsidRDefault="00532A5F" w:rsidP="009C4800">
            <w:pPr>
              <w:pStyle w:val="16TableText"/>
              <w:ind w:left="-118" w:right="-87" w:firstLine="0"/>
              <w:rPr>
                <w:rFonts w:asciiTheme="minorHAnsi" w:eastAsia="Arial Unicode MS" w:hAnsiTheme="minorHAnsi" w:cs="Arial Unicode MS"/>
                <w:sz w:val="20"/>
              </w:rPr>
            </w:pPr>
            <w:r w:rsidRPr="009C4800">
              <w:rPr>
                <w:rFonts w:asciiTheme="minorHAnsi" w:eastAsia="Arial Unicode MS" w:hAnsiTheme="minorHAnsi" w:cs="Arial Unicode MS"/>
                <w:sz w:val="20"/>
              </w:rPr>
              <w:t>8.4</w:t>
            </w:r>
          </w:p>
        </w:tc>
      </w:tr>
      <w:tr w:rsidR="009C4800" w:rsidRPr="00532A5F" w:rsidTr="009C4800">
        <w:trPr>
          <w:jc w:val="center"/>
        </w:trPr>
        <w:tc>
          <w:tcPr>
            <w:tcW w:w="396" w:type="pct"/>
            <w:gridSpan w:val="2"/>
            <w:tcBorders>
              <w:bottom w:val="single" w:sz="2" w:space="0" w:color="auto"/>
            </w:tcBorders>
            <w:vAlign w:val="center"/>
          </w:tcPr>
          <w:p w:rsidR="00532A5F" w:rsidRPr="00532A5F" w:rsidRDefault="00532A5F" w:rsidP="009C4800">
            <w:pPr>
              <w:pStyle w:val="NoSpacing"/>
              <w:jc w:val="center"/>
              <w:rPr>
                <w:sz w:val="20"/>
              </w:rPr>
            </w:pPr>
            <w:r>
              <w:rPr>
                <w:sz w:val="20"/>
              </w:rPr>
              <w:t>Mean</w:t>
            </w:r>
          </w:p>
        </w:tc>
        <w:tc>
          <w:tcPr>
            <w:tcW w:w="360" w:type="pct"/>
            <w:tcBorders>
              <w:bottom w:val="single" w:sz="2" w:space="0" w:color="auto"/>
            </w:tcBorders>
            <w:vAlign w:val="center"/>
          </w:tcPr>
          <w:p w:rsidR="00532A5F" w:rsidRPr="00532A5F" w:rsidRDefault="00532A5F" w:rsidP="009C4800">
            <w:pPr>
              <w:pStyle w:val="NoSpacing"/>
              <w:jc w:val="center"/>
              <w:rPr>
                <w:sz w:val="20"/>
              </w:rPr>
            </w:pPr>
            <w:r w:rsidRPr="00532A5F">
              <w:rPr>
                <w:sz w:val="20"/>
              </w:rPr>
              <w:t>54.8</w:t>
            </w:r>
          </w:p>
        </w:tc>
        <w:tc>
          <w:tcPr>
            <w:tcW w:w="375" w:type="pct"/>
            <w:tcBorders>
              <w:bottom w:val="single" w:sz="2" w:space="0" w:color="auto"/>
            </w:tcBorders>
            <w:vAlign w:val="center"/>
          </w:tcPr>
          <w:p w:rsidR="00532A5F" w:rsidRPr="00532A5F" w:rsidRDefault="00532A5F" w:rsidP="009C4800">
            <w:pPr>
              <w:pStyle w:val="NoSpacing"/>
              <w:ind w:left="-48" w:right="-81" w:hanging="11"/>
              <w:jc w:val="center"/>
              <w:rPr>
                <w:sz w:val="20"/>
              </w:rPr>
            </w:pPr>
            <w:r w:rsidRPr="00532A5F">
              <w:rPr>
                <w:sz w:val="20"/>
              </w:rPr>
              <w:t>66.2</w:t>
            </w:r>
          </w:p>
        </w:tc>
        <w:tc>
          <w:tcPr>
            <w:tcW w:w="360" w:type="pct"/>
            <w:gridSpan w:val="2"/>
            <w:tcBorders>
              <w:bottom w:val="single" w:sz="2" w:space="0" w:color="auto"/>
            </w:tcBorders>
            <w:vAlign w:val="center"/>
          </w:tcPr>
          <w:p w:rsidR="00532A5F" w:rsidRPr="00532A5F" w:rsidRDefault="00532A5F" w:rsidP="009C4800">
            <w:pPr>
              <w:pStyle w:val="NoSpacing"/>
              <w:jc w:val="center"/>
              <w:rPr>
                <w:sz w:val="20"/>
              </w:rPr>
            </w:pPr>
            <w:r w:rsidRPr="00532A5F">
              <w:rPr>
                <w:sz w:val="20"/>
              </w:rPr>
              <w:t>52.2</w:t>
            </w:r>
          </w:p>
        </w:tc>
        <w:tc>
          <w:tcPr>
            <w:tcW w:w="398" w:type="pct"/>
            <w:tcBorders>
              <w:bottom w:val="single" w:sz="2" w:space="0" w:color="auto"/>
            </w:tcBorders>
            <w:vAlign w:val="center"/>
          </w:tcPr>
          <w:p w:rsidR="00532A5F" w:rsidRPr="00532A5F" w:rsidRDefault="00532A5F" w:rsidP="009C4800">
            <w:pPr>
              <w:pStyle w:val="NoSpacing"/>
              <w:ind w:left="-22" w:right="-75"/>
              <w:jc w:val="center"/>
              <w:rPr>
                <w:sz w:val="20"/>
              </w:rPr>
            </w:pPr>
            <w:r w:rsidRPr="00532A5F">
              <w:rPr>
                <w:sz w:val="20"/>
              </w:rPr>
              <w:t>83.5</w:t>
            </w:r>
          </w:p>
        </w:tc>
        <w:tc>
          <w:tcPr>
            <w:tcW w:w="361" w:type="pct"/>
            <w:gridSpan w:val="2"/>
            <w:tcBorders>
              <w:bottom w:val="single" w:sz="2" w:space="0" w:color="auto"/>
            </w:tcBorders>
            <w:vAlign w:val="center"/>
          </w:tcPr>
          <w:p w:rsidR="00532A5F" w:rsidRPr="00532A5F" w:rsidRDefault="00532A5F" w:rsidP="009C4800">
            <w:pPr>
              <w:pStyle w:val="NoSpacing"/>
              <w:jc w:val="center"/>
              <w:rPr>
                <w:sz w:val="20"/>
              </w:rPr>
            </w:pPr>
            <w:r w:rsidRPr="00532A5F">
              <w:rPr>
                <w:sz w:val="20"/>
              </w:rPr>
              <w:t>60.4</w:t>
            </w:r>
          </w:p>
        </w:tc>
        <w:tc>
          <w:tcPr>
            <w:tcW w:w="449" w:type="pct"/>
            <w:tcBorders>
              <w:bottom w:val="single" w:sz="2" w:space="0" w:color="auto"/>
            </w:tcBorders>
            <w:vAlign w:val="center"/>
          </w:tcPr>
          <w:p w:rsidR="00532A5F" w:rsidRPr="00532A5F" w:rsidRDefault="00532A5F" w:rsidP="009C4800">
            <w:pPr>
              <w:pStyle w:val="NoSpacing"/>
              <w:jc w:val="center"/>
              <w:rPr>
                <w:sz w:val="20"/>
              </w:rPr>
            </w:pPr>
            <w:r w:rsidRPr="00532A5F">
              <w:rPr>
                <w:sz w:val="20"/>
              </w:rPr>
              <w:t>75</w:t>
            </w:r>
          </w:p>
        </w:tc>
        <w:tc>
          <w:tcPr>
            <w:tcW w:w="360" w:type="pct"/>
            <w:gridSpan w:val="2"/>
            <w:tcBorders>
              <w:bottom w:val="single" w:sz="2" w:space="0" w:color="auto"/>
            </w:tcBorders>
            <w:vAlign w:val="center"/>
          </w:tcPr>
          <w:p w:rsidR="00532A5F" w:rsidRPr="00532A5F" w:rsidRDefault="00532A5F" w:rsidP="009C4800">
            <w:pPr>
              <w:pStyle w:val="NoSpacing"/>
              <w:jc w:val="center"/>
              <w:rPr>
                <w:sz w:val="20"/>
              </w:rPr>
            </w:pPr>
            <w:r w:rsidRPr="00532A5F">
              <w:rPr>
                <w:sz w:val="20"/>
              </w:rPr>
              <w:t>40.4</w:t>
            </w:r>
          </w:p>
        </w:tc>
        <w:tc>
          <w:tcPr>
            <w:tcW w:w="449" w:type="pct"/>
            <w:tcBorders>
              <w:bottom w:val="single" w:sz="2" w:space="0" w:color="auto"/>
            </w:tcBorders>
            <w:vAlign w:val="center"/>
          </w:tcPr>
          <w:p w:rsidR="00532A5F" w:rsidRPr="00532A5F" w:rsidRDefault="00532A5F" w:rsidP="009C4800">
            <w:pPr>
              <w:pStyle w:val="NoSpacing"/>
              <w:jc w:val="center"/>
              <w:rPr>
                <w:sz w:val="20"/>
              </w:rPr>
            </w:pPr>
            <w:r w:rsidRPr="00532A5F">
              <w:rPr>
                <w:sz w:val="20"/>
              </w:rPr>
              <w:t>83.7</w:t>
            </w:r>
          </w:p>
        </w:tc>
        <w:tc>
          <w:tcPr>
            <w:tcW w:w="361" w:type="pct"/>
            <w:gridSpan w:val="3"/>
            <w:tcBorders>
              <w:bottom w:val="single" w:sz="2" w:space="0" w:color="auto"/>
            </w:tcBorders>
            <w:vAlign w:val="center"/>
          </w:tcPr>
          <w:p w:rsidR="00532A5F" w:rsidRPr="00532A5F" w:rsidRDefault="00532A5F" w:rsidP="009C4800">
            <w:pPr>
              <w:pStyle w:val="NoSpacing"/>
              <w:jc w:val="center"/>
              <w:rPr>
                <w:sz w:val="20"/>
              </w:rPr>
            </w:pPr>
            <w:r w:rsidRPr="00532A5F">
              <w:rPr>
                <w:sz w:val="20"/>
              </w:rPr>
              <w:t>41.5</w:t>
            </w:r>
          </w:p>
        </w:tc>
        <w:tc>
          <w:tcPr>
            <w:tcW w:w="396" w:type="pct"/>
            <w:tcBorders>
              <w:bottom w:val="single" w:sz="2" w:space="0" w:color="auto"/>
            </w:tcBorders>
            <w:vAlign w:val="center"/>
          </w:tcPr>
          <w:p w:rsidR="00532A5F" w:rsidRPr="00532A5F" w:rsidRDefault="00532A5F" w:rsidP="009C4800">
            <w:pPr>
              <w:pStyle w:val="NoSpacing"/>
              <w:ind w:left="-11" w:right="-90"/>
              <w:jc w:val="center"/>
              <w:rPr>
                <w:sz w:val="20"/>
              </w:rPr>
            </w:pPr>
            <w:r w:rsidRPr="00532A5F">
              <w:rPr>
                <w:sz w:val="20"/>
              </w:rPr>
              <w:t>75.5</w:t>
            </w:r>
          </w:p>
        </w:tc>
        <w:tc>
          <w:tcPr>
            <w:tcW w:w="362" w:type="pct"/>
            <w:gridSpan w:val="3"/>
            <w:tcBorders>
              <w:bottom w:val="single" w:sz="2" w:space="0" w:color="auto"/>
            </w:tcBorders>
            <w:vAlign w:val="center"/>
          </w:tcPr>
          <w:p w:rsidR="00532A5F" w:rsidRPr="00532A5F" w:rsidRDefault="00532A5F" w:rsidP="009C4800">
            <w:pPr>
              <w:pStyle w:val="NoSpacing"/>
              <w:jc w:val="center"/>
              <w:rPr>
                <w:sz w:val="20"/>
              </w:rPr>
            </w:pPr>
            <w:r w:rsidRPr="00532A5F">
              <w:rPr>
                <w:sz w:val="20"/>
              </w:rPr>
              <w:t>52.8</w:t>
            </w:r>
          </w:p>
        </w:tc>
        <w:tc>
          <w:tcPr>
            <w:tcW w:w="374" w:type="pct"/>
            <w:tcBorders>
              <w:bottom w:val="single" w:sz="2" w:space="0" w:color="auto"/>
            </w:tcBorders>
            <w:vAlign w:val="center"/>
          </w:tcPr>
          <w:p w:rsidR="00532A5F" w:rsidRPr="009C4800" w:rsidRDefault="00532A5F" w:rsidP="009C4800">
            <w:pPr>
              <w:pStyle w:val="16TableText"/>
              <w:ind w:left="-118" w:right="-87" w:firstLine="0"/>
              <w:rPr>
                <w:rFonts w:asciiTheme="minorHAnsi" w:eastAsia="Arial Unicode MS" w:hAnsiTheme="minorHAnsi" w:cs="Arial Unicode MS"/>
                <w:sz w:val="20"/>
              </w:rPr>
            </w:pPr>
            <w:r w:rsidRPr="009C4800">
              <w:rPr>
                <w:rFonts w:asciiTheme="minorHAnsi" w:eastAsia="Arial Unicode MS" w:hAnsiTheme="minorHAnsi" w:cs="Arial Unicode MS"/>
                <w:sz w:val="20"/>
              </w:rPr>
              <w:t>68.8</w:t>
            </w:r>
          </w:p>
        </w:tc>
      </w:tr>
      <w:tr w:rsidR="009C4800" w:rsidRPr="00532A5F" w:rsidTr="009C4800">
        <w:trPr>
          <w:jc w:val="center"/>
        </w:trPr>
        <w:tc>
          <w:tcPr>
            <w:tcW w:w="396" w:type="pct"/>
            <w:gridSpan w:val="2"/>
            <w:tcBorders>
              <w:top w:val="single" w:sz="2" w:space="0" w:color="auto"/>
              <w:bottom w:val="single" w:sz="2" w:space="0" w:color="auto"/>
            </w:tcBorders>
            <w:vAlign w:val="center"/>
          </w:tcPr>
          <w:p w:rsidR="00532A5F" w:rsidRPr="00532A5F" w:rsidRDefault="00532A5F" w:rsidP="009C4800">
            <w:pPr>
              <w:pStyle w:val="NoSpacing"/>
              <w:jc w:val="center"/>
              <w:rPr>
                <w:sz w:val="20"/>
              </w:rPr>
            </w:pPr>
            <w:r>
              <w:rPr>
                <w:sz w:val="20"/>
              </w:rPr>
              <w:t>Mould</w:t>
            </w:r>
          </w:p>
        </w:tc>
        <w:tc>
          <w:tcPr>
            <w:tcW w:w="770" w:type="pct"/>
            <w:gridSpan w:val="3"/>
            <w:tcBorders>
              <w:top w:val="single" w:sz="2" w:space="0" w:color="auto"/>
              <w:bottom w:val="single" w:sz="2" w:space="0" w:color="auto"/>
            </w:tcBorders>
            <w:vAlign w:val="center"/>
          </w:tcPr>
          <w:p w:rsidR="00532A5F" w:rsidRPr="00532A5F" w:rsidRDefault="00532A5F" w:rsidP="009C4800">
            <w:pPr>
              <w:pStyle w:val="NoSpacing"/>
              <w:jc w:val="center"/>
              <w:rPr>
                <w:sz w:val="20"/>
              </w:rPr>
            </w:pPr>
            <w:r w:rsidRPr="00532A5F">
              <w:rPr>
                <w:sz w:val="20"/>
              </w:rPr>
              <w:sym w:font="Wingdings 2" w:char="F050"/>
            </w:r>
          </w:p>
        </w:tc>
        <w:tc>
          <w:tcPr>
            <w:tcW w:w="749" w:type="pct"/>
            <w:gridSpan w:val="3"/>
            <w:tcBorders>
              <w:top w:val="single" w:sz="2" w:space="0" w:color="auto"/>
              <w:bottom w:val="single" w:sz="2" w:space="0" w:color="auto"/>
            </w:tcBorders>
            <w:vAlign w:val="center"/>
          </w:tcPr>
          <w:p w:rsidR="00532A5F" w:rsidRPr="00532A5F" w:rsidRDefault="00532A5F" w:rsidP="009C4800">
            <w:pPr>
              <w:pStyle w:val="NoSpacing"/>
              <w:jc w:val="center"/>
              <w:rPr>
                <w:sz w:val="20"/>
              </w:rPr>
            </w:pPr>
            <w:r w:rsidRPr="00532A5F">
              <w:rPr>
                <w:sz w:val="20"/>
              </w:rPr>
              <w:sym w:font="Wingdings 2" w:char="F04F"/>
            </w:r>
          </w:p>
        </w:tc>
        <w:tc>
          <w:tcPr>
            <w:tcW w:w="823" w:type="pct"/>
            <w:gridSpan w:val="3"/>
            <w:tcBorders>
              <w:top w:val="single" w:sz="2" w:space="0" w:color="auto"/>
              <w:bottom w:val="single" w:sz="2" w:space="0" w:color="auto"/>
            </w:tcBorders>
            <w:vAlign w:val="center"/>
          </w:tcPr>
          <w:p w:rsidR="00532A5F" w:rsidRPr="00532A5F" w:rsidRDefault="00532A5F" w:rsidP="009C4800">
            <w:pPr>
              <w:pStyle w:val="NoSpacing"/>
              <w:jc w:val="center"/>
              <w:rPr>
                <w:sz w:val="20"/>
              </w:rPr>
            </w:pPr>
            <w:r w:rsidRPr="00532A5F">
              <w:rPr>
                <w:sz w:val="20"/>
              </w:rPr>
              <w:sym w:font="Wingdings 2" w:char="F050"/>
            </w:r>
          </w:p>
        </w:tc>
        <w:tc>
          <w:tcPr>
            <w:tcW w:w="832" w:type="pct"/>
            <w:gridSpan w:val="4"/>
            <w:tcBorders>
              <w:top w:val="single" w:sz="2" w:space="0" w:color="auto"/>
              <w:bottom w:val="single" w:sz="2" w:space="0" w:color="auto"/>
            </w:tcBorders>
            <w:vAlign w:val="center"/>
          </w:tcPr>
          <w:p w:rsidR="00532A5F" w:rsidRPr="00532A5F" w:rsidRDefault="00532A5F" w:rsidP="009C4800">
            <w:pPr>
              <w:pStyle w:val="NoSpacing"/>
              <w:jc w:val="center"/>
              <w:rPr>
                <w:sz w:val="20"/>
              </w:rPr>
            </w:pPr>
            <w:r w:rsidRPr="00532A5F">
              <w:rPr>
                <w:sz w:val="20"/>
              </w:rPr>
              <w:sym w:font="Wingdings 2" w:char="F04F"/>
            </w:r>
          </w:p>
        </w:tc>
        <w:tc>
          <w:tcPr>
            <w:tcW w:w="742" w:type="pct"/>
            <w:gridSpan w:val="3"/>
            <w:tcBorders>
              <w:top w:val="single" w:sz="2" w:space="0" w:color="auto"/>
              <w:bottom w:val="single" w:sz="2" w:space="0" w:color="auto"/>
            </w:tcBorders>
            <w:vAlign w:val="center"/>
          </w:tcPr>
          <w:p w:rsidR="00532A5F" w:rsidRPr="00532A5F" w:rsidRDefault="00532A5F" w:rsidP="009C4800">
            <w:pPr>
              <w:pStyle w:val="NoSpacing"/>
              <w:jc w:val="center"/>
              <w:rPr>
                <w:sz w:val="20"/>
              </w:rPr>
            </w:pPr>
            <w:r w:rsidRPr="00532A5F">
              <w:rPr>
                <w:sz w:val="20"/>
              </w:rPr>
              <w:sym w:font="Wingdings 2" w:char="F04F"/>
            </w:r>
          </w:p>
        </w:tc>
        <w:tc>
          <w:tcPr>
            <w:tcW w:w="689" w:type="pct"/>
            <w:gridSpan w:val="3"/>
            <w:tcBorders>
              <w:top w:val="single" w:sz="2" w:space="0" w:color="auto"/>
              <w:bottom w:val="single" w:sz="2" w:space="0" w:color="auto"/>
            </w:tcBorders>
            <w:vAlign w:val="center"/>
          </w:tcPr>
          <w:p w:rsidR="00532A5F" w:rsidRPr="00532A5F" w:rsidRDefault="00532A5F" w:rsidP="009C4800">
            <w:pPr>
              <w:pStyle w:val="NoSpacing"/>
              <w:jc w:val="center"/>
              <w:rPr>
                <w:sz w:val="20"/>
              </w:rPr>
            </w:pPr>
            <w:r w:rsidRPr="00532A5F">
              <w:rPr>
                <w:sz w:val="20"/>
              </w:rPr>
              <w:sym w:font="Wingdings 2" w:char="F050"/>
            </w:r>
          </w:p>
        </w:tc>
      </w:tr>
    </w:tbl>
    <w:p w:rsidR="00532A5F" w:rsidRPr="00532A5F" w:rsidRDefault="00532A5F" w:rsidP="00532A5F">
      <w:pPr>
        <w:pStyle w:val="06BodyMaintext"/>
        <w:spacing w:line="240" w:lineRule="auto"/>
        <w:ind w:firstLine="0"/>
        <w:rPr>
          <w:rFonts w:ascii="Arial Unicode MS" w:eastAsia="Arial Unicode MS" w:hAnsi="Arial Unicode MS" w:cs="Arial Unicode MS"/>
          <w:b/>
          <w:sz w:val="20"/>
        </w:rPr>
      </w:pPr>
    </w:p>
    <w:p w:rsidR="00EF3F05" w:rsidRDefault="00EF3F05" w:rsidP="00532A5F">
      <w:pPr>
        <w:pStyle w:val="06BodyMaintext"/>
        <w:spacing w:line="240" w:lineRule="auto"/>
        <w:ind w:firstLine="0"/>
        <w:rPr>
          <w:rFonts w:ascii="Arial Unicode MS" w:eastAsia="Arial Unicode MS" w:hAnsi="Arial Unicode MS" w:cs="Arial Unicode MS"/>
          <w:sz w:val="20"/>
        </w:rPr>
      </w:pPr>
      <w:r>
        <w:rPr>
          <w:rFonts w:ascii="Arial Unicode MS" w:eastAsia="Arial Unicode MS" w:hAnsi="Arial Unicode MS" w:cs="Arial Unicode MS"/>
          <w:sz w:val="20"/>
        </w:rPr>
        <w:t>Values</w:t>
      </w:r>
      <w:r w:rsidRPr="00532A5F">
        <w:rPr>
          <w:rFonts w:ascii="Arial Unicode MS" w:eastAsia="Arial Unicode MS" w:hAnsi="Arial Unicode MS" w:cs="Arial Unicode MS"/>
          <w:sz w:val="20"/>
        </w:rPr>
        <w:t xml:space="preserve"> of relative humidity above 60% were recorded indoors in No.2, No.3 and No.6. In house No.3, the average relative humidity was 60.4%. This corresponds with the results from the occupant interview, as the three homes with the highest average relative humidity all reported the presence of </w:t>
      </w:r>
      <w:r w:rsidRPr="00EF3F05">
        <w:rPr>
          <w:rFonts w:ascii="Arial Unicode MS" w:eastAsia="Arial Unicode MS" w:hAnsi="Arial Unicode MS" w:cs="Arial Unicode MS"/>
          <w:sz w:val="20"/>
          <w:lang w:val="en-GB"/>
        </w:rPr>
        <w:t>mould</w:t>
      </w:r>
      <w:r w:rsidRPr="00532A5F">
        <w:rPr>
          <w:rFonts w:ascii="Arial Unicode MS" w:eastAsia="Arial Unicode MS" w:hAnsi="Arial Unicode MS" w:cs="Arial Unicode MS"/>
          <w:sz w:val="20"/>
        </w:rPr>
        <w:t xml:space="preserve"> within the last twelve months. Given that the homes are only two years old, the presence of </w:t>
      </w:r>
      <w:r w:rsidRPr="00EF3F05">
        <w:rPr>
          <w:rFonts w:ascii="Arial Unicode MS" w:eastAsia="Arial Unicode MS" w:hAnsi="Arial Unicode MS" w:cs="Arial Unicode MS"/>
          <w:sz w:val="20"/>
          <w:lang w:val="en-GB"/>
        </w:rPr>
        <w:t>mould</w:t>
      </w:r>
      <w:r w:rsidRPr="00532A5F">
        <w:rPr>
          <w:rFonts w:ascii="Arial Unicode MS" w:eastAsia="Arial Unicode MS" w:hAnsi="Arial Unicode MS" w:cs="Arial Unicode MS"/>
          <w:sz w:val="20"/>
        </w:rPr>
        <w:t xml:space="preserve"> in half is an alarming statistic. The worst affected areas are in the back bedrooms and bathrooms.</w:t>
      </w:r>
    </w:p>
    <w:p w:rsidR="00EF3F05" w:rsidRDefault="00EF3F05" w:rsidP="00532A5F">
      <w:pPr>
        <w:pStyle w:val="06BodyMaintext"/>
        <w:spacing w:line="240" w:lineRule="auto"/>
        <w:ind w:firstLine="0"/>
        <w:rPr>
          <w:rFonts w:ascii="Arial Unicode MS" w:eastAsia="Arial Unicode MS" w:hAnsi="Arial Unicode MS" w:cs="Arial Unicode MS"/>
          <w:sz w:val="20"/>
        </w:rPr>
      </w:pPr>
    </w:p>
    <w:p w:rsidR="00532A5F" w:rsidRDefault="00532A5F" w:rsidP="00532A5F">
      <w:pPr>
        <w:pStyle w:val="06BodyMaintext"/>
        <w:spacing w:line="240" w:lineRule="auto"/>
        <w:ind w:firstLine="0"/>
        <w:rPr>
          <w:rFonts w:ascii="Arial Unicode MS" w:eastAsia="Arial Unicode MS" w:hAnsi="Arial Unicode MS" w:cs="Arial Unicode MS"/>
          <w:sz w:val="20"/>
        </w:rPr>
      </w:pPr>
      <w:r w:rsidRPr="000C60F4">
        <w:rPr>
          <w:rFonts w:ascii="Arial Unicode MS" w:eastAsia="Arial Unicode MS" w:hAnsi="Arial Unicode MS" w:cs="Arial Unicode MS"/>
          <w:sz w:val="20"/>
        </w:rPr>
        <w:t xml:space="preserve">Fungal species require sufficient moisture, typically &gt;60% relative humidity and adequate warmth for hyphal growth and spore germination </w:t>
      </w:r>
      <w:r w:rsidR="007F40FF" w:rsidRPr="000C60F4">
        <w:rPr>
          <w:rFonts w:ascii="Arial Unicode MS" w:eastAsia="Arial Unicode MS" w:hAnsi="Arial Unicode MS" w:cs="Arial Unicode MS"/>
          <w:sz w:val="20"/>
        </w:rPr>
        <w:fldChar w:fldCharType="begin"/>
      </w:r>
      <w:r w:rsidR="004C0A47" w:rsidRPr="000C60F4">
        <w:rPr>
          <w:rFonts w:ascii="Arial Unicode MS" w:eastAsia="Arial Unicode MS" w:hAnsi="Arial Unicode MS" w:cs="Arial Unicode MS"/>
          <w:sz w:val="20"/>
        </w:rPr>
        <w:instrText>ADDIN RW.CITE{{551 Crook,Brian 2010}}</w:instrText>
      </w:r>
      <w:r w:rsidR="007F40FF" w:rsidRPr="000C60F4">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(Crook et al. 2010)</w:t>
      </w:r>
      <w:r w:rsidR="007F40FF" w:rsidRPr="000C60F4">
        <w:rPr>
          <w:rFonts w:ascii="Arial Unicode MS" w:eastAsia="Arial Unicode MS" w:hAnsi="Arial Unicode MS" w:cs="Arial Unicode MS"/>
          <w:sz w:val="20"/>
        </w:rPr>
        <w:fldChar w:fldCharType="end"/>
      </w:r>
      <w:r w:rsidRPr="000C60F4">
        <w:rPr>
          <w:rFonts w:ascii="Arial Unicode MS" w:eastAsia="Arial Unicode MS" w:hAnsi="Arial Unicode MS" w:cs="Arial Unicode MS"/>
          <w:sz w:val="20"/>
        </w:rPr>
        <w:t xml:space="preserve">. As explained by Crook and Burton </w:t>
      </w:r>
      <w:r w:rsidR="007F40FF" w:rsidRPr="000C60F4">
        <w:rPr>
          <w:rFonts w:ascii="Arial Unicode MS" w:eastAsia="Arial Unicode MS" w:hAnsi="Arial Unicode MS" w:cs="Arial Unicode MS"/>
          <w:sz w:val="20"/>
        </w:rPr>
        <w:fldChar w:fldCharType="begin"/>
      </w:r>
      <w:r w:rsidR="00657189">
        <w:rPr>
          <w:rFonts w:ascii="Arial Unicode MS" w:eastAsia="Arial Unicode MS" w:hAnsi="Arial Unicode MS" w:cs="Arial Unicode MS"/>
          <w:sz w:val="20"/>
        </w:rPr>
        <w:instrText>ADDIN RW.CITE{{551 Crook,Brian 2010 /a}}</w:instrText>
      </w:r>
      <w:r w:rsidR="007F40FF" w:rsidRPr="000C60F4">
        <w:rPr>
          <w:rFonts w:ascii="Arial Unicode MS" w:eastAsia="Arial Unicode MS" w:hAnsi="Arial Unicode MS" w:cs="Arial Unicode MS"/>
          <w:sz w:val="20"/>
        </w:rPr>
        <w:fldChar w:fldCharType="separate"/>
      </w:r>
      <w:r w:rsidR="00657189" w:rsidRPr="00657189">
        <w:rPr>
          <w:rFonts w:ascii="Arial Unicode MS" w:eastAsia="Arial Unicode MS" w:hAnsi="Arial Unicode MS" w:cs="Arial Unicode MS"/>
          <w:sz w:val="20"/>
        </w:rPr>
        <w:t>(2010)</w:t>
      </w:r>
      <w:r w:rsidR="007F40FF" w:rsidRPr="000C60F4">
        <w:rPr>
          <w:rFonts w:ascii="Arial Unicode MS" w:eastAsia="Arial Unicode MS" w:hAnsi="Arial Unicode MS" w:cs="Arial Unicode MS"/>
          <w:sz w:val="20"/>
        </w:rPr>
        <w:fldChar w:fldCharType="end"/>
      </w:r>
      <w:r w:rsidRPr="000C60F4">
        <w:rPr>
          <w:rFonts w:ascii="Arial Unicode MS" w:eastAsia="Arial Unicode MS" w:hAnsi="Arial Unicode MS" w:cs="Arial Unicode MS"/>
          <w:sz w:val="20"/>
        </w:rPr>
        <w:t xml:space="preserve">, emphasis on airtight building design for energy conservation purposes increases the potential for moisture and dampness problems, thus promoting the growth of </w:t>
      </w:r>
      <w:r w:rsidRPr="000C60F4">
        <w:rPr>
          <w:rFonts w:ascii="Arial Unicode MS" w:eastAsia="Arial Unicode MS" w:hAnsi="Arial Unicode MS" w:cs="Arial Unicode MS"/>
          <w:sz w:val="20"/>
          <w:lang w:val="en-GB"/>
        </w:rPr>
        <w:t>mould</w:t>
      </w:r>
      <w:r w:rsidRPr="000C60F4">
        <w:rPr>
          <w:rFonts w:ascii="Arial Unicode MS" w:eastAsia="Arial Unicode MS" w:hAnsi="Arial Unicode MS" w:cs="Arial Unicode MS"/>
          <w:sz w:val="20"/>
        </w:rPr>
        <w:t xml:space="preserve">. This is supported by the World Health Organization </w:t>
      </w:r>
      <w:r w:rsidR="007F40FF" w:rsidRPr="000C60F4">
        <w:rPr>
          <w:rFonts w:ascii="Arial Unicode MS" w:eastAsia="Arial Unicode MS" w:hAnsi="Arial Unicode MS" w:cs="Arial Unicode MS"/>
          <w:sz w:val="20"/>
        </w:rPr>
        <w:fldChar w:fldCharType="begin"/>
      </w:r>
      <w:r w:rsidR="00657189">
        <w:rPr>
          <w:rFonts w:ascii="Arial Unicode MS" w:eastAsia="Arial Unicode MS" w:hAnsi="Arial Unicode MS" w:cs="Arial Unicode MS"/>
          <w:sz w:val="20"/>
        </w:rPr>
        <w:instrText>ADDIN RW.CITE{{379 WorldHealthOrganisation 2009 /a}}</w:instrText>
      </w:r>
      <w:r w:rsidR="007F40FF" w:rsidRPr="000C60F4">
        <w:rPr>
          <w:rFonts w:ascii="Arial Unicode MS" w:eastAsia="Arial Unicode MS" w:hAnsi="Arial Unicode MS" w:cs="Arial Unicode MS"/>
          <w:sz w:val="20"/>
        </w:rPr>
        <w:fldChar w:fldCharType="separate"/>
      </w:r>
      <w:r w:rsidR="00657189" w:rsidRPr="00657189">
        <w:rPr>
          <w:rFonts w:ascii="Arial Unicode MS" w:eastAsia="Arial Unicode MS" w:hAnsi="Arial Unicode MS" w:cs="Arial Unicode MS"/>
          <w:sz w:val="20"/>
        </w:rPr>
        <w:t>(2009)</w:t>
      </w:r>
      <w:r w:rsidR="007F40FF" w:rsidRPr="000C60F4">
        <w:rPr>
          <w:rFonts w:ascii="Arial Unicode MS" w:eastAsia="Arial Unicode MS" w:hAnsi="Arial Unicode MS" w:cs="Arial Unicode MS"/>
          <w:sz w:val="20"/>
        </w:rPr>
        <w:fldChar w:fldCharType="end"/>
      </w:r>
      <w:r w:rsidR="00657189">
        <w:rPr>
          <w:rFonts w:ascii="Arial Unicode MS" w:eastAsia="Arial Unicode MS" w:hAnsi="Arial Unicode MS" w:cs="Arial Unicode MS"/>
          <w:sz w:val="20"/>
        </w:rPr>
        <w:t>,</w:t>
      </w:r>
      <w:r w:rsidRPr="000C60F4">
        <w:rPr>
          <w:rFonts w:ascii="Arial Unicode MS" w:eastAsia="Arial Unicode MS" w:hAnsi="Arial Unicode MS" w:cs="Arial Unicode MS"/>
          <w:sz w:val="20"/>
        </w:rPr>
        <w:t xml:space="preserve"> who </w:t>
      </w:r>
      <w:r w:rsidR="00657189">
        <w:rPr>
          <w:rFonts w:ascii="Arial Unicode MS" w:eastAsia="Arial Unicode MS" w:hAnsi="Arial Unicode MS" w:cs="Arial Unicode MS"/>
          <w:sz w:val="20"/>
        </w:rPr>
        <w:t>explain that</w:t>
      </w:r>
      <w:r w:rsidRPr="000C60F4">
        <w:rPr>
          <w:rFonts w:ascii="Arial Unicode MS" w:eastAsia="Arial Unicode MS" w:hAnsi="Arial Unicode MS" w:cs="Arial Unicode MS"/>
          <w:sz w:val="20"/>
        </w:rPr>
        <w:t xml:space="preserve"> inadequately implemented energy efficiency measures such as increased airtightness, ventilation deficiencies and/or unsuitable insulation are linked to increased exposure to </w:t>
      </w:r>
      <w:r w:rsidRPr="000C60F4">
        <w:rPr>
          <w:rFonts w:ascii="Arial Unicode MS" w:eastAsia="Arial Unicode MS" w:hAnsi="Arial Unicode MS" w:cs="Arial Unicode MS"/>
          <w:sz w:val="20"/>
          <w:lang w:val="en-GB"/>
        </w:rPr>
        <w:t>mould</w:t>
      </w:r>
      <w:r w:rsidRPr="000C60F4">
        <w:rPr>
          <w:rFonts w:ascii="Arial Unicode MS" w:eastAsia="Arial Unicode MS" w:hAnsi="Arial Unicode MS" w:cs="Arial Unicode MS"/>
          <w:sz w:val="20"/>
        </w:rPr>
        <w:t xml:space="preserve"> in residential buildings.  </w:t>
      </w:r>
    </w:p>
    <w:p w:rsidR="00DD4A10" w:rsidRPr="000C60F4" w:rsidRDefault="00DD4A10" w:rsidP="00532A5F">
      <w:pPr>
        <w:pStyle w:val="06BodyMaintext"/>
        <w:spacing w:line="240" w:lineRule="auto"/>
        <w:ind w:firstLine="0"/>
        <w:rPr>
          <w:rFonts w:ascii="Arial Unicode MS" w:eastAsia="Arial Unicode MS" w:hAnsi="Arial Unicode MS" w:cs="Arial Unicode MS"/>
          <w:sz w:val="20"/>
        </w:rPr>
      </w:pPr>
    </w:p>
    <w:p w:rsidR="005A39B5" w:rsidRPr="00532A5F" w:rsidRDefault="005A39B5" w:rsidP="00532A5F">
      <w:pPr>
        <w:pStyle w:val="06BodyMaintext"/>
        <w:spacing w:line="240" w:lineRule="auto"/>
        <w:ind w:firstLine="0"/>
        <w:rPr>
          <w:rFonts w:ascii="Arial Unicode MS" w:eastAsia="Arial Unicode MS" w:hAnsi="Arial Unicode MS" w:cs="Arial Unicode MS"/>
          <w:sz w:val="20"/>
        </w:rPr>
      </w:pPr>
    </w:p>
    <w:p w:rsidR="00532A5F" w:rsidRPr="00532A5F" w:rsidRDefault="00532A5F" w:rsidP="00532A5F">
      <w:pPr>
        <w:pStyle w:val="06BodyMaintext"/>
        <w:spacing w:line="240" w:lineRule="auto"/>
        <w:ind w:firstLine="0"/>
        <w:jc w:val="center"/>
        <w:rPr>
          <w:rFonts w:ascii="Arial Unicode MS" w:eastAsia="Arial Unicode MS" w:hAnsi="Arial Unicode MS" w:cs="Arial Unicode MS"/>
          <w:sz w:val="20"/>
        </w:rPr>
      </w:pPr>
      <w:r w:rsidRPr="00532A5F">
        <w:rPr>
          <w:rFonts w:ascii="Arial Unicode MS" w:eastAsia="Arial Unicode MS" w:hAnsi="Arial Unicode MS" w:cs="Arial Unicode MS"/>
          <w:noProof/>
          <w:sz w:val="20"/>
          <w:lang w:val="en-GB" w:eastAsia="en-GB"/>
        </w:rPr>
        <w:drawing>
          <wp:inline distT="0" distB="0" distL="0" distR="0">
            <wp:extent cx="5340096" cy="1463040"/>
            <wp:effectExtent l="0" t="0" r="13335"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2A5F" w:rsidRPr="009F718A" w:rsidRDefault="009F6CD5" w:rsidP="00532A5F">
      <w:pPr>
        <w:pStyle w:val="06BodyMaintext"/>
        <w:spacing w:line="240" w:lineRule="auto"/>
        <w:ind w:firstLine="0"/>
        <w:rPr>
          <w:rFonts w:ascii="Arial Unicode MS" w:eastAsia="Arial Unicode MS" w:hAnsi="Arial Unicode MS" w:cs="Arial Unicode MS"/>
          <w:color w:val="auto"/>
          <w:sz w:val="20"/>
        </w:rPr>
      </w:pPr>
      <w:r>
        <w:rPr>
          <w:rFonts w:ascii="Arial Unicode MS" w:eastAsia="Arial Unicode MS" w:hAnsi="Arial Unicode MS" w:cs="Arial Unicode MS"/>
          <w:color w:val="auto"/>
          <w:sz w:val="20"/>
        </w:rPr>
        <w:t>Figure 4</w:t>
      </w:r>
      <w:r w:rsidR="009F718A" w:rsidRPr="009F718A">
        <w:rPr>
          <w:rFonts w:ascii="Arial Unicode MS" w:eastAsia="Arial Unicode MS" w:hAnsi="Arial Unicode MS" w:cs="Arial Unicode MS"/>
          <w:color w:val="auto"/>
          <w:sz w:val="20"/>
        </w:rPr>
        <w:t xml:space="preserve">. </w:t>
      </w:r>
      <w:r w:rsidR="00532A5F" w:rsidRPr="009F718A">
        <w:rPr>
          <w:rFonts w:ascii="Arial Unicode MS" w:eastAsia="Arial Unicode MS" w:hAnsi="Arial Unicode MS" w:cs="Arial Unicode MS"/>
          <w:color w:val="auto"/>
          <w:sz w:val="20"/>
        </w:rPr>
        <w:t xml:space="preserve">Household frequency of drying clothes indoors without the use of a tumble drier </w:t>
      </w:r>
      <w:r w:rsidR="009F718A">
        <w:rPr>
          <w:rFonts w:ascii="Arial Unicode MS" w:eastAsia="Arial Unicode MS" w:hAnsi="Arial Unicode MS" w:cs="Arial Unicode MS"/>
          <w:color w:val="auto"/>
          <w:sz w:val="20"/>
        </w:rPr>
        <w:t>(</w:t>
      </w:r>
      <w:r w:rsidR="00532A5F" w:rsidRPr="009F718A">
        <w:rPr>
          <w:rFonts w:ascii="Arial Unicode MS" w:eastAsia="Arial Unicode MS" w:hAnsi="Arial Unicode MS" w:cs="Arial Unicode MS"/>
          <w:color w:val="auto"/>
          <w:sz w:val="20"/>
        </w:rPr>
        <w:t>winter</w:t>
      </w:r>
      <w:r w:rsidR="009F718A">
        <w:rPr>
          <w:rFonts w:ascii="Arial Unicode MS" w:eastAsia="Arial Unicode MS" w:hAnsi="Arial Unicode MS" w:cs="Arial Unicode MS"/>
          <w:color w:val="auto"/>
          <w:sz w:val="20"/>
        </w:rPr>
        <w:t>)</w:t>
      </w:r>
    </w:p>
    <w:p w:rsidR="00DD4A10" w:rsidRDefault="00DD4A10" w:rsidP="009F718A">
      <w:pPr>
        <w:pStyle w:val="07BodySpaceAboveApplytomaintextafternumberedlist"/>
        <w:spacing w:line="240" w:lineRule="auto"/>
        <w:ind w:firstLine="0"/>
        <w:rPr>
          <w:rFonts w:ascii="Arial Unicode MS" w:eastAsia="Arial Unicode MS" w:hAnsi="Arial Unicode MS" w:cs="Arial Unicode MS"/>
          <w:sz w:val="20"/>
        </w:rPr>
      </w:pPr>
    </w:p>
    <w:p w:rsidR="00532A5F" w:rsidRDefault="00532A5F" w:rsidP="009F718A">
      <w:pPr>
        <w:pStyle w:val="07BodySpaceAboveApplytomaintextafternumberedlist"/>
        <w:spacing w:line="240" w:lineRule="auto"/>
        <w:ind w:firstLine="0"/>
        <w:rPr>
          <w:rFonts w:ascii="Arial Unicode MS" w:eastAsia="Arial Unicode MS" w:hAnsi="Arial Unicode MS" w:cs="Arial Unicode MS"/>
          <w:sz w:val="20"/>
        </w:rPr>
      </w:pPr>
      <w:r w:rsidRPr="00532A5F">
        <w:rPr>
          <w:rFonts w:ascii="Arial Unicode MS" w:eastAsia="Arial Unicode MS" w:hAnsi="Arial Unicode MS" w:cs="Arial Unicode MS"/>
          <w:sz w:val="20"/>
        </w:rPr>
        <w:t>During the interview process, households were asked if clothes are ever dried indoors without the use of a t</w:t>
      </w:r>
      <w:r w:rsidR="000C60F4">
        <w:rPr>
          <w:rFonts w:ascii="Arial Unicode MS" w:eastAsia="Arial Unicode MS" w:hAnsi="Arial Unicode MS" w:cs="Arial Unicode MS"/>
          <w:sz w:val="20"/>
        </w:rPr>
        <w:t xml:space="preserve">umble drier; every home stated </w:t>
      </w:r>
      <w:r w:rsidRPr="00532A5F">
        <w:rPr>
          <w:rFonts w:ascii="Arial Unicode MS" w:eastAsia="Arial Unicode MS" w:hAnsi="Arial Unicode MS" w:cs="Arial Unicode MS"/>
          <w:sz w:val="20"/>
        </w:rPr>
        <w:t>y</w:t>
      </w:r>
      <w:r w:rsidR="000C60F4">
        <w:rPr>
          <w:rFonts w:ascii="Arial Unicode MS" w:eastAsia="Arial Unicode MS" w:hAnsi="Arial Unicode MS" w:cs="Arial Unicode MS"/>
          <w:sz w:val="20"/>
        </w:rPr>
        <w:t>es</w:t>
      </w:r>
      <w:r w:rsidRPr="00532A5F">
        <w:rPr>
          <w:rFonts w:ascii="Arial Unicode MS" w:eastAsia="Arial Unicode MS" w:hAnsi="Arial Unicode MS" w:cs="Arial Unicode MS"/>
          <w:sz w:val="20"/>
        </w:rPr>
        <w:t xml:space="preserve">. </w:t>
      </w:r>
      <w:r w:rsidR="001A2FAA">
        <w:rPr>
          <w:rFonts w:ascii="Arial Unicode MS" w:eastAsia="Arial Unicode MS" w:hAnsi="Arial Unicode MS" w:cs="Arial Unicode MS"/>
          <w:sz w:val="20"/>
        </w:rPr>
        <w:t>Figure 4</w:t>
      </w:r>
      <w:r w:rsidRPr="00532A5F">
        <w:rPr>
          <w:rFonts w:ascii="Arial Unicode MS" w:eastAsia="Arial Unicode MS" w:hAnsi="Arial Unicode MS" w:cs="Arial Unicode MS"/>
          <w:sz w:val="20"/>
        </w:rPr>
        <w:t xml:space="preserve"> shows the frequency of drying clothes indoors, with 5 out of 6 homes regularly or constantly using this method during the winter mo</w:t>
      </w:r>
      <w:r w:rsidR="000C60F4">
        <w:rPr>
          <w:rFonts w:ascii="Arial Unicode MS" w:eastAsia="Arial Unicode MS" w:hAnsi="Arial Unicode MS" w:cs="Arial Unicode MS"/>
          <w:sz w:val="20"/>
        </w:rPr>
        <w:t xml:space="preserve">nths. Only house No.5 reported </w:t>
      </w:r>
      <w:r w:rsidRPr="00532A5F">
        <w:rPr>
          <w:rFonts w:ascii="Arial Unicode MS" w:eastAsia="Arial Unicode MS" w:hAnsi="Arial Unicode MS" w:cs="Arial Unicode MS"/>
          <w:sz w:val="20"/>
        </w:rPr>
        <w:t>rarely drying clothes indoors</w:t>
      </w:r>
      <w:r w:rsidR="00401F54">
        <w:rPr>
          <w:rFonts w:ascii="Arial Unicode MS" w:eastAsia="Arial Unicode MS" w:hAnsi="Arial Unicode MS" w:cs="Arial Unicode MS"/>
          <w:sz w:val="20"/>
        </w:rPr>
        <w:t xml:space="preserve"> passively</w:t>
      </w:r>
      <w:r w:rsidRPr="00532A5F">
        <w:rPr>
          <w:rFonts w:ascii="Arial Unicode MS" w:eastAsia="Arial Unicode MS" w:hAnsi="Arial Unicode MS" w:cs="Arial Unicode MS"/>
          <w:sz w:val="20"/>
        </w:rPr>
        <w:t xml:space="preserve">. </w:t>
      </w:r>
      <w:r w:rsidRPr="000C60F4">
        <w:rPr>
          <w:rFonts w:ascii="Arial Unicode MS" w:eastAsia="Arial Unicode MS" w:hAnsi="Arial Unicode MS" w:cs="Arial Unicode MS"/>
          <w:sz w:val="20"/>
        </w:rPr>
        <w:t xml:space="preserve">This supports a UK study by Menon &amp; Porteous </w:t>
      </w:r>
      <w:r w:rsidR="007F40FF" w:rsidRPr="000C60F4">
        <w:rPr>
          <w:rFonts w:ascii="Arial Unicode MS" w:eastAsia="Arial Unicode MS" w:hAnsi="Arial Unicode MS" w:cs="Arial Unicode MS"/>
          <w:sz w:val="20"/>
        </w:rPr>
        <w:fldChar w:fldCharType="begin"/>
      </w:r>
      <w:r w:rsidR="00657189">
        <w:rPr>
          <w:rFonts w:ascii="Arial Unicode MS" w:eastAsia="Arial Unicode MS" w:hAnsi="Arial Unicode MS" w:cs="Arial Unicode MS"/>
          <w:sz w:val="20"/>
        </w:rPr>
        <w:instrText>ADDIN RW.CITE{{416 Menon,Rosalie 2012 /a}}</w:instrText>
      </w:r>
      <w:r w:rsidR="007F40FF" w:rsidRPr="000C60F4">
        <w:rPr>
          <w:rFonts w:ascii="Arial Unicode MS" w:eastAsia="Arial Unicode MS" w:hAnsi="Arial Unicode MS" w:cs="Arial Unicode MS"/>
          <w:sz w:val="20"/>
        </w:rPr>
        <w:fldChar w:fldCharType="separate"/>
      </w:r>
      <w:r w:rsidR="00657189" w:rsidRPr="00657189">
        <w:rPr>
          <w:rFonts w:ascii="Arial Unicode MS" w:eastAsia="Arial Unicode MS" w:hAnsi="Arial Unicode MS" w:cs="Arial Unicode MS"/>
          <w:sz w:val="20"/>
        </w:rPr>
        <w:t>(2012)</w:t>
      </w:r>
      <w:r w:rsidR="007F40FF" w:rsidRPr="000C60F4">
        <w:rPr>
          <w:rFonts w:ascii="Arial Unicode MS" w:eastAsia="Arial Unicode MS" w:hAnsi="Arial Unicode MS" w:cs="Arial Unicode MS"/>
          <w:sz w:val="20"/>
        </w:rPr>
        <w:fldChar w:fldCharType="end"/>
      </w:r>
      <w:r w:rsidRPr="000C60F4">
        <w:rPr>
          <w:rFonts w:ascii="Arial Unicode MS" w:eastAsia="Arial Unicode MS" w:hAnsi="Arial Unicode MS" w:cs="Arial Unicode MS"/>
          <w:sz w:val="20"/>
        </w:rPr>
        <w:t>, who found 87% of respondents used passive indoor drying techniques during the heating season, rising to 96</w:t>
      </w:r>
      <w:r w:rsidRPr="00532A5F">
        <w:rPr>
          <w:rFonts w:ascii="Arial Unicode MS" w:eastAsia="Arial Unicode MS" w:hAnsi="Arial Unicode MS" w:cs="Arial Unicode MS"/>
          <w:sz w:val="20"/>
        </w:rPr>
        <w:t>% in the spring. Furthermore, they found an average spore count of 1,398 CFU/m</w:t>
      </w:r>
      <w:r w:rsidRPr="00532A5F">
        <w:rPr>
          <w:rFonts w:ascii="Arial Unicode MS" w:eastAsia="Arial Unicode MS" w:hAnsi="Arial Unicode MS" w:cs="Arial Unicode MS"/>
          <w:sz w:val="20"/>
          <w:vertAlign w:val="superscript"/>
        </w:rPr>
        <w:t>3</w:t>
      </w:r>
      <w:r w:rsidRPr="00532A5F">
        <w:rPr>
          <w:rFonts w:ascii="Arial Unicode MS" w:eastAsia="Arial Unicode MS" w:hAnsi="Arial Unicode MS" w:cs="Arial Unicode MS"/>
          <w:sz w:val="20"/>
        </w:rPr>
        <w:t xml:space="preserve"> in nine case study homes where passive indoor drying was used exclusively, compared to average spore count of 644 CFU/m</w:t>
      </w:r>
      <w:r w:rsidRPr="00532A5F">
        <w:rPr>
          <w:rFonts w:ascii="Arial Unicode MS" w:eastAsia="Arial Unicode MS" w:hAnsi="Arial Unicode MS" w:cs="Arial Unicode MS"/>
          <w:sz w:val="20"/>
          <w:vertAlign w:val="superscript"/>
        </w:rPr>
        <w:t>3</w:t>
      </w:r>
      <w:r w:rsidRPr="00532A5F">
        <w:rPr>
          <w:rFonts w:ascii="Arial Unicode MS" w:eastAsia="Arial Unicode MS" w:hAnsi="Arial Unicode MS" w:cs="Arial Unicode MS"/>
          <w:sz w:val="20"/>
        </w:rPr>
        <w:t xml:space="preserve"> where a tumble drier was used either exclusively or predominantly. This suggests passively drying clothes indoors may promote </w:t>
      </w:r>
      <w:r w:rsidRPr="002F4515">
        <w:rPr>
          <w:rFonts w:ascii="Arial Unicode MS" w:eastAsia="Arial Unicode MS" w:hAnsi="Arial Unicode MS" w:cs="Arial Unicode MS"/>
          <w:sz w:val="20"/>
          <w:lang w:val="en-GB"/>
        </w:rPr>
        <w:t>mould</w:t>
      </w:r>
      <w:r w:rsidRPr="00532A5F">
        <w:rPr>
          <w:rFonts w:ascii="Arial Unicode MS" w:eastAsia="Arial Unicode MS" w:hAnsi="Arial Unicode MS" w:cs="Arial Unicode MS"/>
          <w:sz w:val="20"/>
        </w:rPr>
        <w:t xml:space="preserve"> growth, and thus ventilation design strategies should be capable of managing this. </w:t>
      </w:r>
    </w:p>
    <w:p w:rsidR="00EF3F05" w:rsidRPr="0043038B" w:rsidRDefault="004175CD" w:rsidP="00EF3F05">
      <w:pPr>
        <w:pStyle w:val="Heading3"/>
        <w:numPr>
          <w:ilvl w:val="2"/>
          <w:numId w:val="17"/>
        </w:numPr>
        <w:rPr>
          <w:rFonts w:eastAsia="Arial Unicode MS"/>
        </w:rPr>
      </w:pPr>
      <w:r>
        <w:rPr>
          <w:rFonts w:eastAsia="Arial Unicode MS"/>
        </w:rPr>
        <w:t>Summer season</w:t>
      </w:r>
    </w:p>
    <w:p w:rsidR="0043038B" w:rsidRPr="0043038B" w:rsidRDefault="00CB4E25" w:rsidP="004175CD">
      <w:pPr>
        <w:rPr>
          <w:rFonts w:eastAsia="Arial Unicode MS" w:cs="Arial Unicode MS"/>
        </w:rPr>
      </w:pPr>
      <w:r>
        <w:rPr>
          <w:rFonts w:eastAsia="Arial Unicode MS" w:cs="Arial Unicode MS"/>
        </w:rPr>
        <w:t>Table 6</w:t>
      </w:r>
      <w:r w:rsidR="009C4800" w:rsidRPr="000E0FA4">
        <w:rPr>
          <w:rFonts w:eastAsia="Arial Unicode MS" w:cs="Arial Unicode MS"/>
        </w:rPr>
        <w:t>.   Summer r</w:t>
      </w:r>
      <w:r w:rsidR="004175CD" w:rsidRPr="000E0FA4">
        <w:rPr>
          <w:rFonts w:eastAsia="Arial Unicode MS" w:cs="Arial Unicode MS"/>
        </w:rPr>
        <w:t>elative humidity (%)</w:t>
      </w:r>
      <w:r w:rsidR="00D248F5" w:rsidRPr="000E0FA4">
        <w:rPr>
          <w:rFonts w:eastAsia="Arial Unicode MS" w:cs="Arial Unicode MS"/>
        </w:rPr>
        <w:t xml:space="preserve"> </w:t>
      </w:r>
      <w:r w:rsidR="004175CD" w:rsidRPr="000E0FA4">
        <w:rPr>
          <w:rFonts w:eastAsia="Arial Unicode MS" w:cs="Arial Unicode MS"/>
        </w:rPr>
        <w:t>in living room</w:t>
      </w:r>
      <w:r w:rsidR="006C1B6C" w:rsidRPr="000E0FA4">
        <w:rPr>
          <w:rFonts w:eastAsia="Arial Unicode MS" w:cs="Arial Unicode MS"/>
        </w:rPr>
        <w:t xml:space="preserve"> (L), bedroom (B) and outside (O)</w:t>
      </w:r>
    </w:p>
    <w:tbl>
      <w:tblPr>
        <w:tblW w:w="4966" w:type="pct"/>
        <w:tblBorders>
          <w:top w:val="single" w:sz="18" w:space="0" w:color="auto"/>
          <w:bottom w:val="single" w:sz="18" w:space="0" w:color="auto"/>
        </w:tblBorders>
        <w:tblLayout w:type="fixed"/>
        <w:tblLook w:val="04A0" w:firstRow="1" w:lastRow="0" w:firstColumn="1" w:lastColumn="0" w:noHBand="0" w:noVBand="1"/>
      </w:tblPr>
      <w:tblGrid>
        <w:gridCol w:w="533"/>
        <w:gridCol w:w="420"/>
        <w:gridCol w:w="575"/>
        <w:gridCol w:w="433"/>
        <w:gridCol w:w="468"/>
        <w:gridCol w:w="562"/>
        <w:gridCol w:w="468"/>
        <w:gridCol w:w="481"/>
        <w:gridCol w:w="424"/>
        <w:gridCol w:w="569"/>
        <w:gridCol w:w="464"/>
        <w:gridCol w:w="13"/>
        <w:gridCol w:w="452"/>
        <w:gridCol w:w="13"/>
        <w:gridCol w:w="475"/>
        <w:gridCol w:w="428"/>
        <w:gridCol w:w="13"/>
        <w:gridCol w:w="398"/>
        <w:gridCol w:w="13"/>
        <w:gridCol w:w="565"/>
        <w:gridCol w:w="433"/>
        <w:gridCol w:w="560"/>
        <w:gridCol w:w="419"/>
      </w:tblGrid>
      <w:tr w:rsidR="00D248F5" w:rsidRPr="00532A5F" w:rsidTr="001C41F7">
        <w:tc>
          <w:tcPr>
            <w:tcW w:w="290" w:type="pct"/>
            <w:tcBorders>
              <w:top w:val="single" w:sz="2" w:space="0" w:color="auto"/>
              <w:bottom w:val="single" w:sz="2" w:space="0" w:color="auto"/>
              <w:right w:val="single" w:sz="2" w:space="0" w:color="BFBFBF" w:themeColor="background1" w:themeShade="BF"/>
            </w:tcBorders>
            <w:vAlign w:val="center"/>
          </w:tcPr>
          <w:p w:rsidR="00B627BB" w:rsidRPr="00B627BB" w:rsidRDefault="00B627BB" w:rsidP="00D248F5">
            <w:pPr>
              <w:pStyle w:val="NoSpacing"/>
              <w:ind w:left="-12" w:right="-94" w:hanging="130"/>
              <w:jc w:val="center"/>
              <w:rPr>
                <w:rFonts w:asciiTheme="minorHAnsi" w:hAnsiTheme="minorHAnsi"/>
                <w:sz w:val="20"/>
                <w:szCs w:val="20"/>
              </w:rPr>
            </w:pPr>
          </w:p>
        </w:tc>
        <w:tc>
          <w:tcPr>
            <w:tcW w:w="778" w:type="pct"/>
            <w:gridSpan w:val="3"/>
            <w:tcBorders>
              <w:top w:val="single" w:sz="2" w:space="0" w:color="auto"/>
              <w:left w:val="single" w:sz="2" w:space="0" w:color="BFBFBF" w:themeColor="background1" w:themeShade="BF"/>
              <w:bottom w:val="single" w:sz="2" w:space="0" w:color="auto"/>
              <w:right w:val="single" w:sz="2" w:space="0" w:color="BFBFBF" w:themeColor="background1" w:themeShade="BF"/>
            </w:tcBorders>
            <w:vAlign w:val="center"/>
          </w:tcPr>
          <w:p w:rsidR="00B627BB" w:rsidRPr="00B627BB" w:rsidRDefault="00B627BB" w:rsidP="00D248F5">
            <w:pPr>
              <w:pStyle w:val="NoSpacing"/>
              <w:jc w:val="center"/>
              <w:rPr>
                <w:rFonts w:asciiTheme="minorHAnsi" w:hAnsiTheme="minorHAnsi"/>
                <w:sz w:val="20"/>
                <w:szCs w:val="20"/>
              </w:rPr>
            </w:pPr>
            <w:r w:rsidRPr="00B627BB">
              <w:rPr>
                <w:rFonts w:asciiTheme="minorHAnsi" w:hAnsiTheme="minorHAnsi"/>
                <w:sz w:val="20"/>
                <w:szCs w:val="20"/>
              </w:rPr>
              <w:t>No.1</w:t>
            </w:r>
          </w:p>
        </w:tc>
        <w:tc>
          <w:tcPr>
            <w:tcW w:w="816" w:type="pct"/>
            <w:gridSpan w:val="3"/>
            <w:tcBorders>
              <w:top w:val="single" w:sz="2" w:space="0" w:color="auto"/>
              <w:left w:val="single" w:sz="2" w:space="0" w:color="BFBFBF" w:themeColor="background1" w:themeShade="BF"/>
              <w:bottom w:val="single" w:sz="2" w:space="0" w:color="auto"/>
              <w:right w:val="single" w:sz="2" w:space="0" w:color="BFBFBF" w:themeColor="background1" w:themeShade="BF"/>
            </w:tcBorders>
            <w:vAlign w:val="center"/>
          </w:tcPr>
          <w:p w:rsidR="00B627BB" w:rsidRPr="00B627BB" w:rsidRDefault="00B627BB" w:rsidP="00D248F5">
            <w:pPr>
              <w:pStyle w:val="NoSpacing"/>
              <w:jc w:val="center"/>
              <w:rPr>
                <w:rFonts w:asciiTheme="minorHAnsi" w:hAnsiTheme="minorHAnsi"/>
                <w:sz w:val="20"/>
                <w:szCs w:val="20"/>
              </w:rPr>
            </w:pPr>
            <w:r w:rsidRPr="00B627BB">
              <w:rPr>
                <w:rFonts w:asciiTheme="minorHAnsi" w:hAnsiTheme="minorHAnsi"/>
                <w:sz w:val="20"/>
                <w:szCs w:val="20"/>
              </w:rPr>
              <w:t>No.2</w:t>
            </w:r>
          </w:p>
        </w:tc>
        <w:tc>
          <w:tcPr>
            <w:tcW w:w="803" w:type="pct"/>
            <w:gridSpan w:val="3"/>
            <w:tcBorders>
              <w:top w:val="single" w:sz="2" w:space="0" w:color="auto"/>
              <w:left w:val="single" w:sz="2" w:space="0" w:color="BFBFBF" w:themeColor="background1" w:themeShade="BF"/>
              <w:bottom w:val="single" w:sz="2" w:space="0" w:color="auto"/>
              <w:right w:val="single" w:sz="2" w:space="0" w:color="BFBFBF" w:themeColor="background1" w:themeShade="BF"/>
            </w:tcBorders>
            <w:vAlign w:val="center"/>
          </w:tcPr>
          <w:p w:rsidR="00B627BB" w:rsidRPr="00B627BB" w:rsidRDefault="00B627BB" w:rsidP="00D248F5">
            <w:pPr>
              <w:pStyle w:val="NoSpacing"/>
              <w:jc w:val="center"/>
              <w:rPr>
                <w:rFonts w:asciiTheme="minorHAnsi" w:hAnsiTheme="minorHAnsi"/>
                <w:sz w:val="20"/>
                <w:szCs w:val="20"/>
              </w:rPr>
            </w:pPr>
            <w:r w:rsidRPr="00B627BB">
              <w:rPr>
                <w:rFonts w:asciiTheme="minorHAnsi" w:hAnsiTheme="minorHAnsi"/>
                <w:sz w:val="20"/>
                <w:szCs w:val="20"/>
              </w:rPr>
              <w:t>No.3</w:t>
            </w:r>
          </w:p>
        </w:tc>
        <w:tc>
          <w:tcPr>
            <w:tcW w:w="772" w:type="pct"/>
            <w:gridSpan w:val="5"/>
            <w:tcBorders>
              <w:top w:val="single" w:sz="2" w:space="0" w:color="auto"/>
              <w:left w:val="single" w:sz="2" w:space="0" w:color="BFBFBF" w:themeColor="background1" w:themeShade="BF"/>
              <w:bottom w:val="single" w:sz="2" w:space="0" w:color="auto"/>
              <w:right w:val="single" w:sz="2" w:space="0" w:color="BFBFBF" w:themeColor="background1" w:themeShade="BF"/>
            </w:tcBorders>
            <w:vAlign w:val="center"/>
          </w:tcPr>
          <w:p w:rsidR="00B627BB" w:rsidRPr="00B627BB" w:rsidRDefault="00B627BB" w:rsidP="00D248F5">
            <w:pPr>
              <w:pStyle w:val="NoSpacing"/>
              <w:jc w:val="center"/>
              <w:rPr>
                <w:rFonts w:asciiTheme="minorHAnsi" w:hAnsiTheme="minorHAnsi"/>
                <w:sz w:val="20"/>
                <w:szCs w:val="20"/>
              </w:rPr>
            </w:pPr>
            <w:r w:rsidRPr="00B627BB">
              <w:rPr>
                <w:rFonts w:asciiTheme="minorHAnsi" w:hAnsiTheme="minorHAnsi"/>
                <w:sz w:val="20"/>
                <w:szCs w:val="20"/>
              </w:rPr>
              <w:t>No.4</w:t>
            </w:r>
          </w:p>
        </w:tc>
        <w:tc>
          <w:tcPr>
            <w:tcW w:w="772" w:type="pct"/>
            <w:gridSpan w:val="5"/>
            <w:tcBorders>
              <w:top w:val="single" w:sz="2" w:space="0" w:color="auto"/>
              <w:left w:val="single" w:sz="2" w:space="0" w:color="BFBFBF" w:themeColor="background1" w:themeShade="BF"/>
              <w:bottom w:val="single" w:sz="2" w:space="0" w:color="auto"/>
              <w:right w:val="single" w:sz="2" w:space="0" w:color="BFBFBF" w:themeColor="background1" w:themeShade="BF"/>
            </w:tcBorders>
            <w:vAlign w:val="center"/>
          </w:tcPr>
          <w:p w:rsidR="00B627BB" w:rsidRPr="00B627BB" w:rsidRDefault="00B627BB" w:rsidP="00D248F5">
            <w:pPr>
              <w:pStyle w:val="NoSpacing"/>
              <w:jc w:val="center"/>
              <w:rPr>
                <w:rFonts w:asciiTheme="minorHAnsi" w:hAnsiTheme="minorHAnsi"/>
                <w:sz w:val="20"/>
                <w:szCs w:val="20"/>
              </w:rPr>
            </w:pPr>
            <w:r w:rsidRPr="00B627BB">
              <w:rPr>
                <w:rFonts w:asciiTheme="minorHAnsi" w:hAnsiTheme="minorHAnsi"/>
                <w:sz w:val="20"/>
                <w:szCs w:val="20"/>
              </w:rPr>
              <w:t>No.5</w:t>
            </w:r>
          </w:p>
        </w:tc>
        <w:tc>
          <w:tcPr>
            <w:tcW w:w="769" w:type="pct"/>
            <w:gridSpan w:val="3"/>
            <w:tcBorders>
              <w:top w:val="single" w:sz="2" w:space="0" w:color="auto"/>
              <w:left w:val="single" w:sz="2" w:space="0" w:color="BFBFBF" w:themeColor="background1" w:themeShade="BF"/>
              <w:bottom w:val="single" w:sz="2" w:space="0" w:color="auto"/>
            </w:tcBorders>
            <w:vAlign w:val="center"/>
          </w:tcPr>
          <w:p w:rsidR="00B627BB" w:rsidRPr="00B627BB" w:rsidRDefault="00B627BB" w:rsidP="00D248F5">
            <w:pPr>
              <w:pStyle w:val="NoSpacing"/>
              <w:jc w:val="center"/>
              <w:rPr>
                <w:rFonts w:asciiTheme="minorHAnsi" w:hAnsiTheme="minorHAnsi"/>
                <w:sz w:val="20"/>
                <w:szCs w:val="20"/>
              </w:rPr>
            </w:pPr>
            <w:r w:rsidRPr="00B627BB">
              <w:rPr>
                <w:rFonts w:asciiTheme="minorHAnsi" w:hAnsiTheme="minorHAnsi"/>
                <w:sz w:val="20"/>
                <w:szCs w:val="20"/>
              </w:rPr>
              <w:t>No.6</w:t>
            </w:r>
          </w:p>
        </w:tc>
      </w:tr>
      <w:tr w:rsidR="00D248F5" w:rsidRPr="00532A5F" w:rsidTr="001C41F7">
        <w:tc>
          <w:tcPr>
            <w:tcW w:w="290" w:type="pct"/>
            <w:tcBorders>
              <w:top w:val="single" w:sz="2" w:space="0" w:color="auto"/>
              <w:bottom w:val="single" w:sz="2" w:space="0" w:color="auto"/>
              <w:right w:val="single" w:sz="2" w:space="0" w:color="BFBFBF" w:themeColor="background1" w:themeShade="BF"/>
            </w:tcBorders>
            <w:vAlign w:val="center"/>
          </w:tcPr>
          <w:p w:rsidR="00B627BB" w:rsidRPr="00B627BB" w:rsidRDefault="00B627BB" w:rsidP="00D248F5">
            <w:pPr>
              <w:pStyle w:val="NoSpacing"/>
              <w:ind w:left="-12" w:right="-94" w:hanging="130"/>
              <w:jc w:val="center"/>
              <w:rPr>
                <w:rFonts w:asciiTheme="minorHAnsi" w:hAnsiTheme="minorHAnsi"/>
                <w:sz w:val="20"/>
                <w:szCs w:val="20"/>
              </w:rPr>
            </w:pPr>
          </w:p>
        </w:tc>
        <w:tc>
          <w:tcPr>
            <w:tcW w:w="229" w:type="pct"/>
            <w:tcBorders>
              <w:top w:val="single" w:sz="2" w:space="0" w:color="auto"/>
              <w:left w:val="single" w:sz="2" w:space="0" w:color="BFBFBF" w:themeColor="background1" w:themeShade="BF"/>
              <w:bottom w:val="single" w:sz="2" w:space="0" w:color="auto"/>
            </w:tcBorders>
            <w:vAlign w:val="center"/>
          </w:tcPr>
          <w:p w:rsidR="00B627BB" w:rsidRPr="00B627BB" w:rsidRDefault="00B627BB" w:rsidP="00D248F5">
            <w:pPr>
              <w:pStyle w:val="NoSpacing"/>
              <w:ind w:left="-126" w:right="-94" w:hanging="8"/>
              <w:jc w:val="center"/>
              <w:rPr>
                <w:rFonts w:asciiTheme="minorHAnsi" w:hAnsiTheme="minorHAnsi"/>
                <w:sz w:val="20"/>
                <w:szCs w:val="20"/>
              </w:rPr>
            </w:pPr>
            <w:r w:rsidRPr="00B627BB">
              <w:rPr>
                <w:rFonts w:asciiTheme="minorHAnsi" w:hAnsiTheme="minorHAnsi"/>
                <w:sz w:val="20"/>
                <w:szCs w:val="20"/>
              </w:rPr>
              <w:t>L</w:t>
            </w:r>
          </w:p>
        </w:tc>
        <w:tc>
          <w:tcPr>
            <w:tcW w:w="313" w:type="pct"/>
            <w:tcBorders>
              <w:top w:val="single" w:sz="2" w:space="0" w:color="auto"/>
              <w:bottom w:val="single" w:sz="2" w:space="0" w:color="auto"/>
            </w:tcBorders>
            <w:vAlign w:val="center"/>
          </w:tcPr>
          <w:p w:rsidR="00B627BB" w:rsidRPr="00B627BB" w:rsidRDefault="00B627BB" w:rsidP="00D248F5">
            <w:pPr>
              <w:pStyle w:val="NoSpacing"/>
              <w:ind w:left="-84" w:right="-94" w:firstLine="46"/>
              <w:jc w:val="center"/>
              <w:rPr>
                <w:rFonts w:asciiTheme="minorHAnsi" w:hAnsiTheme="minorHAnsi"/>
                <w:sz w:val="20"/>
                <w:szCs w:val="20"/>
              </w:rPr>
            </w:pPr>
            <w:r w:rsidRPr="00B627BB">
              <w:rPr>
                <w:rFonts w:asciiTheme="minorHAnsi" w:hAnsiTheme="minorHAnsi"/>
                <w:sz w:val="20"/>
                <w:szCs w:val="20"/>
              </w:rPr>
              <w:t>B</w:t>
            </w:r>
          </w:p>
        </w:tc>
        <w:tc>
          <w:tcPr>
            <w:tcW w:w="236" w:type="pct"/>
            <w:tcBorders>
              <w:top w:val="single" w:sz="2" w:space="0" w:color="auto"/>
              <w:bottom w:val="single" w:sz="2" w:space="0" w:color="auto"/>
              <w:right w:val="single" w:sz="2" w:space="0" w:color="BFBFBF" w:themeColor="background1" w:themeShade="BF"/>
            </w:tcBorders>
            <w:vAlign w:val="center"/>
          </w:tcPr>
          <w:p w:rsidR="00B627BB" w:rsidRPr="00B627BB" w:rsidRDefault="00B627BB" w:rsidP="00D248F5">
            <w:pPr>
              <w:pStyle w:val="NoSpacing"/>
              <w:ind w:left="-70" w:right="-94"/>
              <w:jc w:val="center"/>
              <w:rPr>
                <w:rFonts w:asciiTheme="minorHAnsi" w:hAnsiTheme="minorHAnsi"/>
                <w:sz w:val="20"/>
                <w:szCs w:val="20"/>
              </w:rPr>
            </w:pPr>
            <w:r w:rsidRPr="00B627BB">
              <w:rPr>
                <w:rFonts w:asciiTheme="minorHAnsi" w:hAnsiTheme="minorHAnsi"/>
                <w:sz w:val="20"/>
                <w:szCs w:val="20"/>
              </w:rPr>
              <w:t>O</w:t>
            </w:r>
          </w:p>
        </w:tc>
        <w:tc>
          <w:tcPr>
            <w:tcW w:w="255" w:type="pct"/>
            <w:tcBorders>
              <w:top w:val="single" w:sz="2" w:space="0" w:color="auto"/>
              <w:left w:val="single" w:sz="2" w:space="0" w:color="BFBFBF" w:themeColor="background1" w:themeShade="BF"/>
              <w:bottom w:val="single" w:sz="2" w:space="0" w:color="auto"/>
            </w:tcBorders>
            <w:vAlign w:val="center"/>
          </w:tcPr>
          <w:p w:rsidR="00B627BB" w:rsidRPr="00B627BB" w:rsidRDefault="00B627BB" w:rsidP="00D248F5">
            <w:pPr>
              <w:pStyle w:val="NoSpacing"/>
              <w:ind w:left="-46"/>
              <w:jc w:val="center"/>
              <w:rPr>
                <w:rFonts w:asciiTheme="minorHAnsi" w:hAnsiTheme="minorHAnsi"/>
                <w:sz w:val="20"/>
                <w:szCs w:val="20"/>
              </w:rPr>
            </w:pPr>
            <w:r w:rsidRPr="00B627BB">
              <w:rPr>
                <w:rFonts w:asciiTheme="minorHAnsi" w:hAnsiTheme="minorHAnsi"/>
                <w:sz w:val="20"/>
                <w:szCs w:val="20"/>
              </w:rPr>
              <w:t>L</w:t>
            </w:r>
          </w:p>
        </w:tc>
        <w:tc>
          <w:tcPr>
            <w:tcW w:w="306" w:type="pct"/>
            <w:tcBorders>
              <w:top w:val="single" w:sz="2" w:space="0" w:color="auto"/>
              <w:bottom w:val="single" w:sz="2" w:space="0" w:color="auto"/>
            </w:tcBorders>
            <w:vAlign w:val="center"/>
          </w:tcPr>
          <w:p w:rsidR="00B627BB" w:rsidRPr="00B627BB" w:rsidRDefault="00B627BB" w:rsidP="00D248F5">
            <w:pPr>
              <w:pStyle w:val="NoSpacing"/>
              <w:ind w:left="-46"/>
              <w:jc w:val="center"/>
              <w:rPr>
                <w:rFonts w:asciiTheme="minorHAnsi" w:hAnsiTheme="minorHAnsi"/>
                <w:sz w:val="20"/>
                <w:szCs w:val="20"/>
              </w:rPr>
            </w:pPr>
            <w:r w:rsidRPr="00B627BB">
              <w:rPr>
                <w:rFonts w:asciiTheme="minorHAnsi" w:hAnsiTheme="minorHAnsi"/>
                <w:sz w:val="20"/>
                <w:szCs w:val="20"/>
              </w:rPr>
              <w:t>B</w:t>
            </w:r>
          </w:p>
        </w:tc>
        <w:tc>
          <w:tcPr>
            <w:tcW w:w="255" w:type="pct"/>
            <w:tcBorders>
              <w:top w:val="single" w:sz="2" w:space="0" w:color="auto"/>
              <w:bottom w:val="single" w:sz="2" w:space="0" w:color="auto"/>
              <w:right w:val="single" w:sz="2" w:space="0" w:color="BFBFBF" w:themeColor="background1" w:themeShade="BF"/>
            </w:tcBorders>
            <w:vAlign w:val="center"/>
          </w:tcPr>
          <w:p w:rsidR="00B627BB" w:rsidRPr="00B627BB" w:rsidRDefault="00B627BB" w:rsidP="00D248F5">
            <w:pPr>
              <w:pStyle w:val="NoSpacing"/>
              <w:ind w:left="-46"/>
              <w:jc w:val="center"/>
              <w:rPr>
                <w:rFonts w:asciiTheme="minorHAnsi" w:hAnsiTheme="minorHAnsi"/>
                <w:sz w:val="20"/>
                <w:szCs w:val="20"/>
              </w:rPr>
            </w:pPr>
            <w:r w:rsidRPr="00B627BB">
              <w:rPr>
                <w:rFonts w:asciiTheme="minorHAnsi" w:hAnsiTheme="minorHAnsi"/>
                <w:sz w:val="20"/>
                <w:szCs w:val="20"/>
              </w:rPr>
              <w:t>O</w:t>
            </w:r>
          </w:p>
        </w:tc>
        <w:tc>
          <w:tcPr>
            <w:tcW w:w="262" w:type="pct"/>
            <w:tcBorders>
              <w:top w:val="single" w:sz="2" w:space="0" w:color="auto"/>
              <w:left w:val="single" w:sz="2" w:space="0" w:color="BFBFBF" w:themeColor="background1" w:themeShade="BF"/>
              <w:bottom w:val="single" w:sz="2" w:space="0" w:color="auto"/>
            </w:tcBorders>
            <w:vAlign w:val="center"/>
          </w:tcPr>
          <w:p w:rsidR="00B627BB" w:rsidRPr="00B627BB" w:rsidRDefault="00B627BB" w:rsidP="00D248F5">
            <w:pPr>
              <w:pStyle w:val="NoSpacing"/>
              <w:ind w:left="-55" w:right="-62" w:firstLine="12"/>
              <w:jc w:val="center"/>
              <w:rPr>
                <w:rFonts w:asciiTheme="minorHAnsi" w:hAnsiTheme="minorHAnsi"/>
                <w:sz w:val="20"/>
                <w:szCs w:val="20"/>
              </w:rPr>
            </w:pPr>
            <w:r w:rsidRPr="00B627BB">
              <w:rPr>
                <w:rFonts w:asciiTheme="minorHAnsi" w:hAnsiTheme="minorHAnsi"/>
                <w:sz w:val="20"/>
                <w:szCs w:val="20"/>
              </w:rPr>
              <w:t>L</w:t>
            </w:r>
          </w:p>
        </w:tc>
        <w:tc>
          <w:tcPr>
            <w:tcW w:w="231" w:type="pct"/>
            <w:tcBorders>
              <w:top w:val="single" w:sz="2" w:space="0" w:color="auto"/>
              <w:bottom w:val="single" w:sz="2" w:space="0" w:color="auto"/>
            </w:tcBorders>
            <w:vAlign w:val="center"/>
          </w:tcPr>
          <w:p w:rsidR="00B627BB" w:rsidRPr="00B627BB" w:rsidRDefault="00B627BB" w:rsidP="00D248F5">
            <w:pPr>
              <w:pStyle w:val="NoSpacing"/>
              <w:ind w:left="-55" w:right="-62" w:firstLine="12"/>
              <w:jc w:val="center"/>
              <w:rPr>
                <w:rFonts w:asciiTheme="minorHAnsi" w:hAnsiTheme="minorHAnsi"/>
                <w:sz w:val="20"/>
                <w:szCs w:val="20"/>
              </w:rPr>
            </w:pPr>
            <w:r w:rsidRPr="00B627BB">
              <w:rPr>
                <w:rFonts w:asciiTheme="minorHAnsi" w:hAnsiTheme="minorHAnsi"/>
                <w:sz w:val="20"/>
                <w:szCs w:val="20"/>
              </w:rPr>
              <w:t>B</w:t>
            </w:r>
          </w:p>
        </w:tc>
        <w:tc>
          <w:tcPr>
            <w:tcW w:w="310" w:type="pct"/>
            <w:tcBorders>
              <w:top w:val="single" w:sz="2" w:space="0" w:color="auto"/>
              <w:bottom w:val="single" w:sz="2" w:space="0" w:color="auto"/>
              <w:right w:val="single" w:sz="2" w:space="0" w:color="BFBFBF" w:themeColor="background1" w:themeShade="BF"/>
            </w:tcBorders>
            <w:vAlign w:val="center"/>
          </w:tcPr>
          <w:p w:rsidR="00B627BB" w:rsidRPr="00B627BB" w:rsidRDefault="00B627BB" w:rsidP="00D248F5">
            <w:pPr>
              <w:pStyle w:val="NoSpacing"/>
              <w:ind w:left="-55" w:right="-62" w:firstLine="12"/>
              <w:jc w:val="center"/>
              <w:rPr>
                <w:rFonts w:asciiTheme="minorHAnsi" w:hAnsiTheme="minorHAnsi"/>
                <w:sz w:val="20"/>
                <w:szCs w:val="20"/>
              </w:rPr>
            </w:pPr>
            <w:r w:rsidRPr="00B627BB">
              <w:rPr>
                <w:rFonts w:asciiTheme="minorHAnsi" w:hAnsiTheme="minorHAnsi"/>
                <w:sz w:val="20"/>
                <w:szCs w:val="20"/>
              </w:rPr>
              <w:t>O</w:t>
            </w:r>
          </w:p>
        </w:tc>
        <w:tc>
          <w:tcPr>
            <w:tcW w:w="260" w:type="pct"/>
            <w:gridSpan w:val="2"/>
            <w:tcBorders>
              <w:top w:val="single" w:sz="2" w:space="0" w:color="auto"/>
              <w:left w:val="single" w:sz="2" w:space="0" w:color="BFBFBF" w:themeColor="background1" w:themeShade="BF"/>
              <w:bottom w:val="single" w:sz="2" w:space="0" w:color="auto"/>
            </w:tcBorders>
            <w:vAlign w:val="center"/>
          </w:tcPr>
          <w:p w:rsidR="00B627BB" w:rsidRPr="00B627BB" w:rsidRDefault="00B627BB" w:rsidP="001C41F7">
            <w:pPr>
              <w:pStyle w:val="NoSpacing"/>
              <w:ind w:left="-113" w:right="-64"/>
              <w:jc w:val="center"/>
              <w:rPr>
                <w:rFonts w:asciiTheme="minorHAnsi" w:hAnsiTheme="minorHAnsi"/>
                <w:sz w:val="20"/>
                <w:szCs w:val="20"/>
              </w:rPr>
            </w:pPr>
            <w:r w:rsidRPr="00B627BB">
              <w:rPr>
                <w:rFonts w:asciiTheme="minorHAnsi" w:hAnsiTheme="minorHAnsi"/>
                <w:sz w:val="20"/>
                <w:szCs w:val="20"/>
              </w:rPr>
              <w:t>L</w:t>
            </w:r>
          </w:p>
        </w:tc>
        <w:tc>
          <w:tcPr>
            <w:tcW w:w="253" w:type="pct"/>
            <w:gridSpan w:val="2"/>
            <w:tcBorders>
              <w:top w:val="single" w:sz="2" w:space="0" w:color="auto"/>
              <w:bottom w:val="single" w:sz="2" w:space="0" w:color="auto"/>
            </w:tcBorders>
            <w:vAlign w:val="center"/>
          </w:tcPr>
          <w:p w:rsidR="00B627BB" w:rsidRPr="00B627BB" w:rsidRDefault="00B627BB" w:rsidP="00D248F5">
            <w:pPr>
              <w:pStyle w:val="NoSpacing"/>
              <w:jc w:val="center"/>
              <w:rPr>
                <w:rFonts w:asciiTheme="minorHAnsi" w:hAnsiTheme="minorHAnsi"/>
                <w:sz w:val="20"/>
                <w:szCs w:val="20"/>
              </w:rPr>
            </w:pPr>
            <w:r w:rsidRPr="00B627BB">
              <w:rPr>
                <w:rFonts w:asciiTheme="minorHAnsi" w:hAnsiTheme="minorHAnsi"/>
                <w:sz w:val="20"/>
                <w:szCs w:val="20"/>
              </w:rPr>
              <w:t>B</w:t>
            </w:r>
          </w:p>
        </w:tc>
        <w:tc>
          <w:tcPr>
            <w:tcW w:w="259" w:type="pct"/>
            <w:tcBorders>
              <w:top w:val="single" w:sz="2" w:space="0" w:color="auto"/>
              <w:bottom w:val="single" w:sz="2" w:space="0" w:color="auto"/>
              <w:right w:val="single" w:sz="2" w:space="0" w:color="BFBFBF" w:themeColor="background1" w:themeShade="BF"/>
            </w:tcBorders>
            <w:vAlign w:val="center"/>
          </w:tcPr>
          <w:p w:rsidR="00B627BB" w:rsidRPr="00B627BB" w:rsidRDefault="00B627BB" w:rsidP="00755C7E">
            <w:pPr>
              <w:pStyle w:val="NoSpacing"/>
              <w:rPr>
                <w:rFonts w:asciiTheme="minorHAnsi" w:hAnsiTheme="minorHAnsi"/>
                <w:sz w:val="20"/>
                <w:szCs w:val="20"/>
              </w:rPr>
            </w:pPr>
            <w:r w:rsidRPr="00B627BB">
              <w:rPr>
                <w:rFonts w:asciiTheme="minorHAnsi" w:hAnsiTheme="minorHAnsi"/>
                <w:sz w:val="20"/>
                <w:szCs w:val="20"/>
              </w:rPr>
              <w:t>O</w:t>
            </w:r>
          </w:p>
        </w:tc>
        <w:tc>
          <w:tcPr>
            <w:tcW w:w="240" w:type="pct"/>
            <w:gridSpan w:val="2"/>
            <w:tcBorders>
              <w:top w:val="single" w:sz="2" w:space="0" w:color="auto"/>
              <w:left w:val="single" w:sz="2" w:space="0" w:color="BFBFBF" w:themeColor="background1" w:themeShade="BF"/>
              <w:bottom w:val="single" w:sz="2" w:space="0" w:color="auto"/>
            </w:tcBorders>
            <w:vAlign w:val="center"/>
          </w:tcPr>
          <w:p w:rsidR="00B627BB" w:rsidRPr="00B627BB" w:rsidRDefault="00B627BB" w:rsidP="00D248F5">
            <w:pPr>
              <w:pStyle w:val="NoSpacing"/>
              <w:ind w:left="-116" w:right="-115"/>
              <w:jc w:val="center"/>
              <w:rPr>
                <w:rFonts w:asciiTheme="minorHAnsi" w:hAnsiTheme="minorHAnsi"/>
                <w:sz w:val="20"/>
                <w:szCs w:val="20"/>
              </w:rPr>
            </w:pPr>
            <w:r w:rsidRPr="00B627BB">
              <w:rPr>
                <w:rFonts w:asciiTheme="minorHAnsi" w:hAnsiTheme="minorHAnsi"/>
                <w:sz w:val="20"/>
                <w:szCs w:val="20"/>
              </w:rPr>
              <w:t>L</w:t>
            </w:r>
          </w:p>
        </w:tc>
        <w:tc>
          <w:tcPr>
            <w:tcW w:w="224" w:type="pct"/>
            <w:gridSpan w:val="2"/>
            <w:tcBorders>
              <w:top w:val="single" w:sz="2" w:space="0" w:color="auto"/>
              <w:bottom w:val="single" w:sz="2" w:space="0" w:color="auto"/>
            </w:tcBorders>
            <w:vAlign w:val="center"/>
          </w:tcPr>
          <w:p w:rsidR="00B627BB" w:rsidRPr="00B627BB" w:rsidRDefault="00B627BB" w:rsidP="00D248F5">
            <w:pPr>
              <w:pStyle w:val="NoSpacing"/>
              <w:ind w:left="-116" w:right="-115"/>
              <w:jc w:val="center"/>
              <w:rPr>
                <w:rFonts w:asciiTheme="minorHAnsi" w:hAnsiTheme="minorHAnsi"/>
                <w:sz w:val="20"/>
                <w:szCs w:val="20"/>
              </w:rPr>
            </w:pPr>
            <w:r w:rsidRPr="00B627BB">
              <w:rPr>
                <w:rFonts w:asciiTheme="minorHAnsi" w:hAnsiTheme="minorHAnsi"/>
                <w:sz w:val="20"/>
                <w:szCs w:val="20"/>
              </w:rPr>
              <w:t>B</w:t>
            </w:r>
          </w:p>
        </w:tc>
        <w:tc>
          <w:tcPr>
            <w:tcW w:w="308" w:type="pct"/>
            <w:tcBorders>
              <w:top w:val="single" w:sz="2" w:space="0" w:color="auto"/>
              <w:bottom w:val="single" w:sz="2" w:space="0" w:color="auto"/>
              <w:right w:val="single" w:sz="2" w:space="0" w:color="BFBFBF" w:themeColor="background1" w:themeShade="BF"/>
            </w:tcBorders>
            <w:vAlign w:val="center"/>
          </w:tcPr>
          <w:p w:rsidR="00B627BB" w:rsidRPr="00B627BB" w:rsidRDefault="00B627BB" w:rsidP="00D248F5">
            <w:pPr>
              <w:pStyle w:val="NoSpacing"/>
              <w:ind w:left="-116" w:right="-115"/>
              <w:jc w:val="center"/>
              <w:rPr>
                <w:rFonts w:asciiTheme="minorHAnsi" w:hAnsiTheme="minorHAnsi"/>
                <w:sz w:val="20"/>
                <w:szCs w:val="20"/>
              </w:rPr>
            </w:pPr>
            <w:r w:rsidRPr="00B627BB">
              <w:rPr>
                <w:rFonts w:asciiTheme="minorHAnsi" w:hAnsiTheme="minorHAnsi"/>
                <w:sz w:val="20"/>
                <w:szCs w:val="20"/>
              </w:rPr>
              <w:t>O</w:t>
            </w:r>
          </w:p>
        </w:tc>
        <w:tc>
          <w:tcPr>
            <w:tcW w:w="236" w:type="pct"/>
            <w:tcBorders>
              <w:top w:val="single" w:sz="2" w:space="0" w:color="auto"/>
              <w:left w:val="single" w:sz="2" w:space="0" w:color="BFBFBF" w:themeColor="background1" w:themeShade="BF"/>
              <w:bottom w:val="single" w:sz="2" w:space="0" w:color="auto"/>
            </w:tcBorders>
            <w:vAlign w:val="center"/>
          </w:tcPr>
          <w:p w:rsidR="00B627BB" w:rsidRPr="00B627BB" w:rsidRDefault="00B627BB" w:rsidP="00D248F5">
            <w:pPr>
              <w:pStyle w:val="NoSpacing"/>
              <w:ind w:left="-48" w:right="-98"/>
              <w:jc w:val="center"/>
              <w:rPr>
                <w:rFonts w:asciiTheme="minorHAnsi" w:hAnsiTheme="minorHAnsi"/>
                <w:sz w:val="20"/>
                <w:szCs w:val="20"/>
              </w:rPr>
            </w:pPr>
            <w:r w:rsidRPr="00B627BB">
              <w:rPr>
                <w:rFonts w:asciiTheme="minorHAnsi" w:hAnsiTheme="minorHAnsi"/>
                <w:sz w:val="20"/>
                <w:szCs w:val="20"/>
              </w:rPr>
              <w:t>L</w:t>
            </w:r>
          </w:p>
        </w:tc>
        <w:tc>
          <w:tcPr>
            <w:tcW w:w="305" w:type="pct"/>
            <w:tcBorders>
              <w:top w:val="single" w:sz="2" w:space="0" w:color="auto"/>
              <w:bottom w:val="single" w:sz="2" w:space="0" w:color="auto"/>
            </w:tcBorders>
            <w:vAlign w:val="center"/>
          </w:tcPr>
          <w:p w:rsidR="00B627BB" w:rsidRPr="00B627BB" w:rsidRDefault="00B627BB" w:rsidP="00313DBE">
            <w:pPr>
              <w:pStyle w:val="16TableText"/>
              <w:ind w:left="-68" w:right="-102" w:firstLine="20"/>
              <w:rPr>
                <w:rFonts w:asciiTheme="minorHAnsi" w:eastAsia="Arial Unicode MS" w:hAnsiTheme="minorHAnsi" w:cs="Arial Unicode MS"/>
                <w:sz w:val="20"/>
              </w:rPr>
            </w:pPr>
            <w:r w:rsidRPr="00B627BB">
              <w:rPr>
                <w:rFonts w:asciiTheme="minorHAnsi" w:eastAsia="Arial Unicode MS" w:hAnsiTheme="minorHAnsi" w:cs="Arial Unicode MS"/>
                <w:sz w:val="20"/>
              </w:rPr>
              <w:t>B</w:t>
            </w:r>
          </w:p>
        </w:tc>
        <w:tc>
          <w:tcPr>
            <w:tcW w:w="228" w:type="pct"/>
            <w:tcBorders>
              <w:top w:val="single" w:sz="2" w:space="0" w:color="auto"/>
              <w:bottom w:val="single" w:sz="2" w:space="0" w:color="auto"/>
            </w:tcBorders>
            <w:vAlign w:val="center"/>
          </w:tcPr>
          <w:p w:rsidR="00B627BB" w:rsidRPr="00B627BB" w:rsidRDefault="00B627BB" w:rsidP="00D248F5">
            <w:pPr>
              <w:pStyle w:val="16TableText"/>
              <w:ind w:left="-118" w:right="-87" w:firstLine="0"/>
              <w:rPr>
                <w:rFonts w:asciiTheme="minorHAnsi" w:eastAsia="Arial Unicode MS" w:hAnsiTheme="minorHAnsi" w:cs="Arial Unicode MS"/>
                <w:sz w:val="20"/>
              </w:rPr>
            </w:pPr>
            <w:r w:rsidRPr="00B627BB">
              <w:rPr>
                <w:rFonts w:asciiTheme="minorHAnsi" w:eastAsia="Arial Unicode MS" w:hAnsiTheme="minorHAnsi" w:cs="Arial Unicode MS"/>
                <w:sz w:val="20"/>
              </w:rPr>
              <w:t>O</w:t>
            </w:r>
          </w:p>
        </w:tc>
      </w:tr>
      <w:tr w:rsidR="00755C7E" w:rsidRPr="00532A5F" w:rsidTr="00FF5CF9">
        <w:tc>
          <w:tcPr>
            <w:tcW w:w="290" w:type="pct"/>
            <w:tcBorders>
              <w:top w:val="single" w:sz="2" w:space="0" w:color="auto"/>
              <w:right w:val="single" w:sz="2" w:space="0" w:color="BFBFBF" w:themeColor="background1" w:themeShade="BF"/>
            </w:tcBorders>
            <w:vAlign w:val="center"/>
          </w:tcPr>
          <w:p w:rsidR="00755C7E" w:rsidRPr="00B627BB" w:rsidRDefault="00755C7E" w:rsidP="00D248F5">
            <w:pPr>
              <w:pStyle w:val="NoSpacing"/>
              <w:ind w:left="-12" w:right="-94" w:hanging="130"/>
              <w:jc w:val="center"/>
              <w:rPr>
                <w:rFonts w:asciiTheme="minorHAnsi" w:hAnsiTheme="minorHAnsi"/>
                <w:sz w:val="20"/>
                <w:szCs w:val="20"/>
              </w:rPr>
            </w:pPr>
            <w:r w:rsidRPr="00B627BB">
              <w:rPr>
                <w:rFonts w:asciiTheme="minorHAnsi" w:hAnsiTheme="minorHAnsi"/>
                <w:sz w:val="20"/>
                <w:szCs w:val="20"/>
              </w:rPr>
              <w:t>Max</w:t>
            </w:r>
          </w:p>
        </w:tc>
        <w:tc>
          <w:tcPr>
            <w:tcW w:w="229" w:type="pct"/>
            <w:tcBorders>
              <w:top w:val="single" w:sz="2" w:space="0" w:color="auto"/>
              <w:left w:val="single" w:sz="2" w:space="0" w:color="BFBFBF" w:themeColor="background1" w:themeShade="BF"/>
            </w:tcBorders>
            <w:vAlign w:val="center"/>
          </w:tcPr>
          <w:p w:rsidR="00755C7E" w:rsidRPr="00B627BB" w:rsidRDefault="00755C7E" w:rsidP="00D248F5">
            <w:pPr>
              <w:pStyle w:val="NoSpacing"/>
              <w:ind w:left="-126" w:right="-94" w:hanging="8"/>
              <w:jc w:val="center"/>
              <w:rPr>
                <w:rFonts w:asciiTheme="minorHAnsi" w:hAnsiTheme="minorHAnsi"/>
                <w:sz w:val="20"/>
                <w:szCs w:val="20"/>
              </w:rPr>
            </w:pPr>
            <w:r>
              <w:rPr>
                <w:rFonts w:asciiTheme="minorHAnsi" w:hAnsiTheme="minorHAnsi"/>
                <w:sz w:val="20"/>
                <w:szCs w:val="20"/>
              </w:rPr>
              <w:t>59.5</w:t>
            </w:r>
          </w:p>
        </w:tc>
        <w:tc>
          <w:tcPr>
            <w:tcW w:w="313" w:type="pct"/>
            <w:tcBorders>
              <w:top w:val="single" w:sz="2" w:space="0" w:color="auto"/>
            </w:tcBorders>
            <w:vAlign w:val="center"/>
          </w:tcPr>
          <w:p w:rsidR="00755C7E" w:rsidRPr="00B627BB" w:rsidRDefault="00755C7E" w:rsidP="00D248F5">
            <w:pPr>
              <w:pStyle w:val="NoSpacing"/>
              <w:ind w:left="-84" w:right="-94" w:firstLine="46"/>
              <w:jc w:val="center"/>
              <w:rPr>
                <w:rFonts w:asciiTheme="minorHAnsi" w:hAnsiTheme="minorHAnsi"/>
                <w:sz w:val="20"/>
                <w:szCs w:val="20"/>
              </w:rPr>
            </w:pPr>
            <w:r>
              <w:rPr>
                <w:rFonts w:asciiTheme="minorHAnsi" w:hAnsiTheme="minorHAnsi"/>
                <w:sz w:val="20"/>
                <w:szCs w:val="20"/>
              </w:rPr>
              <w:t>61.8</w:t>
            </w:r>
          </w:p>
        </w:tc>
        <w:tc>
          <w:tcPr>
            <w:tcW w:w="236" w:type="pct"/>
            <w:tcBorders>
              <w:top w:val="single" w:sz="2" w:space="0" w:color="auto"/>
              <w:right w:val="single" w:sz="2" w:space="0" w:color="BFBFBF" w:themeColor="background1" w:themeShade="BF"/>
            </w:tcBorders>
            <w:vAlign w:val="center"/>
          </w:tcPr>
          <w:p w:rsidR="00755C7E" w:rsidRPr="00B627BB" w:rsidRDefault="00755C7E" w:rsidP="00D248F5">
            <w:pPr>
              <w:pStyle w:val="NoSpacing"/>
              <w:ind w:left="-70" w:right="-94"/>
              <w:jc w:val="center"/>
              <w:rPr>
                <w:rFonts w:asciiTheme="minorHAnsi" w:hAnsiTheme="minorHAnsi"/>
                <w:sz w:val="20"/>
                <w:szCs w:val="20"/>
              </w:rPr>
            </w:pPr>
            <w:r>
              <w:rPr>
                <w:rFonts w:asciiTheme="minorHAnsi" w:hAnsiTheme="minorHAnsi"/>
                <w:sz w:val="20"/>
                <w:szCs w:val="20"/>
              </w:rPr>
              <w:t>92.0</w:t>
            </w:r>
          </w:p>
        </w:tc>
        <w:tc>
          <w:tcPr>
            <w:tcW w:w="255" w:type="pct"/>
            <w:tcBorders>
              <w:top w:val="single" w:sz="2" w:space="0" w:color="auto"/>
              <w:left w:val="single" w:sz="2" w:space="0" w:color="BFBFBF" w:themeColor="background1" w:themeShade="BF"/>
            </w:tcBorders>
            <w:vAlign w:val="center"/>
          </w:tcPr>
          <w:p w:rsidR="00755C7E" w:rsidRPr="00B627BB" w:rsidRDefault="00755C7E" w:rsidP="00D248F5">
            <w:pPr>
              <w:pStyle w:val="NoSpacing"/>
              <w:ind w:left="-73" w:right="-38"/>
              <w:jc w:val="center"/>
              <w:rPr>
                <w:rFonts w:asciiTheme="minorHAnsi" w:hAnsiTheme="minorHAnsi"/>
                <w:sz w:val="20"/>
                <w:szCs w:val="20"/>
              </w:rPr>
            </w:pPr>
            <w:r>
              <w:rPr>
                <w:rFonts w:asciiTheme="minorHAnsi" w:hAnsiTheme="minorHAnsi"/>
                <w:sz w:val="20"/>
                <w:szCs w:val="20"/>
              </w:rPr>
              <w:t>60.4</w:t>
            </w:r>
          </w:p>
        </w:tc>
        <w:tc>
          <w:tcPr>
            <w:tcW w:w="306" w:type="pct"/>
            <w:tcBorders>
              <w:top w:val="single" w:sz="2" w:space="0" w:color="auto"/>
            </w:tcBorders>
            <w:vAlign w:val="center"/>
          </w:tcPr>
          <w:p w:rsidR="00755C7E" w:rsidRPr="00B627BB" w:rsidRDefault="00755C7E" w:rsidP="00D248F5">
            <w:pPr>
              <w:pStyle w:val="NoSpacing"/>
              <w:ind w:left="-73" w:right="-38"/>
              <w:jc w:val="center"/>
              <w:rPr>
                <w:rFonts w:asciiTheme="minorHAnsi" w:hAnsiTheme="minorHAnsi"/>
                <w:sz w:val="20"/>
                <w:szCs w:val="20"/>
              </w:rPr>
            </w:pPr>
            <w:r>
              <w:rPr>
                <w:rFonts w:asciiTheme="minorHAnsi" w:hAnsiTheme="minorHAnsi"/>
                <w:sz w:val="20"/>
                <w:szCs w:val="20"/>
              </w:rPr>
              <w:t>57.0</w:t>
            </w:r>
          </w:p>
        </w:tc>
        <w:tc>
          <w:tcPr>
            <w:tcW w:w="255" w:type="pct"/>
            <w:tcBorders>
              <w:top w:val="single" w:sz="2" w:space="0" w:color="auto"/>
              <w:right w:val="single" w:sz="2" w:space="0" w:color="BFBFBF" w:themeColor="background1" w:themeShade="BF"/>
            </w:tcBorders>
            <w:vAlign w:val="center"/>
          </w:tcPr>
          <w:p w:rsidR="00755C7E" w:rsidRPr="00B627BB" w:rsidRDefault="00755C7E" w:rsidP="00D248F5">
            <w:pPr>
              <w:pStyle w:val="NoSpacing"/>
              <w:ind w:left="-73" w:right="-38"/>
              <w:jc w:val="center"/>
              <w:rPr>
                <w:rFonts w:asciiTheme="minorHAnsi" w:hAnsiTheme="minorHAnsi"/>
                <w:sz w:val="20"/>
                <w:szCs w:val="20"/>
              </w:rPr>
            </w:pPr>
            <w:r>
              <w:rPr>
                <w:rFonts w:asciiTheme="minorHAnsi" w:hAnsiTheme="minorHAnsi"/>
                <w:sz w:val="20"/>
                <w:szCs w:val="20"/>
              </w:rPr>
              <w:t>74.6</w:t>
            </w:r>
          </w:p>
        </w:tc>
        <w:tc>
          <w:tcPr>
            <w:tcW w:w="262" w:type="pct"/>
            <w:tcBorders>
              <w:top w:val="single" w:sz="2" w:space="0" w:color="auto"/>
              <w:left w:val="single" w:sz="2" w:space="0" w:color="BFBFBF" w:themeColor="background1" w:themeShade="BF"/>
            </w:tcBorders>
            <w:vAlign w:val="center"/>
          </w:tcPr>
          <w:p w:rsidR="00755C7E" w:rsidRPr="00B627BB" w:rsidRDefault="00755C7E" w:rsidP="00D248F5">
            <w:pPr>
              <w:pStyle w:val="NoSpacing"/>
              <w:ind w:left="-55" w:right="-108" w:firstLine="12"/>
              <w:jc w:val="center"/>
              <w:rPr>
                <w:rFonts w:asciiTheme="minorHAnsi" w:hAnsiTheme="minorHAnsi"/>
                <w:sz w:val="20"/>
                <w:szCs w:val="20"/>
              </w:rPr>
            </w:pPr>
            <w:r>
              <w:rPr>
                <w:rFonts w:asciiTheme="minorHAnsi" w:hAnsiTheme="minorHAnsi"/>
                <w:sz w:val="20"/>
                <w:szCs w:val="20"/>
              </w:rPr>
              <w:t>67.3</w:t>
            </w:r>
          </w:p>
        </w:tc>
        <w:tc>
          <w:tcPr>
            <w:tcW w:w="231" w:type="pct"/>
            <w:tcBorders>
              <w:top w:val="single" w:sz="2" w:space="0" w:color="auto"/>
            </w:tcBorders>
            <w:vAlign w:val="center"/>
          </w:tcPr>
          <w:p w:rsidR="00755C7E" w:rsidRPr="00B627BB" w:rsidRDefault="00755C7E" w:rsidP="00D248F5">
            <w:pPr>
              <w:pStyle w:val="NoSpacing"/>
              <w:ind w:left="-55" w:right="-108" w:firstLine="12"/>
              <w:jc w:val="center"/>
              <w:rPr>
                <w:rFonts w:asciiTheme="minorHAnsi" w:hAnsiTheme="minorHAnsi"/>
                <w:sz w:val="20"/>
                <w:szCs w:val="20"/>
              </w:rPr>
            </w:pPr>
            <w:r>
              <w:rPr>
                <w:rFonts w:asciiTheme="minorHAnsi" w:hAnsiTheme="minorHAnsi"/>
                <w:sz w:val="20"/>
                <w:szCs w:val="20"/>
              </w:rPr>
              <w:t>61.6</w:t>
            </w:r>
          </w:p>
        </w:tc>
        <w:tc>
          <w:tcPr>
            <w:tcW w:w="310" w:type="pct"/>
            <w:tcBorders>
              <w:top w:val="single" w:sz="2" w:space="0" w:color="auto"/>
              <w:right w:val="single" w:sz="2" w:space="0" w:color="BFBFBF" w:themeColor="background1" w:themeShade="BF"/>
            </w:tcBorders>
            <w:vAlign w:val="center"/>
          </w:tcPr>
          <w:p w:rsidR="00755C7E" w:rsidRPr="00B627BB" w:rsidRDefault="00755C7E" w:rsidP="00D248F5">
            <w:pPr>
              <w:pStyle w:val="NoSpacing"/>
              <w:ind w:left="-55" w:right="-108" w:firstLine="12"/>
              <w:jc w:val="center"/>
              <w:rPr>
                <w:rFonts w:asciiTheme="minorHAnsi" w:hAnsiTheme="minorHAnsi"/>
                <w:sz w:val="20"/>
                <w:szCs w:val="20"/>
              </w:rPr>
            </w:pPr>
            <w:r>
              <w:rPr>
                <w:rFonts w:asciiTheme="minorHAnsi" w:hAnsiTheme="minorHAnsi"/>
                <w:sz w:val="20"/>
                <w:szCs w:val="20"/>
              </w:rPr>
              <w:t>85.5</w:t>
            </w:r>
          </w:p>
        </w:tc>
        <w:tc>
          <w:tcPr>
            <w:tcW w:w="253" w:type="pct"/>
            <w:tcBorders>
              <w:top w:val="single" w:sz="2" w:space="0" w:color="auto"/>
              <w:left w:val="single" w:sz="2" w:space="0" w:color="BFBFBF" w:themeColor="background1" w:themeShade="BF"/>
            </w:tcBorders>
            <w:vAlign w:val="bottom"/>
          </w:tcPr>
          <w:p w:rsidR="00755C7E" w:rsidRPr="001C41F7" w:rsidRDefault="00755C7E" w:rsidP="001C41F7">
            <w:pPr>
              <w:ind w:left="-113" w:right="-64"/>
              <w:jc w:val="right"/>
              <w:rPr>
                <w:rFonts w:ascii="Calibri" w:hAnsi="Calibri"/>
                <w:color w:val="000000"/>
                <w:szCs w:val="20"/>
              </w:rPr>
            </w:pPr>
            <w:r w:rsidRPr="001C41F7">
              <w:rPr>
                <w:rFonts w:ascii="Calibri" w:hAnsi="Calibri"/>
                <w:color w:val="000000"/>
                <w:szCs w:val="20"/>
              </w:rPr>
              <w:t>54.7</w:t>
            </w:r>
          </w:p>
        </w:tc>
        <w:tc>
          <w:tcPr>
            <w:tcW w:w="253" w:type="pct"/>
            <w:gridSpan w:val="2"/>
            <w:tcBorders>
              <w:top w:val="single" w:sz="2" w:space="0" w:color="auto"/>
            </w:tcBorders>
            <w:vAlign w:val="bottom"/>
          </w:tcPr>
          <w:p w:rsidR="00755C7E" w:rsidRPr="0056579F" w:rsidRDefault="00755C7E" w:rsidP="0056579F">
            <w:pPr>
              <w:ind w:left="-152" w:right="-30"/>
              <w:jc w:val="right"/>
              <w:rPr>
                <w:rFonts w:ascii="Calibri" w:hAnsi="Calibri"/>
                <w:color w:val="000000"/>
                <w:szCs w:val="20"/>
              </w:rPr>
            </w:pPr>
            <w:r w:rsidRPr="0056579F">
              <w:rPr>
                <w:rFonts w:ascii="Calibri" w:hAnsi="Calibri"/>
                <w:color w:val="000000"/>
                <w:szCs w:val="20"/>
              </w:rPr>
              <w:t>49.9</w:t>
            </w:r>
          </w:p>
        </w:tc>
        <w:tc>
          <w:tcPr>
            <w:tcW w:w="266" w:type="pct"/>
            <w:gridSpan w:val="2"/>
            <w:tcBorders>
              <w:top w:val="single" w:sz="2" w:space="0" w:color="auto"/>
              <w:right w:val="single" w:sz="2" w:space="0" w:color="BFBFBF" w:themeColor="background1" w:themeShade="BF"/>
            </w:tcBorders>
            <w:vAlign w:val="bottom"/>
          </w:tcPr>
          <w:p w:rsidR="00755C7E" w:rsidRPr="00755C7E" w:rsidRDefault="00755C7E" w:rsidP="00755C7E">
            <w:pPr>
              <w:ind w:left="-50" w:right="-103"/>
              <w:rPr>
                <w:rFonts w:ascii="Calibri" w:hAnsi="Calibri"/>
                <w:color w:val="000000"/>
                <w:szCs w:val="20"/>
              </w:rPr>
            </w:pPr>
            <w:r w:rsidRPr="00755C7E">
              <w:rPr>
                <w:rFonts w:ascii="Calibri" w:hAnsi="Calibri"/>
                <w:color w:val="000000"/>
                <w:szCs w:val="20"/>
              </w:rPr>
              <w:t>87</w:t>
            </w:r>
            <w:r>
              <w:rPr>
                <w:rFonts w:ascii="Calibri" w:hAnsi="Calibri"/>
                <w:color w:val="000000"/>
                <w:szCs w:val="20"/>
              </w:rPr>
              <w:t>.0</w:t>
            </w:r>
          </w:p>
        </w:tc>
        <w:tc>
          <w:tcPr>
            <w:tcW w:w="233" w:type="pct"/>
            <w:tcBorders>
              <w:top w:val="single" w:sz="2" w:space="0" w:color="auto"/>
              <w:left w:val="single" w:sz="2" w:space="0" w:color="BFBFBF" w:themeColor="background1" w:themeShade="BF"/>
            </w:tcBorders>
            <w:vAlign w:val="center"/>
          </w:tcPr>
          <w:p w:rsidR="00755C7E" w:rsidRPr="00B627BB" w:rsidRDefault="00755C7E" w:rsidP="00D248F5">
            <w:pPr>
              <w:pStyle w:val="NoSpacing"/>
              <w:ind w:left="-116" w:right="-115"/>
              <w:jc w:val="center"/>
              <w:rPr>
                <w:rFonts w:asciiTheme="minorHAnsi" w:hAnsiTheme="minorHAnsi"/>
                <w:sz w:val="20"/>
                <w:szCs w:val="20"/>
              </w:rPr>
            </w:pPr>
            <w:r>
              <w:rPr>
                <w:rFonts w:asciiTheme="minorHAnsi" w:hAnsiTheme="minorHAnsi"/>
                <w:sz w:val="20"/>
                <w:szCs w:val="20"/>
              </w:rPr>
              <w:t>60.9</w:t>
            </w:r>
          </w:p>
        </w:tc>
        <w:tc>
          <w:tcPr>
            <w:tcW w:w="224" w:type="pct"/>
            <w:gridSpan w:val="2"/>
            <w:tcBorders>
              <w:top w:val="single" w:sz="2" w:space="0" w:color="auto"/>
            </w:tcBorders>
            <w:vAlign w:val="center"/>
          </w:tcPr>
          <w:p w:rsidR="00755C7E" w:rsidRPr="00B627BB" w:rsidRDefault="00755C7E" w:rsidP="00D248F5">
            <w:pPr>
              <w:pStyle w:val="NoSpacing"/>
              <w:ind w:left="-116" w:right="-115"/>
              <w:jc w:val="center"/>
              <w:rPr>
                <w:rFonts w:asciiTheme="minorHAnsi" w:hAnsiTheme="minorHAnsi"/>
                <w:sz w:val="20"/>
                <w:szCs w:val="20"/>
              </w:rPr>
            </w:pPr>
            <w:r>
              <w:rPr>
                <w:rFonts w:asciiTheme="minorHAnsi" w:hAnsiTheme="minorHAnsi"/>
                <w:sz w:val="20"/>
                <w:szCs w:val="20"/>
              </w:rPr>
              <w:t>55.9</w:t>
            </w:r>
          </w:p>
        </w:tc>
        <w:tc>
          <w:tcPr>
            <w:tcW w:w="315" w:type="pct"/>
            <w:gridSpan w:val="2"/>
            <w:tcBorders>
              <w:top w:val="single" w:sz="2" w:space="0" w:color="auto"/>
              <w:right w:val="single" w:sz="2" w:space="0" w:color="BFBFBF" w:themeColor="background1" w:themeShade="BF"/>
            </w:tcBorders>
            <w:vAlign w:val="center"/>
          </w:tcPr>
          <w:p w:rsidR="00755C7E" w:rsidRPr="00B627BB" w:rsidRDefault="00755C7E" w:rsidP="00D248F5">
            <w:pPr>
              <w:pStyle w:val="NoSpacing"/>
              <w:ind w:left="-116" w:right="-115"/>
              <w:jc w:val="center"/>
              <w:rPr>
                <w:rFonts w:asciiTheme="minorHAnsi" w:hAnsiTheme="minorHAnsi"/>
                <w:sz w:val="20"/>
                <w:szCs w:val="20"/>
              </w:rPr>
            </w:pPr>
            <w:r>
              <w:rPr>
                <w:rFonts w:asciiTheme="minorHAnsi" w:hAnsiTheme="minorHAnsi"/>
                <w:sz w:val="20"/>
                <w:szCs w:val="20"/>
              </w:rPr>
              <w:t>80.9</w:t>
            </w:r>
          </w:p>
        </w:tc>
        <w:tc>
          <w:tcPr>
            <w:tcW w:w="236" w:type="pct"/>
            <w:tcBorders>
              <w:top w:val="single" w:sz="2" w:space="0" w:color="auto"/>
              <w:left w:val="single" w:sz="2" w:space="0" w:color="BFBFBF" w:themeColor="background1" w:themeShade="BF"/>
            </w:tcBorders>
            <w:vAlign w:val="center"/>
          </w:tcPr>
          <w:p w:rsidR="00755C7E" w:rsidRPr="00B627BB" w:rsidRDefault="00755C7E" w:rsidP="00D248F5">
            <w:pPr>
              <w:pStyle w:val="NoSpacing"/>
              <w:ind w:left="-48" w:right="-98"/>
              <w:jc w:val="center"/>
              <w:rPr>
                <w:rFonts w:asciiTheme="minorHAnsi" w:hAnsiTheme="minorHAnsi"/>
                <w:sz w:val="20"/>
                <w:szCs w:val="20"/>
              </w:rPr>
            </w:pPr>
            <w:r w:rsidRPr="00B627BB">
              <w:rPr>
                <w:rFonts w:asciiTheme="minorHAnsi" w:hAnsiTheme="minorHAnsi"/>
                <w:sz w:val="20"/>
                <w:szCs w:val="20"/>
              </w:rPr>
              <w:t>60.4</w:t>
            </w:r>
          </w:p>
        </w:tc>
        <w:tc>
          <w:tcPr>
            <w:tcW w:w="305" w:type="pct"/>
            <w:tcBorders>
              <w:top w:val="single" w:sz="2" w:space="0" w:color="auto"/>
            </w:tcBorders>
            <w:vAlign w:val="center"/>
          </w:tcPr>
          <w:p w:rsidR="00755C7E" w:rsidRPr="00B627BB" w:rsidRDefault="00755C7E" w:rsidP="00313DBE">
            <w:pPr>
              <w:pStyle w:val="16TableText"/>
              <w:ind w:left="-68" w:right="-102" w:firstLine="20"/>
              <w:rPr>
                <w:rFonts w:asciiTheme="minorHAnsi" w:eastAsia="Arial Unicode MS" w:hAnsiTheme="minorHAnsi" w:cs="Arial Unicode MS"/>
                <w:sz w:val="20"/>
              </w:rPr>
            </w:pPr>
            <w:r>
              <w:rPr>
                <w:rFonts w:asciiTheme="minorHAnsi" w:eastAsia="Arial Unicode MS" w:hAnsiTheme="minorHAnsi" w:cs="Arial Unicode MS"/>
                <w:sz w:val="20"/>
              </w:rPr>
              <w:t>53.6</w:t>
            </w:r>
          </w:p>
        </w:tc>
        <w:tc>
          <w:tcPr>
            <w:tcW w:w="228" w:type="pct"/>
            <w:tcBorders>
              <w:top w:val="single" w:sz="2" w:space="0" w:color="auto"/>
            </w:tcBorders>
            <w:vAlign w:val="center"/>
          </w:tcPr>
          <w:p w:rsidR="00755C7E" w:rsidRPr="00B627BB" w:rsidRDefault="00755C7E" w:rsidP="00D248F5">
            <w:pPr>
              <w:pStyle w:val="16TableText"/>
              <w:ind w:left="-118" w:right="-87" w:firstLine="0"/>
              <w:rPr>
                <w:rFonts w:asciiTheme="minorHAnsi" w:eastAsia="Arial Unicode MS" w:hAnsiTheme="minorHAnsi" w:cs="Arial Unicode MS"/>
                <w:sz w:val="20"/>
              </w:rPr>
            </w:pPr>
            <w:r>
              <w:rPr>
                <w:rFonts w:asciiTheme="minorHAnsi" w:eastAsia="Arial Unicode MS" w:hAnsiTheme="minorHAnsi" w:cs="Arial Unicode MS"/>
                <w:sz w:val="20"/>
              </w:rPr>
              <w:t>78.7</w:t>
            </w:r>
          </w:p>
        </w:tc>
      </w:tr>
      <w:tr w:rsidR="00755C7E" w:rsidRPr="00532A5F" w:rsidTr="00FF5CF9">
        <w:tc>
          <w:tcPr>
            <w:tcW w:w="290" w:type="pct"/>
            <w:tcBorders>
              <w:right w:val="single" w:sz="2" w:space="0" w:color="BFBFBF" w:themeColor="background1" w:themeShade="BF"/>
            </w:tcBorders>
            <w:vAlign w:val="center"/>
          </w:tcPr>
          <w:p w:rsidR="00755C7E" w:rsidRPr="00B627BB" w:rsidRDefault="00755C7E" w:rsidP="00D248F5">
            <w:pPr>
              <w:pStyle w:val="NoSpacing"/>
              <w:ind w:left="-12" w:right="-94" w:hanging="130"/>
              <w:jc w:val="center"/>
              <w:rPr>
                <w:rFonts w:asciiTheme="minorHAnsi" w:hAnsiTheme="minorHAnsi"/>
                <w:sz w:val="20"/>
                <w:szCs w:val="20"/>
              </w:rPr>
            </w:pPr>
            <w:r w:rsidRPr="00B627BB">
              <w:rPr>
                <w:rFonts w:asciiTheme="minorHAnsi" w:hAnsiTheme="minorHAnsi"/>
                <w:sz w:val="20"/>
                <w:szCs w:val="20"/>
              </w:rPr>
              <w:t>Min</w:t>
            </w:r>
          </w:p>
        </w:tc>
        <w:tc>
          <w:tcPr>
            <w:tcW w:w="229" w:type="pct"/>
            <w:tcBorders>
              <w:left w:val="single" w:sz="2" w:space="0" w:color="BFBFBF" w:themeColor="background1" w:themeShade="BF"/>
            </w:tcBorders>
            <w:vAlign w:val="center"/>
          </w:tcPr>
          <w:p w:rsidR="00755C7E" w:rsidRPr="00B627BB" w:rsidRDefault="00755C7E" w:rsidP="00D248F5">
            <w:pPr>
              <w:pStyle w:val="NoSpacing"/>
              <w:ind w:left="-126" w:right="-94" w:hanging="8"/>
              <w:jc w:val="center"/>
              <w:rPr>
                <w:rFonts w:asciiTheme="minorHAnsi" w:hAnsiTheme="minorHAnsi"/>
                <w:sz w:val="20"/>
                <w:szCs w:val="20"/>
              </w:rPr>
            </w:pPr>
            <w:r>
              <w:rPr>
                <w:rFonts w:asciiTheme="minorHAnsi" w:hAnsiTheme="minorHAnsi"/>
                <w:sz w:val="20"/>
                <w:szCs w:val="20"/>
              </w:rPr>
              <w:t>50.4</w:t>
            </w:r>
          </w:p>
        </w:tc>
        <w:tc>
          <w:tcPr>
            <w:tcW w:w="313" w:type="pct"/>
            <w:vAlign w:val="center"/>
          </w:tcPr>
          <w:p w:rsidR="00755C7E" w:rsidRPr="00B627BB" w:rsidRDefault="00755C7E" w:rsidP="00D248F5">
            <w:pPr>
              <w:pStyle w:val="NoSpacing"/>
              <w:ind w:left="-84" w:right="-94" w:firstLine="46"/>
              <w:jc w:val="center"/>
              <w:rPr>
                <w:rFonts w:asciiTheme="minorHAnsi" w:hAnsiTheme="minorHAnsi"/>
                <w:sz w:val="20"/>
                <w:szCs w:val="20"/>
              </w:rPr>
            </w:pPr>
            <w:r>
              <w:rPr>
                <w:rFonts w:asciiTheme="minorHAnsi" w:hAnsiTheme="minorHAnsi"/>
                <w:sz w:val="20"/>
                <w:szCs w:val="20"/>
              </w:rPr>
              <w:t>47.2</w:t>
            </w:r>
          </w:p>
        </w:tc>
        <w:tc>
          <w:tcPr>
            <w:tcW w:w="236" w:type="pct"/>
            <w:tcBorders>
              <w:right w:val="single" w:sz="2" w:space="0" w:color="BFBFBF" w:themeColor="background1" w:themeShade="BF"/>
            </w:tcBorders>
            <w:vAlign w:val="center"/>
          </w:tcPr>
          <w:p w:rsidR="00755C7E" w:rsidRPr="00B627BB" w:rsidRDefault="00755C7E" w:rsidP="00D248F5">
            <w:pPr>
              <w:pStyle w:val="NoSpacing"/>
              <w:ind w:left="-70" w:right="-94"/>
              <w:jc w:val="center"/>
              <w:rPr>
                <w:rFonts w:asciiTheme="minorHAnsi" w:hAnsiTheme="minorHAnsi"/>
                <w:sz w:val="20"/>
                <w:szCs w:val="20"/>
              </w:rPr>
            </w:pPr>
            <w:r>
              <w:rPr>
                <w:rFonts w:asciiTheme="minorHAnsi" w:hAnsiTheme="minorHAnsi"/>
                <w:sz w:val="20"/>
                <w:szCs w:val="20"/>
              </w:rPr>
              <w:t>60.0</w:t>
            </w:r>
          </w:p>
        </w:tc>
        <w:tc>
          <w:tcPr>
            <w:tcW w:w="255" w:type="pct"/>
            <w:tcBorders>
              <w:left w:val="single" w:sz="2" w:space="0" w:color="BFBFBF" w:themeColor="background1" w:themeShade="BF"/>
            </w:tcBorders>
            <w:vAlign w:val="center"/>
          </w:tcPr>
          <w:p w:rsidR="00755C7E" w:rsidRPr="00B627BB" w:rsidRDefault="00755C7E" w:rsidP="00D248F5">
            <w:pPr>
              <w:pStyle w:val="NoSpacing"/>
              <w:ind w:left="-73" w:right="-38"/>
              <w:jc w:val="center"/>
              <w:rPr>
                <w:rFonts w:asciiTheme="minorHAnsi" w:hAnsiTheme="minorHAnsi"/>
                <w:sz w:val="20"/>
                <w:szCs w:val="20"/>
              </w:rPr>
            </w:pPr>
            <w:r>
              <w:rPr>
                <w:rFonts w:asciiTheme="minorHAnsi" w:hAnsiTheme="minorHAnsi"/>
                <w:sz w:val="20"/>
                <w:szCs w:val="20"/>
              </w:rPr>
              <w:t>41.6</w:t>
            </w:r>
          </w:p>
        </w:tc>
        <w:tc>
          <w:tcPr>
            <w:tcW w:w="306" w:type="pct"/>
            <w:vAlign w:val="center"/>
          </w:tcPr>
          <w:p w:rsidR="00755C7E" w:rsidRPr="00B627BB" w:rsidRDefault="00755C7E" w:rsidP="00D248F5">
            <w:pPr>
              <w:pStyle w:val="NoSpacing"/>
              <w:ind w:left="-73" w:right="-38"/>
              <w:jc w:val="center"/>
              <w:rPr>
                <w:rFonts w:asciiTheme="minorHAnsi" w:hAnsiTheme="minorHAnsi"/>
                <w:sz w:val="20"/>
                <w:szCs w:val="20"/>
              </w:rPr>
            </w:pPr>
            <w:r>
              <w:rPr>
                <w:rFonts w:asciiTheme="minorHAnsi" w:hAnsiTheme="minorHAnsi"/>
                <w:sz w:val="20"/>
                <w:szCs w:val="20"/>
              </w:rPr>
              <w:t>35.2</w:t>
            </w:r>
          </w:p>
        </w:tc>
        <w:tc>
          <w:tcPr>
            <w:tcW w:w="255" w:type="pct"/>
            <w:tcBorders>
              <w:right w:val="single" w:sz="2" w:space="0" w:color="BFBFBF" w:themeColor="background1" w:themeShade="BF"/>
            </w:tcBorders>
            <w:vAlign w:val="center"/>
          </w:tcPr>
          <w:p w:rsidR="00755C7E" w:rsidRPr="00B627BB" w:rsidRDefault="00755C7E" w:rsidP="00D248F5">
            <w:pPr>
              <w:pStyle w:val="NoSpacing"/>
              <w:ind w:left="-73" w:right="-38"/>
              <w:jc w:val="center"/>
              <w:rPr>
                <w:rFonts w:asciiTheme="minorHAnsi" w:hAnsiTheme="minorHAnsi"/>
                <w:sz w:val="20"/>
                <w:szCs w:val="20"/>
              </w:rPr>
            </w:pPr>
            <w:r>
              <w:rPr>
                <w:rFonts w:asciiTheme="minorHAnsi" w:hAnsiTheme="minorHAnsi"/>
                <w:sz w:val="20"/>
                <w:szCs w:val="20"/>
              </w:rPr>
              <w:t>38.4</w:t>
            </w:r>
          </w:p>
        </w:tc>
        <w:tc>
          <w:tcPr>
            <w:tcW w:w="262" w:type="pct"/>
            <w:tcBorders>
              <w:left w:val="single" w:sz="2" w:space="0" w:color="BFBFBF" w:themeColor="background1" w:themeShade="BF"/>
            </w:tcBorders>
            <w:vAlign w:val="center"/>
          </w:tcPr>
          <w:p w:rsidR="00755C7E" w:rsidRPr="00B627BB" w:rsidRDefault="00755C7E" w:rsidP="00D248F5">
            <w:pPr>
              <w:pStyle w:val="NoSpacing"/>
              <w:ind w:left="-55" w:right="-108" w:firstLine="12"/>
              <w:jc w:val="center"/>
              <w:rPr>
                <w:rFonts w:asciiTheme="minorHAnsi" w:hAnsiTheme="minorHAnsi"/>
                <w:sz w:val="20"/>
                <w:szCs w:val="20"/>
              </w:rPr>
            </w:pPr>
            <w:r>
              <w:rPr>
                <w:rFonts w:asciiTheme="minorHAnsi" w:hAnsiTheme="minorHAnsi"/>
                <w:sz w:val="20"/>
                <w:szCs w:val="20"/>
              </w:rPr>
              <w:t>58.5</w:t>
            </w:r>
          </w:p>
        </w:tc>
        <w:tc>
          <w:tcPr>
            <w:tcW w:w="231" w:type="pct"/>
            <w:vAlign w:val="center"/>
          </w:tcPr>
          <w:p w:rsidR="00755C7E" w:rsidRPr="00B627BB" w:rsidRDefault="00755C7E" w:rsidP="00D248F5">
            <w:pPr>
              <w:pStyle w:val="NoSpacing"/>
              <w:ind w:left="-55" w:right="-108" w:firstLine="12"/>
              <w:jc w:val="center"/>
              <w:rPr>
                <w:rFonts w:asciiTheme="minorHAnsi" w:hAnsiTheme="minorHAnsi"/>
                <w:sz w:val="20"/>
                <w:szCs w:val="20"/>
              </w:rPr>
            </w:pPr>
            <w:r>
              <w:rPr>
                <w:rFonts w:asciiTheme="minorHAnsi" w:hAnsiTheme="minorHAnsi"/>
                <w:sz w:val="20"/>
                <w:szCs w:val="20"/>
              </w:rPr>
              <w:t>54.8</w:t>
            </w:r>
          </w:p>
        </w:tc>
        <w:tc>
          <w:tcPr>
            <w:tcW w:w="310" w:type="pct"/>
            <w:tcBorders>
              <w:right w:val="single" w:sz="2" w:space="0" w:color="BFBFBF" w:themeColor="background1" w:themeShade="BF"/>
            </w:tcBorders>
            <w:vAlign w:val="center"/>
          </w:tcPr>
          <w:p w:rsidR="00755C7E" w:rsidRPr="00B627BB" w:rsidRDefault="00755C7E" w:rsidP="00D248F5">
            <w:pPr>
              <w:pStyle w:val="NoSpacing"/>
              <w:ind w:left="-55" w:right="-108" w:firstLine="12"/>
              <w:jc w:val="center"/>
              <w:rPr>
                <w:rFonts w:asciiTheme="minorHAnsi" w:hAnsiTheme="minorHAnsi"/>
                <w:sz w:val="20"/>
                <w:szCs w:val="20"/>
              </w:rPr>
            </w:pPr>
            <w:r>
              <w:rPr>
                <w:rFonts w:asciiTheme="minorHAnsi" w:hAnsiTheme="minorHAnsi"/>
                <w:sz w:val="20"/>
                <w:szCs w:val="20"/>
              </w:rPr>
              <w:t>57.6</w:t>
            </w:r>
          </w:p>
        </w:tc>
        <w:tc>
          <w:tcPr>
            <w:tcW w:w="253" w:type="pct"/>
            <w:tcBorders>
              <w:left w:val="single" w:sz="2" w:space="0" w:color="BFBFBF" w:themeColor="background1" w:themeShade="BF"/>
            </w:tcBorders>
            <w:vAlign w:val="bottom"/>
          </w:tcPr>
          <w:p w:rsidR="00755C7E" w:rsidRPr="001C41F7" w:rsidRDefault="00755C7E" w:rsidP="001C41F7">
            <w:pPr>
              <w:ind w:left="-113" w:right="-64"/>
              <w:jc w:val="right"/>
              <w:rPr>
                <w:rFonts w:ascii="Calibri" w:hAnsi="Calibri"/>
                <w:color w:val="000000"/>
                <w:szCs w:val="20"/>
              </w:rPr>
            </w:pPr>
            <w:r w:rsidRPr="001C41F7">
              <w:rPr>
                <w:rFonts w:ascii="Calibri" w:hAnsi="Calibri"/>
                <w:color w:val="000000"/>
                <w:szCs w:val="20"/>
              </w:rPr>
              <w:t>35.3</w:t>
            </w:r>
          </w:p>
        </w:tc>
        <w:tc>
          <w:tcPr>
            <w:tcW w:w="253" w:type="pct"/>
            <w:gridSpan w:val="2"/>
            <w:vAlign w:val="bottom"/>
          </w:tcPr>
          <w:p w:rsidR="00755C7E" w:rsidRPr="0056579F" w:rsidRDefault="00755C7E" w:rsidP="0056579F">
            <w:pPr>
              <w:ind w:left="-152" w:right="-30"/>
              <w:jc w:val="right"/>
              <w:rPr>
                <w:rFonts w:ascii="Calibri" w:hAnsi="Calibri"/>
                <w:color w:val="000000"/>
                <w:szCs w:val="20"/>
              </w:rPr>
            </w:pPr>
            <w:r w:rsidRPr="0056579F">
              <w:rPr>
                <w:rFonts w:ascii="Calibri" w:hAnsi="Calibri"/>
                <w:color w:val="000000"/>
                <w:szCs w:val="20"/>
              </w:rPr>
              <w:t>40.5</w:t>
            </w:r>
          </w:p>
        </w:tc>
        <w:tc>
          <w:tcPr>
            <w:tcW w:w="266" w:type="pct"/>
            <w:gridSpan w:val="2"/>
            <w:tcBorders>
              <w:right w:val="single" w:sz="2" w:space="0" w:color="BFBFBF" w:themeColor="background1" w:themeShade="BF"/>
            </w:tcBorders>
            <w:vAlign w:val="bottom"/>
          </w:tcPr>
          <w:p w:rsidR="00755C7E" w:rsidRPr="00755C7E" w:rsidRDefault="00755C7E" w:rsidP="00755C7E">
            <w:pPr>
              <w:ind w:left="-50" w:right="-103"/>
              <w:rPr>
                <w:rFonts w:ascii="Calibri" w:hAnsi="Calibri"/>
                <w:color w:val="000000"/>
                <w:szCs w:val="20"/>
              </w:rPr>
            </w:pPr>
            <w:r w:rsidRPr="00755C7E">
              <w:rPr>
                <w:rFonts w:ascii="Calibri" w:hAnsi="Calibri"/>
                <w:color w:val="000000"/>
                <w:szCs w:val="20"/>
              </w:rPr>
              <w:t>48</w:t>
            </w:r>
            <w:r>
              <w:rPr>
                <w:rFonts w:ascii="Calibri" w:hAnsi="Calibri"/>
                <w:color w:val="000000"/>
                <w:szCs w:val="20"/>
              </w:rPr>
              <w:t>.0</w:t>
            </w:r>
          </w:p>
        </w:tc>
        <w:tc>
          <w:tcPr>
            <w:tcW w:w="233" w:type="pct"/>
            <w:tcBorders>
              <w:left w:val="single" w:sz="2" w:space="0" w:color="BFBFBF" w:themeColor="background1" w:themeShade="BF"/>
            </w:tcBorders>
            <w:vAlign w:val="center"/>
          </w:tcPr>
          <w:p w:rsidR="00755C7E" w:rsidRPr="00B627BB" w:rsidRDefault="00755C7E" w:rsidP="00D248F5">
            <w:pPr>
              <w:pStyle w:val="NoSpacing"/>
              <w:ind w:left="-116" w:right="-115"/>
              <w:jc w:val="center"/>
              <w:rPr>
                <w:rFonts w:asciiTheme="minorHAnsi" w:hAnsiTheme="minorHAnsi"/>
                <w:sz w:val="20"/>
                <w:szCs w:val="20"/>
              </w:rPr>
            </w:pPr>
            <w:r>
              <w:rPr>
                <w:rFonts w:asciiTheme="minorHAnsi" w:hAnsiTheme="minorHAnsi"/>
                <w:sz w:val="20"/>
                <w:szCs w:val="20"/>
              </w:rPr>
              <w:t>48.8</w:t>
            </w:r>
          </w:p>
        </w:tc>
        <w:tc>
          <w:tcPr>
            <w:tcW w:w="224" w:type="pct"/>
            <w:gridSpan w:val="2"/>
            <w:vAlign w:val="center"/>
          </w:tcPr>
          <w:p w:rsidR="00755C7E" w:rsidRPr="00B627BB" w:rsidRDefault="00755C7E" w:rsidP="00D248F5">
            <w:pPr>
              <w:pStyle w:val="NoSpacing"/>
              <w:ind w:left="-116" w:right="-115"/>
              <w:jc w:val="center"/>
              <w:rPr>
                <w:rFonts w:asciiTheme="minorHAnsi" w:hAnsiTheme="minorHAnsi"/>
                <w:sz w:val="20"/>
                <w:szCs w:val="20"/>
              </w:rPr>
            </w:pPr>
            <w:r>
              <w:rPr>
                <w:rFonts w:asciiTheme="minorHAnsi" w:hAnsiTheme="minorHAnsi"/>
                <w:sz w:val="20"/>
                <w:szCs w:val="20"/>
              </w:rPr>
              <w:t>44.2</w:t>
            </w:r>
          </w:p>
        </w:tc>
        <w:tc>
          <w:tcPr>
            <w:tcW w:w="315" w:type="pct"/>
            <w:gridSpan w:val="2"/>
            <w:tcBorders>
              <w:right w:val="single" w:sz="2" w:space="0" w:color="BFBFBF" w:themeColor="background1" w:themeShade="BF"/>
            </w:tcBorders>
            <w:vAlign w:val="center"/>
          </w:tcPr>
          <w:p w:rsidR="00755C7E" w:rsidRPr="00B627BB" w:rsidRDefault="00755C7E" w:rsidP="00D248F5">
            <w:pPr>
              <w:pStyle w:val="NoSpacing"/>
              <w:ind w:left="-116" w:right="-115"/>
              <w:jc w:val="center"/>
              <w:rPr>
                <w:rFonts w:asciiTheme="minorHAnsi" w:hAnsiTheme="minorHAnsi"/>
                <w:sz w:val="20"/>
                <w:szCs w:val="20"/>
              </w:rPr>
            </w:pPr>
            <w:r>
              <w:rPr>
                <w:rFonts w:asciiTheme="minorHAnsi" w:hAnsiTheme="minorHAnsi"/>
                <w:sz w:val="20"/>
                <w:szCs w:val="20"/>
              </w:rPr>
              <w:t>57.1</w:t>
            </w:r>
          </w:p>
        </w:tc>
        <w:tc>
          <w:tcPr>
            <w:tcW w:w="236" w:type="pct"/>
            <w:tcBorders>
              <w:left w:val="single" w:sz="2" w:space="0" w:color="BFBFBF" w:themeColor="background1" w:themeShade="BF"/>
            </w:tcBorders>
            <w:vAlign w:val="center"/>
          </w:tcPr>
          <w:p w:rsidR="00755C7E" w:rsidRPr="00B627BB" w:rsidRDefault="00755C7E" w:rsidP="00D248F5">
            <w:pPr>
              <w:pStyle w:val="NoSpacing"/>
              <w:ind w:left="-48" w:right="-98"/>
              <w:jc w:val="center"/>
              <w:rPr>
                <w:rFonts w:asciiTheme="minorHAnsi" w:hAnsiTheme="minorHAnsi"/>
                <w:sz w:val="20"/>
                <w:szCs w:val="20"/>
              </w:rPr>
            </w:pPr>
            <w:r>
              <w:rPr>
                <w:rFonts w:asciiTheme="minorHAnsi" w:hAnsiTheme="minorHAnsi"/>
                <w:sz w:val="20"/>
                <w:szCs w:val="20"/>
              </w:rPr>
              <w:t>44.3</w:t>
            </w:r>
          </w:p>
        </w:tc>
        <w:tc>
          <w:tcPr>
            <w:tcW w:w="305" w:type="pct"/>
            <w:vAlign w:val="center"/>
          </w:tcPr>
          <w:p w:rsidR="00755C7E" w:rsidRPr="00B627BB" w:rsidRDefault="00755C7E" w:rsidP="00313DBE">
            <w:pPr>
              <w:pStyle w:val="16TableText"/>
              <w:ind w:left="-68" w:right="-102" w:firstLine="20"/>
              <w:rPr>
                <w:rFonts w:asciiTheme="minorHAnsi" w:eastAsia="Arial Unicode MS" w:hAnsiTheme="minorHAnsi" w:cs="Arial Unicode MS"/>
                <w:sz w:val="20"/>
              </w:rPr>
            </w:pPr>
            <w:r>
              <w:rPr>
                <w:rFonts w:asciiTheme="minorHAnsi" w:eastAsia="Arial Unicode MS" w:hAnsiTheme="minorHAnsi" w:cs="Arial Unicode MS"/>
                <w:sz w:val="20"/>
              </w:rPr>
              <w:t>37.6</w:t>
            </w:r>
          </w:p>
        </w:tc>
        <w:tc>
          <w:tcPr>
            <w:tcW w:w="228" w:type="pct"/>
            <w:vAlign w:val="center"/>
          </w:tcPr>
          <w:p w:rsidR="00755C7E" w:rsidRPr="00B627BB" w:rsidRDefault="00755C7E" w:rsidP="00D248F5">
            <w:pPr>
              <w:pStyle w:val="16TableText"/>
              <w:ind w:left="-118" w:right="-87" w:firstLine="0"/>
              <w:rPr>
                <w:rFonts w:asciiTheme="minorHAnsi" w:eastAsia="Arial Unicode MS" w:hAnsiTheme="minorHAnsi" w:cs="Arial Unicode MS"/>
                <w:sz w:val="20"/>
              </w:rPr>
            </w:pPr>
            <w:r>
              <w:rPr>
                <w:rFonts w:asciiTheme="minorHAnsi" w:eastAsia="Arial Unicode MS" w:hAnsiTheme="minorHAnsi" w:cs="Arial Unicode MS"/>
                <w:sz w:val="20"/>
              </w:rPr>
              <w:t>45.0</w:t>
            </w:r>
          </w:p>
        </w:tc>
      </w:tr>
      <w:tr w:rsidR="00755C7E" w:rsidRPr="00532A5F" w:rsidTr="00FF5CF9">
        <w:tc>
          <w:tcPr>
            <w:tcW w:w="290" w:type="pct"/>
            <w:tcBorders>
              <w:right w:val="single" w:sz="2" w:space="0" w:color="BFBFBF" w:themeColor="background1" w:themeShade="BF"/>
            </w:tcBorders>
            <w:vAlign w:val="center"/>
          </w:tcPr>
          <w:p w:rsidR="00755C7E" w:rsidRPr="00B627BB" w:rsidRDefault="00755C7E" w:rsidP="00D248F5">
            <w:pPr>
              <w:pStyle w:val="NoSpacing"/>
              <w:ind w:left="-12" w:right="-94" w:hanging="130"/>
              <w:jc w:val="center"/>
              <w:rPr>
                <w:rFonts w:asciiTheme="minorHAnsi" w:hAnsiTheme="minorHAnsi"/>
                <w:sz w:val="20"/>
                <w:szCs w:val="20"/>
              </w:rPr>
            </w:pPr>
            <w:r w:rsidRPr="00B627BB">
              <w:rPr>
                <w:rFonts w:asciiTheme="minorHAnsi" w:hAnsiTheme="minorHAnsi"/>
                <w:sz w:val="20"/>
                <w:szCs w:val="20"/>
              </w:rPr>
              <w:t>SD</w:t>
            </w:r>
          </w:p>
        </w:tc>
        <w:tc>
          <w:tcPr>
            <w:tcW w:w="229" w:type="pct"/>
            <w:tcBorders>
              <w:left w:val="single" w:sz="2" w:space="0" w:color="BFBFBF" w:themeColor="background1" w:themeShade="BF"/>
            </w:tcBorders>
            <w:vAlign w:val="center"/>
          </w:tcPr>
          <w:p w:rsidR="00755C7E" w:rsidRPr="00B627BB" w:rsidRDefault="00755C7E" w:rsidP="00D248F5">
            <w:pPr>
              <w:pStyle w:val="NoSpacing"/>
              <w:ind w:left="-126" w:right="-94" w:hanging="8"/>
              <w:jc w:val="center"/>
              <w:rPr>
                <w:rFonts w:asciiTheme="minorHAnsi" w:hAnsiTheme="minorHAnsi"/>
                <w:sz w:val="20"/>
                <w:szCs w:val="20"/>
              </w:rPr>
            </w:pPr>
            <w:r>
              <w:rPr>
                <w:rFonts w:asciiTheme="minorHAnsi" w:hAnsiTheme="minorHAnsi"/>
                <w:sz w:val="20"/>
                <w:szCs w:val="20"/>
              </w:rPr>
              <w:t>2.7</w:t>
            </w:r>
          </w:p>
        </w:tc>
        <w:tc>
          <w:tcPr>
            <w:tcW w:w="313" w:type="pct"/>
            <w:vAlign w:val="center"/>
          </w:tcPr>
          <w:p w:rsidR="00755C7E" w:rsidRPr="00B627BB" w:rsidRDefault="00755C7E" w:rsidP="00D248F5">
            <w:pPr>
              <w:pStyle w:val="NoSpacing"/>
              <w:ind w:left="-84" w:right="-94" w:firstLine="46"/>
              <w:jc w:val="center"/>
              <w:rPr>
                <w:rFonts w:asciiTheme="minorHAnsi" w:hAnsiTheme="minorHAnsi"/>
                <w:sz w:val="20"/>
                <w:szCs w:val="20"/>
              </w:rPr>
            </w:pPr>
            <w:r>
              <w:rPr>
                <w:rFonts w:asciiTheme="minorHAnsi" w:hAnsiTheme="minorHAnsi"/>
                <w:sz w:val="20"/>
                <w:szCs w:val="20"/>
              </w:rPr>
              <w:t>2.3</w:t>
            </w:r>
          </w:p>
        </w:tc>
        <w:tc>
          <w:tcPr>
            <w:tcW w:w="236" w:type="pct"/>
            <w:tcBorders>
              <w:right w:val="single" w:sz="2" w:space="0" w:color="BFBFBF" w:themeColor="background1" w:themeShade="BF"/>
            </w:tcBorders>
            <w:vAlign w:val="center"/>
          </w:tcPr>
          <w:p w:rsidR="00755C7E" w:rsidRPr="00B627BB" w:rsidRDefault="00755C7E" w:rsidP="00D248F5">
            <w:pPr>
              <w:pStyle w:val="NoSpacing"/>
              <w:ind w:left="-70" w:right="-94"/>
              <w:jc w:val="center"/>
              <w:rPr>
                <w:rFonts w:asciiTheme="minorHAnsi" w:hAnsiTheme="minorHAnsi"/>
                <w:sz w:val="20"/>
                <w:szCs w:val="20"/>
              </w:rPr>
            </w:pPr>
            <w:r>
              <w:rPr>
                <w:rFonts w:asciiTheme="minorHAnsi" w:hAnsiTheme="minorHAnsi"/>
                <w:sz w:val="20"/>
                <w:szCs w:val="20"/>
              </w:rPr>
              <w:t>5.4</w:t>
            </w:r>
          </w:p>
        </w:tc>
        <w:tc>
          <w:tcPr>
            <w:tcW w:w="255" w:type="pct"/>
            <w:tcBorders>
              <w:left w:val="single" w:sz="2" w:space="0" w:color="BFBFBF" w:themeColor="background1" w:themeShade="BF"/>
            </w:tcBorders>
            <w:vAlign w:val="center"/>
          </w:tcPr>
          <w:p w:rsidR="00755C7E" w:rsidRPr="00B627BB" w:rsidRDefault="00755C7E" w:rsidP="00D248F5">
            <w:pPr>
              <w:pStyle w:val="NoSpacing"/>
              <w:ind w:left="-73" w:right="-38"/>
              <w:jc w:val="center"/>
              <w:rPr>
                <w:rFonts w:asciiTheme="minorHAnsi" w:hAnsiTheme="minorHAnsi"/>
                <w:sz w:val="20"/>
                <w:szCs w:val="20"/>
              </w:rPr>
            </w:pPr>
            <w:r>
              <w:rPr>
                <w:rFonts w:asciiTheme="minorHAnsi" w:hAnsiTheme="minorHAnsi"/>
                <w:sz w:val="20"/>
                <w:szCs w:val="20"/>
              </w:rPr>
              <w:t>3.2</w:t>
            </w:r>
          </w:p>
        </w:tc>
        <w:tc>
          <w:tcPr>
            <w:tcW w:w="306" w:type="pct"/>
            <w:vAlign w:val="center"/>
          </w:tcPr>
          <w:p w:rsidR="00755C7E" w:rsidRPr="00B627BB" w:rsidRDefault="00755C7E" w:rsidP="00D248F5">
            <w:pPr>
              <w:pStyle w:val="NoSpacing"/>
              <w:ind w:left="-73" w:right="-38"/>
              <w:jc w:val="center"/>
              <w:rPr>
                <w:rFonts w:asciiTheme="minorHAnsi" w:hAnsiTheme="minorHAnsi"/>
                <w:sz w:val="20"/>
                <w:szCs w:val="20"/>
              </w:rPr>
            </w:pPr>
            <w:r>
              <w:rPr>
                <w:rFonts w:asciiTheme="minorHAnsi" w:hAnsiTheme="minorHAnsi"/>
                <w:sz w:val="20"/>
                <w:szCs w:val="20"/>
              </w:rPr>
              <w:t>6.4</w:t>
            </w:r>
          </w:p>
        </w:tc>
        <w:tc>
          <w:tcPr>
            <w:tcW w:w="255" w:type="pct"/>
            <w:tcBorders>
              <w:right w:val="single" w:sz="2" w:space="0" w:color="BFBFBF" w:themeColor="background1" w:themeShade="BF"/>
            </w:tcBorders>
            <w:vAlign w:val="center"/>
          </w:tcPr>
          <w:p w:rsidR="00755C7E" w:rsidRPr="00B627BB" w:rsidRDefault="00755C7E" w:rsidP="00D248F5">
            <w:pPr>
              <w:pStyle w:val="NoSpacing"/>
              <w:ind w:left="-73" w:right="-38"/>
              <w:jc w:val="center"/>
              <w:rPr>
                <w:rFonts w:asciiTheme="minorHAnsi" w:hAnsiTheme="minorHAnsi"/>
                <w:sz w:val="20"/>
                <w:szCs w:val="20"/>
              </w:rPr>
            </w:pPr>
            <w:r>
              <w:rPr>
                <w:rFonts w:asciiTheme="minorHAnsi" w:hAnsiTheme="minorHAnsi"/>
                <w:sz w:val="20"/>
                <w:szCs w:val="20"/>
              </w:rPr>
              <w:t>11.0</w:t>
            </w:r>
          </w:p>
        </w:tc>
        <w:tc>
          <w:tcPr>
            <w:tcW w:w="262" w:type="pct"/>
            <w:tcBorders>
              <w:left w:val="single" w:sz="2" w:space="0" w:color="BFBFBF" w:themeColor="background1" w:themeShade="BF"/>
            </w:tcBorders>
            <w:vAlign w:val="center"/>
          </w:tcPr>
          <w:p w:rsidR="00755C7E" w:rsidRPr="00B627BB" w:rsidRDefault="00755C7E" w:rsidP="00D248F5">
            <w:pPr>
              <w:pStyle w:val="NoSpacing"/>
              <w:ind w:left="-55" w:right="-108" w:firstLine="12"/>
              <w:jc w:val="center"/>
              <w:rPr>
                <w:rFonts w:asciiTheme="minorHAnsi" w:hAnsiTheme="minorHAnsi"/>
                <w:sz w:val="20"/>
                <w:szCs w:val="20"/>
              </w:rPr>
            </w:pPr>
            <w:r>
              <w:rPr>
                <w:rFonts w:asciiTheme="minorHAnsi" w:hAnsiTheme="minorHAnsi"/>
                <w:sz w:val="20"/>
                <w:szCs w:val="20"/>
              </w:rPr>
              <w:t>2.8</w:t>
            </w:r>
          </w:p>
        </w:tc>
        <w:tc>
          <w:tcPr>
            <w:tcW w:w="231" w:type="pct"/>
            <w:vAlign w:val="center"/>
          </w:tcPr>
          <w:p w:rsidR="00755C7E" w:rsidRPr="00B627BB" w:rsidRDefault="00755C7E" w:rsidP="00D248F5">
            <w:pPr>
              <w:pStyle w:val="NoSpacing"/>
              <w:ind w:left="-55" w:right="-108" w:firstLine="12"/>
              <w:jc w:val="center"/>
              <w:rPr>
                <w:rFonts w:asciiTheme="minorHAnsi" w:hAnsiTheme="minorHAnsi"/>
                <w:sz w:val="20"/>
                <w:szCs w:val="20"/>
              </w:rPr>
            </w:pPr>
            <w:r>
              <w:rPr>
                <w:rFonts w:asciiTheme="minorHAnsi" w:hAnsiTheme="minorHAnsi"/>
                <w:sz w:val="20"/>
                <w:szCs w:val="20"/>
              </w:rPr>
              <w:t>1.0</w:t>
            </w:r>
          </w:p>
        </w:tc>
        <w:tc>
          <w:tcPr>
            <w:tcW w:w="310" w:type="pct"/>
            <w:tcBorders>
              <w:right w:val="single" w:sz="2" w:space="0" w:color="BFBFBF" w:themeColor="background1" w:themeShade="BF"/>
            </w:tcBorders>
            <w:vAlign w:val="center"/>
          </w:tcPr>
          <w:p w:rsidR="00755C7E" w:rsidRPr="00B627BB" w:rsidRDefault="00755C7E" w:rsidP="00D248F5">
            <w:pPr>
              <w:pStyle w:val="NoSpacing"/>
              <w:ind w:left="-55" w:right="-108" w:firstLine="12"/>
              <w:jc w:val="center"/>
              <w:rPr>
                <w:rFonts w:asciiTheme="minorHAnsi" w:hAnsiTheme="minorHAnsi"/>
                <w:sz w:val="20"/>
                <w:szCs w:val="20"/>
              </w:rPr>
            </w:pPr>
            <w:r>
              <w:rPr>
                <w:rFonts w:asciiTheme="minorHAnsi" w:hAnsiTheme="minorHAnsi"/>
                <w:sz w:val="20"/>
                <w:szCs w:val="20"/>
              </w:rPr>
              <w:t>8.7</w:t>
            </w:r>
          </w:p>
        </w:tc>
        <w:tc>
          <w:tcPr>
            <w:tcW w:w="253" w:type="pct"/>
            <w:tcBorders>
              <w:left w:val="single" w:sz="2" w:space="0" w:color="BFBFBF" w:themeColor="background1" w:themeShade="BF"/>
            </w:tcBorders>
            <w:vAlign w:val="bottom"/>
          </w:tcPr>
          <w:p w:rsidR="00755C7E" w:rsidRPr="001C41F7" w:rsidRDefault="00755C7E" w:rsidP="001C41F7">
            <w:pPr>
              <w:ind w:left="-113" w:right="-64"/>
              <w:jc w:val="right"/>
              <w:rPr>
                <w:rFonts w:ascii="Calibri" w:hAnsi="Calibri"/>
                <w:color w:val="000000"/>
                <w:szCs w:val="20"/>
              </w:rPr>
            </w:pPr>
            <w:r w:rsidRPr="001C41F7">
              <w:rPr>
                <w:rFonts w:ascii="Calibri" w:hAnsi="Calibri"/>
                <w:color w:val="000000"/>
                <w:szCs w:val="20"/>
              </w:rPr>
              <w:t>4.1</w:t>
            </w:r>
          </w:p>
        </w:tc>
        <w:tc>
          <w:tcPr>
            <w:tcW w:w="253" w:type="pct"/>
            <w:gridSpan w:val="2"/>
            <w:vAlign w:val="bottom"/>
          </w:tcPr>
          <w:p w:rsidR="00755C7E" w:rsidRPr="0056579F" w:rsidRDefault="00755C7E" w:rsidP="0056579F">
            <w:pPr>
              <w:ind w:left="-152" w:right="-30"/>
              <w:jc w:val="right"/>
              <w:rPr>
                <w:rFonts w:ascii="Calibri" w:hAnsi="Calibri"/>
                <w:color w:val="000000"/>
                <w:szCs w:val="20"/>
              </w:rPr>
            </w:pPr>
            <w:r w:rsidRPr="0056579F">
              <w:rPr>
                <w:rFonts w:ascii="Calibri" w:hAnsi="Calibri"/>
                <w:color w:val="000000"/>
                <w:szCs w:val="20"/>
              </w:rPr>
              <w:t>2.8</w:t>
            </w:r>
          </w:p>
        </w:tc>
        <w:tc>
          <w:tcPr>
            <w:tcW w:w="266" w:type="pct"/>
            <w:gridSpan w:val="2"/>
            <w:tcBorders>
              <w:right w:val="single" w:sz="2" w:space="0" w:color="BFBFBF" w:themeColor="background1" w:themeShade="BF"/>
            </w:tcBorders>
            <w:vAlign w:val="bottom"/>
          </w:tcPr>
          <w:p w:rsidR="00755C7E" w:rsidRPr="00755C7E" w:rsidRDefault="00755C7E" w:rsidP="00755C7E">
            <w:pPr>
              <w:ind w:left="-50" w:right="-103"/>
              <w:rPr>
                <w:rFonts w:ascii="Calibri" w:hAnsi="Calibri"/>
                <w:color w:val="000000"/>
                <w:szCs w:val="20"/>
              </w:rPr>
            </w:pPr>
            <w:r w:rsidRPr="00755C7E">
              <w:rPr>
                <w:rFonts w:ascii="Calibri" w:hAnsi="Calibri"/>
                <w:color w:val="000000"/>
                <w:szCs w:val="20"/>
              </w:rPr>
              <w:t>9.9</w:t>
            </w:r>
          </w:p>
        </w:tc>
        <w:tc>
          <w:tcPr>
            <w:tcW w:w="233" w:type="pct"/>
            <w:tcBorders>
              <w:left w:val="single" w:sz="2" w:space="0" w:color="BFBFBF" w:themeColor="background1" w:themeShade="BF"/>
            </w:tcBorders>
            <w:vAlign w:val="center"/>
          </w:tcPr>
          <w:p w:rsidR="00755C7E" w:rsidRPr="00B627BB" w:rsidRDefault="00755C7E" w:rsidP="00D248F5">
            <w:pPr>
              <w:pStyle w:val="NoSpacing"/>
              <w:ind w:left="-116" w:right="-115"/>
              <w:jc w:val="center"/>
              <w:rPr>
                <w:rFonts w:asciiTheme="minorHAnsi" w:hAnsiTheme="minorHAnsi"/>
                <w:sz w:val="20"/>
                <w:szCs w:val="20"/>
              </w:rPr>
            </w:pPr>
            <w:r>
              <w:rPr>
                <w:rFonts w:asciiTheme="minorHAnsi" w:hAnsiTheme="minorHAnsi"/>
                <w:sz w:val="20"/>
                <w:szCs w:val="20"/>
              </w:rPr>
              <w:t>2.7</w:t>
            </w:r>
          </w:p>
        </w:tc>
        <w:tc>
          <w:tcPr>
            <w:tcW w:w="224" w:type="pct"/>
            <w:gridSpan w:val="2"/>
            <w:vAlign w:val="center"/>
          </w:tcPr>
          <w:p w:rsidR="00755C7E" w:rsidRPr="00B627BB" w:rsidRDefault="00755C7E" w:rsidP="00D248F5">
            <w:pPr>
              <w:pStyle w:val="NoSpacing"/>
              <w:ind w:left="-116" w:right="-115"/>
              <w:jc w:val="center"/>
              <w:rPr>
                <w:rFonts w:asciiTheme="minorHAnsi" w:hAnsiTheme="minorHAnsi"/>
                <w:sz w:val="20"/>
                <w:szCs w:val="20"/>
              </w:rPr>
            </w:pPr>
            <w:r>
              <w:rPr>
                <w:rFonts w:asciiTheme="minorHAnsi" w:hAnsiTheme="minorHAnsi"/>
                <w:sz w:val="20"/>
                <w:szCs w:val="20"/>
              </w:rPr>
              <w:t>1.4</w:t>
            </w:r>
          </w:p>
        </w:tc>
        <w:tc>
          <w:tcPr>
            <w:tcW w:w="315" w:type="pct"/>
            <w:gridSpan w:val="2"/>
            <w:tcBorders>
              <w:right w:val="single" w:sz="2" w:space="0" w:color="BFBFBF" w:themeColor="background1" w:themeShade="BF"/>
            </w:tcBorders>
            <w:vAlign w:val="center"/>
          </w:tcPr>
          <w:p w:rsidR="00755C7E" w:rsidRPr="00B627BB" w:rsidRDefault="00755C7E" w:rsidP="00D248F5">
            <w:pPr>
              <w:pStyle w:val="NoSpacing"/>
              <w:ind w:left="-116" w:right="-115"/>
              <w:jc w:val="center"/>
              <w:rPr>
                <w:rFonts w:asciiTheme="minorHAnsi" w:hAnsiTheme="minorHAnsi"/>
                <w:sz w:val="20"/>
                <w:szCs w:val="20"/>
              </w:rPr>
            </w:pPr>
            <w:r>
              <w:rPr>
                <w:rFonts w:asciiTheme="minorHAnsi" w:hAnsiTheme="minorHAnsi"/>
                <w:sz w:val="20"/>
                <w:szCs w:val="20"/>
              </w:rPr>
              <w:t>7.7</w:t>
            </w:r>
          </w:p>
        </w:tc>
        <w:tc>
          <w:tcPr>
            <w:tcW w:w="236" w:type="pct"/>
            <w:tcBorders>
              <w:left w:val="single" w:sz="2" w:space="0" w:color="BFBFBF" w:themeColor="background1" w:themeShade="BF"/>
            </w:tcBorders>
            <w:vAlign w:val="center"/>
          </w:tcPr>
          <w:p w:rsidR="00755C7E" w:rsidRPr="00B627BB" w:rsidRDefault="00755C7E" w:rsidP="00D248F5">
            <w:pPr>
              <w:pStyle w:val="NoSpacing"/>
              <w:ind w:left="-48" w:right="-98"/>
              <w:jc w:val="center"/>
              <w:rPr>
                <w:rFonts w:asciiTheme="minorHAnsi" w:hAnsiTheme="minorHAnsi"/>
                <w:sz w:val="20"/>
                <w:szCs w:val="20"/>
              </w:rPr>
            </w:pPr>
            <w:r>
              <w:rPr>
                <w:rFonts w:asciiTheme="minorHAnsi" w:hAnsiTheme="minorHAnsi"/>
                <w:sz w:val="20"/>
                <w:szCs w:val="20"/>
              </w:rPr>
              <w:t>3.7</w:t>
            </w:r>
          </w:p>
        </w:tc>
        <w:tc>
          <w:tcPr>
            <w:tcW w:w="305" w:type="pct"/>
            <w:vAlign w:val="center"/>
          </w:tcPr>
          <w:p w:rsidR="00755C7E" w:rsidRPr="00B627BB" w:rsidRDefault="00755C7E" w:rsidP="00313DBE">
            <w:pPr>
              <w:pStyle w:val="16TableText"/>
              <w:ind w:left="-68" w:right="-102" w:firstLine="20"/>
              <w:rPr>
                <w:rFonts w:asciiTheme="minorHAnsi" w:eastAsia="Arial Unicode MS" w:hAnsiTheme="minorHAnsi" w:cs="Arial Unicode MS"/>
                <w:sz w:val="20"/>
              </w:rPr>
            </w:pPr>
            <w:r>
              <w:rPr>
                <w:rFonts w:asciiTheme="minorHAnsi" w:eastAsia="Arial Unicode MS" w:hAnsiTheme="minorHAnsi" w:cs="Arial Unicode MS"/>
                <w:sz w:val="20"/>
              </w:rPr>
              <w:t>5.1</w:t>
            </w:r>
          </w:p>
        </w:tc>
        <w:tc>
          <w:tcPr>
            <w:tcW w:w="228" w:type="pct"/>
            <w:vAlign w:val="center"/>
          </w:tcPr>
          <w:p w:rsidR="00755C7E" w:rsidRPr="00B627BB" w:rsidRDefault="00755C7E" w:rsidP="00D248F5">
            <w:pPr>
              <w:pStyle w:val="16TableText"/>
              <w:ind w:left="-118" w:right="-87" w:firstLine="0"/>
              <w:rPr>
                <w:rFonts w:asciiTheme="minorHAnsi" w:eastAsia="Arial Unicode MS" w:hAnsiTheme="minorHAnsi" w:cs="Arial Unicode MS"/>
                <w:sz w:val="20"/>
              </w:rPr>
            </w:pPr>
            <w:r>
              <w:rPr>
                <w:rFonts w:asciiTheme="minorHAnsi" w:eastAsia="Arial Unicode MS" w:hAnsiTheme="minorHAnsi" w:cs="Arial Unicode MS"/>
                <w:sz w:val="20"/>
              </w:rPr>
              <w:t>10.3</w:t>
            </w:r>
          </w:p>
        </w:tc>
      </w:tr>
      <w:tr w:rsidR="00755C7E" w:rsidRPr="00532A5F" w:rsidTr="00FF5CF9">
        <w:tc>
          <w:tcPr>
            <w:tcW w:w="290" w:type="pct"/>
            <w:tcBorders>
              <w:bottom w:val="single" w:sz="2" w:space="0" w:color="auto"/>
              <w:right w:val="single" w:sz="2" w:space="0" w:color="BFBFBF" w:themeColor="background1" w:themeShade="BF"/>
            </w:tcBorders>
            <w:vAlign w:val="center"/>
          </w:tcPr>
          <w:p w:rsidR="00755C7E" w:rsidRPr="00B627BB" w:rsidRDefault="00755C7E" w:rsidP="00D248F5">
            <w:pPr>
              <w:pStyle w:val="NoSpacing"/>
              <w:ind w:left="-12" w:right="-94" w:hanging="130"/>
              <w:jc w:val="center"/>
              <w:rPr>
                <w:rFonts w:asciiTheme="minorHAnsi" w:hAnsiTheme="minorHAnsi"/>
                <w:sz w:val="20"/>
                <w:szCs w:val="20"/>
              </w:rPr>
            </w:pPr>
            <w:r w:rsidRPr="00B627BB">
              <w:rPr>
                <w:rFonts w:asciiTheme="minorHAnsi" w:hAnsiTheme="minorHAnsi"/>
                <w:sz w:val="20"/>
                <w:szCs w:val="20"/>
              </w:rPr>
              <w:t>Mean</w:t>
            </w:r>
          </w:p>
        </w:tc>
        <w:tc>
          <w:tcPr>
            <w:tcW w:w="229" w:type="pct"/>
            <w:tcBorders>
              <w:left w:val="single" w:sz="2" w:space="0" w:color="BFBFBF" w:themeColor="background1" w:themeShade="BF"/>
              <w:bottom w:val="single" w:sz="2" w:space="0" w:color="auto"/>
            </w:tcBorders>
            <w:vAlign w:val="center"/>
          </w:tcPr>
          <w:p w:rsidR="00755C7E" w:rsidRPr="00B627BB" w:rsidRDefault="00755C7E" w:rsidP="00D248F5">
            <w:pPr>
              <w:pStyle w:val="NoSpacing"/>
              <w:ind w:left="-126" w:right="-94" w:hanging="8"/>
              <w:jc w:val="center"/>
              <w:rPr>
                <w:rFonts w:asciiTheme="minorHAnsi" w:hAnsiTheme="minorHAnsi"/>
                <w:sz w:val="20"/>
                <w:szCs w:val="20"/>
              </w:rPr>
            </w:pPr>
            <w:r>
              <w:rPr>
                <w:rFonts w:asciiTheme="minorHAnsi" w:hAnsiTheme="minorHAnsi"/>
                <w:sz w:val="20"/>
                <w:szCs w:val="20"/>
              </w:rPr>
              <w:t>53.2</w:t>
            </w:r>
          </w:p>
        </w:tc>
        <w:tc>
          <w:tcPr>
            <w:tcW w:w="313" w:type="pct"/>
            <w:tcBorders>
              <w:bottom w:val="single" w:sz="2" w:space="0" w:color="auto"/>
            </w:tcBorders>
            <w:vAlign w:val="center"/>
          </w:tcPr>
          <w:p w:rsidR="00755C7E" w:rsidRPr="00B627BB" w:rsidRDefault="00755C7E" w:rsidP="00D248F5">
            <w:pPr>
              <w:pStyle w:val="NoSpacing"/>
              <w:ind w:left="-84" w:right="-94" w:firstLine="46"/>
              <w:jc w:val="center"/>
              <w:rPr>
                <w:rFonts w:asciiTheme="minorHAnsi" w:hAnsiTheme="minorHAnsi"/>
                <w:sz w:val="20"/>
                <w:szCs w:val="20"/>
              </w:rPr>
            </w:pPr>
            <w:r>
              <w:rPr>
                <w:rFonts w:asciiTheme="minorHAnsi" w:hAnsiTheme="minorHAnsi"/>
                <w:sz w:val="20"/>
                <w:szCs w:val="20"/>
              </w:rPr>
              <w:t>51.1</w:t>
            </w:r>
          </w:p>
        </w:tc>
        <w:tc>
          <w:tcPr>
            <w:tcW w:w="236" w:type="pct"/>
            <w:tcBorders>
              <w:bottom w:val="single" w:sz="2" w:space="0" w:color="auto"/>
              <w:right w:val="single" w:sz="2" w:space="0" w:color="BFBFBF" w:themeColor="background1" w:themeShade="BF"/>
            </w:tcBorders>
            <w:vAlign w:val="center"/>
          </w:tcPr>
          <w:p w:rsidR="00755C7E" w:rsidRPr="00B627BB" w:rsidRDefault="00755C7E" w:rsidP="00D248F5">
            <w:pPr>
              <w:pStyle w:val="NoSpacing"/>
              <w:ind w:left="-70" w:right="-94"/>
              <w:jc w:val="center"/>
              <w:rPr>
                <w:rFonts w:asciiTheme="minorHAnsi" w:hAnsiTheme="minorHAnsi"/>
                <w:sz w:val="20"/>
                <w:szCs w:val="20"/>
              </w:rPr>
            </w:pPr>
            <w:r>
              <w:rPr>
                <w:rFonts w:asciiTheme="minorHAnsi" w:hAnsiTheme="minorHAnsi"/>
                <w:sz w:val="20"/>
                <w:szCs w:val="20"/>
              </w:rPr>
              <w:t>79.7</w:t>
            </w:r>
          </w:p>
        </w:tc>
        <w:tc>
          <w:tcPr>
            <w:tcW w:w="255" w:type="pct"/>
            <w:tcBorders>
              <w:left w:val="single" w:sz="2" w:space="0" w:color="BFBFBF" w:themeColor="background1" w:themeShade="BF"/>
              <w:bottom w:val="single" w:sz="2" w:space="0" w:color="auto"/>
            </w:tcBorders>
            <w:vAlign w:val="center"/>
          </w:tcPr>
          <w:p w:rsidR="00755C7E" w:rsidRPr="00B627BB" w:rsidRDefault="00755C7E" w:rsidP="00D248F5">
            <w:pPr>
              <w:pStyle w:val="NoSpacing"/>
              <w:ind w:left="-73" w:right="-38"/>
              <w:jc w:val="center"/>
              <w:rPr>
                <w:rFonts w:asciiTheme="minorHAnsi" w:hAnsiTheme="minorHAnsi"/>
                <w:sz w:val="20"/>
                <w:szCs w:val="20"/>
              </w:rPr>
            </w:pPr>
            <w:r>
              <w:rPr>
                <w:rFonts w:asciiTheme="minorHAnsi" w:hAnsiTheme="minorHAnsi"/>
                <w:sz w:val="20"/>
                <w:szCs w:val="20"/>
              </w:rPr>
              <w:t>51.4</w:t>
            </w:r>
          </w:p>
        </w:tc>
        <w:tc>
          <w:tcPr>
            <w:tcW w:w="306" w:type="pct"/>
            <w:tcBorders>
              <w:bottom w:val="single" w:sz="2" w:space="0" w:color="auto"/>
            </w:tcBorders>
            <w:vAlign w:val="center"/>
          </w:tcPr>
          <w:p w:rsidR="00755C7E" w:rsidRPr="00B627BB" w:rsidRDefault="00755C7E" w:rsidP="00D248F5">
            <w:pPr>
              <w:pStyle w:val="NoSpacing"/>
              <w:ind w:left="-73" w:right="-38"/>
              <w:jc w:val="center"/>
              <w:rPr>
                <w:rFonts w:asciiTheme="minorHAnsi" w:hAnsiTheme="minorHAnsi"/>
                <w:sz w:val="20"/>
                <w:szCs w:val="20"/>
              </w:rPr>
            </w:pPr>
            <w:r>
              <w:rPr>
                <w:rFonts w:asciiTheme="minorHAnsi" w:hAnsiTheme="minorHAnsi"/>
                <w:sz w:val="20"/>
                <w:szCs w:val="20"/>
              </w:rPr>
              <w:t>50.2</w:t>
            </w:r>
          </w:p>
        </w:tc>
        <w:tc>
          <w:tcPr>
            <w:tcW w:w="255" w:type="pct"/>
            <w:tcBorders>
              <w:bottom w:val="single" w:sz="2" w:space="0" w:color="auto"/>
              <w:right w:val="single" w:sz="2" w:space="0" w:color="BFBFBF" w:themeColor="background1" w:themeShade="BF"/>
            </w:tcBorders>
            <w:vAlign w:val="center"/>
          </w:tcPr>
          <w:p w:rsidR="00755C7E" w:rsidRPr="00B627BB" w:rsidRDefault="00755C7E" w:rsidP="00D248F5">
            <w:pPr>
              <w:pStyle w:val="NoSpacing"/>
              <w:ind w:left="-73" w:right="-38"/>
              <w:jc w:val="center"/>
              <w:rPr>
                <w:rFonts w:asciiTheme="minorHAnsi" w:hAnsiTheme="minorHAnsi"/>
                <w:sz w:val="20"/>
                <w:szCs w:val="20"/>
              </w:rPr>
            </w:pPr>
            <w:r>
              <w:rPr>
                <w:rFonts w:asciiTheme="minorHAnsi" w:hAnsiTheme="minorHAnsi"/>
                <w:sz w:val="20"/>
                <w:szCs w:val="20"/>
              </w:rPr>
              <w:t>61.5</w:t>
            </w:r>
          </w:p>
        </w:tc>
        <w:tc>
          <w:tcPr>
            <w:tcW w:w="262" w:type="pct"/>
            <w:tcBorders>
              <w:left w:val="single" w:sz="2" w:space="0" w:color="BFBFBF" w:themeColor="background1" w:themeShade="BF"/>
              <w:bottom w:val="single" w:sz="2" w:space="0" w:color="auto"/>
            </w:tcBorders>
            <w:vAlign w:val="center"/>
          </w:tcPr>
          <w:p w:rsidR="00755C7E" w:rsidRPr="00B627BB" w:rsidRDefault="00755C7E" w:rsidP="00D248F5">
            <w:pPr>
              <w:pStyle w:val="NoSpacing"/>
              <w:ind w:left="-55" w:right="-108" w:firstLine="12"/>
              <w:jc w:val="center"/>
              <w:rPr>
                <w:rFonts w:asciiTheme="minorHAnsi" w:hAnsiTheme="minorHAnsi"/>
                <w:sz w:val="20"/>
                <w:szCs w:val="20"/>
              </w:rPr>
            </w:pPr>
            <w:r>
              <w:rPr>
                <w:rFonts w:asciiTheme="minorHAnsi" w:hAnsiTheme="minorHAnsi"/>
                <w:sz w:val="20"/>
                <w:szCs w:val="20"/>
              </w:rPr>
              <w:t>61.9</w:t>
            </w:r>
          </w:p>
        </w:tc>
        <w:tc>
          <w:tcPr>
            <w:tcW w:w="231" w:type="pct"/>
            <w:tcBorders>
              <w:bottom w:val="single" w:sz="2" w:space="0" w:color="auto"/>
            </w:tcBorders>
            <w:vAlign w:val="center"/>
          </w:tcPr>
          <w:p w:rsidR="00755C7E" w:rsidRPr="00B627BB" w:rsidRDefault="00755C7E" w:rsidP="00D248F5">
            <w:pPr>
              <w:pStyle w:val="NoSpacing"/>
              <w:ind w:left="-55" w:right="-108" w:firstLine="12"/>
              <w:jc w:val="center"/>
              <w:rPr>
                <w:rFonts w:asciiTheme="minorHAnsi" w:hAnsiTheme="minorHAnsi"/>
                <w:sz w:val="20"/>
                <w:szCs w:val="20"/>
              </w:rPr>
            </w:pPr>
            <w:r>
              <w:rPr>
                <w:rFonts w:asciiTheme="minorHAnsi" w:hAnsiTheme="minorHAnsi"/>
                <w:sz w:val="20"/>
                <w:szCs w:val="20"/>
              </w:rPr>
              <w:t>57.8</w:t>
            </w:r>
          </w:p>
        </w:tc>
        <w:tc>
          <w:tcPr>
            <w:tcW w:w="310" w:type="pct"/>
            <w:tcBorders>
              <w:bottom w:val="single" w:sz="2" w:space="0" w:color="auto"/>
              <w:right w:val="single" w:sz="2" w:space="0" w:color="BFBFBF" w:themeColor="background1" w:themeShade="BF"/>
            </w:tcBorders>
            <w:vAlign w:val="center"/>
          </w:tcPr>
          <w:p w:rsidR="00755C7E" w:rsidRPr="00B627BB" w:rsidRDefault="00755C7E" w:rsidP="00D248F5">
            <w:pPr>
              <w:pStyle w:val="NoSpacing"/>
              <w:ind w:left="-55" w:right="-108" w:firstLine="12"/>
              <w:jc w:val="center"/>
              <w:rPr>
                <w:rFonts w:asciiTheme="minorHAnsi" w:hAnsiTheme="minorHAnsi"/>
                <w:sz w:val="20"/>
                <w:szCs w:val="20"/>
              </w:rPr>
            </w:pPr>
            <w:r>
              <w:rPr>
                <w:rFonts w:asciiTheme="minorHAnsi" w:hAnsiTheme="minorHAnsi"/>
                <w:sz w:val="20"/>
                <w:szCs w:val="20"/>
              </w:rPr>
              <w:t>77.1</w:t>
            </w:r>
          </w:p>
        </w:tc>
        <w:tc>
          <w:tcPr>
            <w:tcW w:w="253" w:type="pct"/>
            <w:tcBorders>
              <w:left w:val="single" w:sz="2" w:space="0" w:color="BFBFBF" w:themeColor="background1" w:themeShade="BF"/>
              <w:bottom w:val="single" w:sz="2" w:space="0" w:color="auto"/>
            </w:tcBorders>
            <w:vAlign w:val="bottom"/>
          </w:tcPr>
          <w:p w:rsidR="00755C7E" w:rsidRPr="001C41F7" w:rsidRDefault="00755C7E" w:rsidP="001C41F7">
            <w:pPr>
              <w:ind w:left="-113" w:right="-64"/>
              <w:jc w:val="right"/>
              <w:rPr>
                <w:rFonts w:ascii="Calibri" w:hAnsi="Calibri"/>
                <w:color w:val="000000"/>
                <w:szCs w:val="20"/>
              </w:rPr>
            </w:pPr>
            <w:r w:rsidRPr="001C41F7">
              <w:rPr>
                <w:rFonts w:ascii="Calibri" w:hAnsi="Calibri"/>
                <w:color w:val="000000"/>
                <w:szCs w:val="20"/>
              </w:rPr>
              <w:t>45.6</w:t>
            </w:r>
          </w:p>
        </w:tc>
        <w:tc>
          <w:tcPr>
            <w:tcW w:w="253" w:type="pct"/>
            <w:gridSpan w:val="2"/>
            <w:tcBorders>
              <w:bottom w:val="single" w:sz="2" w:space="0" w:color="auto"/>
            </w:tcBorders>
            <w:vAlign w:val="bottom"/>
          </w:tcPr>
          <w:p w:rsidR="00755C7E" w:rsidRPr="0056579F" w:rsidRDefault="00755C7E" w:rsidP="0056579F">
            <w:pPr>
              <w:ind w:left="-152" w:right="-30"/>
              <w:jc w:val="right"/>
              <w:rPr>
                <w:rFonts w:ascii="Calibri" w:hAnsi="Calibri"/>
                <w:color w:val="000000"/>
                <w:szCs w:val="20"/>
              </w:rPr>
            </w:pPr>
            <w:r w:rsidRPr="0056579F">
              <w:rPr>
                <w:rFonts w:ascii="Calibri" w:hAnsi="Calibri"/>
                <w:color w:val="000000"/>
                <w:szCs w:val="20"/>
              </w:rPr>
              <w:t>45.1</w:t>
            </w:r>
          </w:p>
        </w:tc>
        <w:tc>
          <w:tcPr>
            <w:tcW w:w="266" w:type="pct"/>
            <w:gridSpan w:val="2"/>
            <w:tcBorders>
              <w:bottom w:val="single" w:sz="2" w:space="0" w:color="auto"/>
              <w:right w:val="single" w:sz="2" w:space="0" w:color="BFBFBF" w:themeColor="background1" w:themeShade="BF"/>
            </w:tcBorders>
            <w:vAlign w:val="bottom"/>
          </w:tcPr>
          <w:p w:rsidR="00755C7E" w:rsidRPr="00755C7E" w:rsidRDefault="00755C7E" w:rsidP="00755C7E">
            <w:pPr>
              <w:ind w:left="-50" w:right="-103"/>
              <w:rPr>
                <w:rFonts w:ascii="Calibri" w:hAnsi="Calibri"/>
                <w:color w:val="000000"/>
                <w:szCs w:val="20"/>
              </w:rPr>
            </w:pPr>
            <w:r w:rsidRPr="00755C7E">
              <w:rPr>
                <w:rFonts w:ascii="Calibri" w:hAnsi="Calibri"/>
                <w:color w:val="000000"/>
                <w:szCs w:val="20"/>
              </w:rPr>
              <w:t>77.6</w:t>
            </w:r>
          </w:p>
        </w:tc>
        <w:tc>
          <w:tcPr>
            <w:tcW w:w="233" w:type="pct"/>
            <w:tcBorders>
              <w:left w:val="single" w:sz="2" w:space="0" w:color="BFBFBF" w:themeColor="background1" w:themeShade="BF"/>
              <w:bottom w:val="single" w:sz="2" w:space="0" w:color="auto"/>
            </w:tcBorders>
            <w:vAlign w:val="center"/>
          </w:tcPr>
          <w:p w:rsidR="00755C7E" w:rsidRPr="00B627BB" w:rsidRDefault="00755C7E" w:rsidP="00D248F5">
            <w:pPr>
              <w:pStyle w:val="NoSpacing"/>
              <w:ind w:left="-116" w:right="-115"/>
              <w:jc w:val="center"/>
              <w:rPr>
                <w:rFonts w:asciiTheme="minorHAnsi" w:hAnsiTheme="minorHAnsi"/>
                <w:sz w:val="20"/>
                <w:szCs w:val="20"/>
              </w:rPr>
            </w:pPr>
            <w:r>
              <w:rPr>
                <w:rFonts w:asciiTheme="minorHAnsi" w:hAnsiTheme="minorHAnsi"/>
                <w:sz w:val="20"/>
                <w:szCs w:val="20"/>
              </w:rPr>
              <w:t>52.8</w:t>
            </w:r>
          </w:p>
        </w:tc>
        <w:tc>
          <w:tcPr>
            <w:tcW w:w="224" w:type="pct"/>
            <w:gridSpan w:val="2"/>
            <w:tcBorders>
              <w:bottom w:val="single" w:sz="2" w:space="0" w:color="auto"/>
            </w:tcBorders>
            <w:vAlign w:val="center"/>
          </w:tcPr>
          <w:p w:rsidR="00755C7E" w:rsidRPr="00B627BB" w:rsidRDefault="00755C7E" w:rsidP="00D248F5">
            <w:pPr>
              <w:pStyle w:val="NoSpacing"/>
              <w:ind w:left="-116" w:right="-115"/>
              <w:jc w:val="center"/>
              <w:rPr>
                <w:rFonts w:asciiTheme="minorHAnsi" w:hAnsiTheme="minorHAnsi"/>
                <w:sz w:val="20"/>
                <w:szCs w:val="20"/>
              </w:rPr>
            </w:pPr>
            <w:r>
              <w:rPr>
                <w:rFonts w:asciiTheme="minorHAnsi" w:hAnsiTheme="minorHAnsi"/>
                <w:sz w:val="20"/>
                <w:szCs w:val="20"/>
              </w:rPr>
              <w:t>46.7</w:t>
            </w:r>
          </w:p>
        </w:tc>
        <w:tc>
          <w:tcPr>
            <w:tcW w:w="315" w:type="pct"/>
            <w:gridSpan w:val="2"/>
            <w:tcBorders>
              <w:bottom w:val="single" w:sz="2" w:space="0" w:color="auto"/>
              <w:right w:val="single" w:sz="2" w:space="0" w:color="BFBFBF" w:themeColor="background1" w:themeShade="BF"/>
            </w:tcBorders>
            <w:vAlign w:val="center"/>
          </w:tcPr>
          <w:p w:rsidR="00755C7E" w:rsidRPr="00B627BB" w:rsidRDefault="00755C7E" w:rsidP="00D248F5">
            <w:pPr>
              <w:pStyle w:val="NoSpacing"/>
              <w:ind w:left="-116" w:right="-115"/>
              <w:jc w:val="center"/>
              <w:rPr>
                <w:rFonts w:asciiTheme="minorHAnsi" w:hAnsiTheme="minorHAnsi"/>
                <w:sz w:val="20"/>
                <w:szCs w:val="20"/>
              </w:rPr>
            </w:pPr>
            <w:r>
              <w:rPr>
                <w:rFonts w:asciiTheme="minorHAnsi" w:hAnsiTheme="minorHAnsi"/>
                <w:sz w:val="20"/>
                <w:szCs w:val="20"/>
              </w:rPr>
              <w:t>70.7</w:t>
            </w:r>
          </w:p>
        </w:tc>
        <w:tc>
          <w:tcPr>
            <w:tcW w:w="236" w:type="pct"/>
            <w:tcBorders>
              <w:left w:val="single" w:sz="2" w:space="0" w:color="BFBFBF" w:themeColor="background1" w:themeShade="BF"/>
              <w:bottom w:val="single" w:sz="2" w:space="0" w:color="auto"/>
            </w:tcBorders>
            <w:vAlign w:val="center"/>
          </w:tcPr>
          <w:p w:rsidR="00755C7E" w:rsidRPr="00B627BB" w:rsidRDefault="00755C7E" w:rsidP="00D248F5">
            <w:pPr>
              <w:pStyle w:val="NoSpacing"/>
              <w:ind w:left="-48" w:right="-98"/>
              <w:jc w:val="center"/>
              <w:rPr>
                <w:rFonts w:asciiTheme="minorHAnsi" w:hAnsiTheme="minorHAnsi"/>
                <w:sz w:val="20"/>
                <w:szCs w:val="20"/>
              </w:rPr>
            </w:pPr>
            <w:r>
              <w:rPr>
                <w:rFonts w:asciiTheme="minorHAnsi" w:hAnsiTheme="minorHAnsi"/>
                <w:sz w:val="20"/>
                <w:szCs w:val="20"/>
              </w:rPr>
              <w:t>50.0</w:t>
            </w:r>
          </w:p>
        </w:tc>
        <w:tc>
          <w:tcPr>
            <w:tcW w:w="305" w:type="pct"/>
            <w:tcBorders>
              <w:bottom w:val="single" w:sz="2" w:space="0" w:color="auto"/>
            </w:tcBorders>
            <w:vAlign w:val="center"/>
          </w:tcPr>
          <w:p w:rsidR="00755C7E" w:rsidRPr="00B627BB" w:rsidRDefault="00755C7E" w:rsidP="00313DBE">
            <w:pPr>
              <w:pStyle w:val="16TableText"/>
              <w:ind w:left="-68" w:right="-102" w:firstLine="20"/>
              <w:rPr>
                <w:rFonts w:asciiTheme="minorHAnsi" w:eastAsia="Arial Unicode MS" w:hAnsiTheme="minorHAnsi" w:cs="Arial Unicode MS"/>
                <w:sz w:val="20"/>
              </w:rPr>
            </w:pPr>
            <w:r>
              <w:rPr>
                <w:rFonts w:asciiTheme="minorHAnsi" w:eastAsia="Arial Unicode MS" w:hAnsiTheme="minorHAnsi" w:cs="Arial Unicode MS"/>
                <w:sz w:val="20"/>
              </w:rPr>
              <w:t>45.9</w:t>
            </w:r>
          </w:p>
        </w:tc>
        <w:tc>
          <w:tcPr>
            <w:tcW w:w="228" w:type="pct"/>
            <w:tcBorders>
              <w:bottom w:val="single" w:sz="2" w:space="0" w:color="auto"/>
            </w:tcBorders>
            <w:vAlign w:val="center"/>
          </w:tcPr>
          <w:p w:rsidR="00755C7E" w:rsidRPr="00B627BB" w:rsidRDefault="00755C7E" w:rsidP="00D248F5">
            <w:pPr>
              <w:pStyle w:val="16TableText"/>
              <w:ind w:left="-118" w:right="-87" w:firstLine="0"/>
              <w:rPr>
                <w:rFonts w:asciiTheme="minorHAnsi" w:eastAsia="Arial Unicode MS" w:hAnsiTheme="minorHAnsi" w:cs="Arial Unicode MS"/>
                <w:sz w:val="20"/>
              </w:rPr>
            </w:pPr>
            <w:r>
              <w:rPr>
                <w:rFonts w:asciiTheme="minorHAnsi" w:eastAsia="Arial Unicode MS" w:hAnsiTheme="minorHAnsi" w:cs="Arial Unicode MS"/>
                <w:sz w:val="20"/>
              </w:rPr>
              <w:t>65.4</w:t>
            </w:r>
          </w:p>
        </w:tc>
      </w:tr>
    </w:tbl>
    <w:p w:rsidR="001A2FAA" w:rsidRDefault="001A2FAA" w:rsidP="0043038B">
      <w:pPr>
        <w:rPr>
          <w:rFonts w:eastAsia="Arial Unicode MS"/>
        </w:rPr>
      </w:pPr>
    </w:p>
    <w:p w:rsidR="0043038B" w:rsidRPr="0043038B" w:rsidRDefault="0043038B" w:rsidP="000C60F4">
      <w:pPr>
        <w:jc w:val="both"/>
        <w:rPr>
          <w:rFonts w:eastAsia="Arial Unicode MS"/>
        </w:rPr>
      </w:pPr>
      <w:r>
        <w:rPr>
          <w:rFonts w:eastAsia="Arial Unicode MS"/>
        </w:rPr>
        <w:t xml:space="preserve">During the summer season, the maximum recommended </w:t>
      </w:r>
      <w:r w:rsidR="00FF5CF9">
        <w:rPr>
          <w:rFonts w:eastAsia="Arial Unicode MS"/>
        </w:rPr>
        <w:t>level of 60% was exceeded in</w:t>
      </w:r>
      <w:r>
        <w:rPr>
          <w:rFonts w:eastAsia="Arial Unicode MS"/>
        </w:rPr>
        <w:t xml:space="preserve"> five </w:t>
      </w:r>
      <w:r w:rsidR="00FF5CF9">
        <w:rPr>
          <w:rFonts w:eastAsia="Arial Unicode MS"/>
        </w:rPr>
        <w:t xml:space="preserve">out of six </w:t>
      </w:r>
      <w:r>
        <w:rPr>
          <w:rFonts w:eastAsia="Arial Unicode MS"/>
        </w:rPr>
        <w:t xml:space="preserve">homes monitored, with average relative humidity levels exceeding 60% in the living room of one dwelling (No.3). Outside levels during the monitoring period did not appear to influence the results. </w:t>
      </w:r>
    </w:p>
    <w:p w:rsidR="0043038B" w:rsidRPr="0043038B" w:rsidRDefault="009F718A" w:rsidP="0043038B">
      <w:pPr>
        <w:pStyle w:val="Heading20"/>
        <w:numPr>
          <w:ilvl w:val="1"/>
          <w:numId w:val="12"/>
        </w:numPr>
        <w:rPr>
          <w:rFonts w:eastAsia="Arial Unicode MS" w:cs="Arial"/>
        </w:rPr>
      </w:pPr>
      <w:r>
        <w:rPr>
          <w:rFonts w:eastAsia="Arial Unicode MS" w:cs="Arial"/>
        </w:rPr>
        <w:t xml:space="preserve">Temperature </w:t>
      </w:r>
    </w:p>
    <w:p w:rsidR="00342EFE" w:rsidRDefault="00342EFE" w:rsidP="00C574B2">
      <w:pPr>
        <w:pStyle w:val="Heading3"/>
        <w:numPr>
          <w:ilvl w:val="2"/>
          <w:numId w:val="18"/>
        </w:numPr>
        <w:rPr>
          <w:rFonts w:eastAsia="Arial Unicode MS"/>
        </w:rPr>
      </w:pPr>
      <w:r>
        <w:rPr>
          <w:rFonts w:eastAsia="Arial Unicode MS"/>
        </w:rPr>
        <w:t>Winter season</w:t>
      </w:r>
    </w:p>
    <w:p w:rsidR="000D1DBB" w:rsidRDefault="000D1DBB" w:rsidP="000C60F4">
      <w:pPr>
        <w:pStyle w:val="06BodyMaintext"/>
        <w:spacing w:line="240" w:lineRule="auto"/>
        <w:ind w:firstLine="0"/>
        <w:rPr>
          <w:rFonts w:ascii="Arial Unicode MS" w:eastAsia="Arial Unicode MS" w:hAnsi="Arial Unicode MS" w:cs="Arial Unicode MS"/>
          <w:sz w:val="20"/>
        </w:rPr>
      </w:pPr>
      <w:r>
        <w:rPr>
          <w:rFonts w:ascii="Arial Unicode MS" w:eastAsia="Arial Unicode MS" w:hAnsi="Arial Unicode MS" w:cs="Arial Unicode MS"/>
          <w:sz w:val="20"/>
        </w:rPr>
        <w:t>Table 7</w:t>
      </w:r>
      <w:r w:rsidRPr="009F718A">
        <w:rPr>
          <w:rFonts w:ascii="Arial Unicode MS" w:eastAsia="Arial Unicode MS" w:hAnsi="Arial Unicode MS" w:cs="Arial Unicode MS"/>
          <w:sz w:val="20"/>
        </w:rPr>
        <w:t xml:space="preserve"> shows the temperature results both indoors and outdoors during the measurement period. During this time, the occupants were asked to record periods when heating was used, either through use of gas/electric fire or portable electric heaters since no central heating system was available. Furthermore, during the interviews households were asked to record their typical heating schedule for each season and typical home occupancy levels, as illustrated in </w:t>
      </w:r>
      <w:r>
        <w:rPr>
          <w:rFonts w:ascii="Arial Unicode MS" w:eastAsia="Arial Unicode MS" w:hAnsi="Arial Unicode MS" w:cs="Arial Unicode MS"/>
          <w:sz w:val="20"/>
        </w:rPr>
        <w:t>Table 8</w:t>
      </w:r>
      <w:r w:rsidRPr="00F16D36">
        <w:rPr>
          <w:rFonts w:ascii="Arial Unicode MS" w:eastAsia="Arial Unicode MS" w:hAnsi="Arial Unicode MS" w:cs="Arial Unicode MS"/>
          <w:sz w:val="20"/>
        </w:rPr>
        <w:t>.</w:t>
      </w:r>
    </w:p>
    <w:p w:rsidR="00DD4A10" w:rsidRPr="009F718A" w:rsidRDefault="00DD4A10" w:rsidP="000C60F4">
      <w:pPr>
        <w:pStyle w:val="06BodyMaintext"/>
        <w:spacing w:line="240" w:lineRule="auto"/>
        <w:ind w:firstLine="0"/>
        <w:rPr>
          <w:rFonts w:ascii="Arial Unicode MS" w:eastAsia="Arial Unicode MS" w:hAnsi="Arial Unicode MS" w:cs="Arial Unicode MS"/>
          <w:b/>
          <w:sz w:val="20"/>
        </w:rPr>
      </w:pPr>
    </w:p>
    <w:p w:rsidR="000D1DBB" w:rsidRPr="000D1DBB" w:rsidRDefault="000D1DBB" w:rsidP="000D1DBB">
      <w:pPr>
        <w:rPr>
          <w:rFonts w:eastAsia="Arial Unicode MS"/>
        </w:rPr>
      </w:pPr>
    </w:p>
    <w:tbl>
      <w:tblPr>
        <w:tblW w:w="4905" w:type="pct"/>
        <w:jc w:val="center"/>
        <w:tblInd w:w="-493" w:type="dxa"/>
        <w:tblBorders>
          <w:top w:val="single" w:sz="18" w:space="0" w:color="auto"/>
          <w:bottom w:val="single" w:sz="18" w:space="0" w:color="auto"/>
        </w:tblBorders>
        <w:tblLayout w:type="fixed"/>
        <w:tblLook w:val="04A0" w:firstRow="1" w:lastRow="0" w:firstColumn="1" w:lastColumn="0" w:noHBand="0" w:noVBand="1"/>
      </w:tblPr>
      <w:tblGrid>
        <w:gridCol w:w="88"/>
        <w:gridCol w:w="574"/>
        <w:gridCol w:w="629"/>
        <w:gridCol w:w="832"/>
        <w:gridCol w:w="553"/>
        <w:gridCol w:w="720"/>
        <w:gridCol w:w="587"/>
        <w:gridCol w:w="694"/>
        <w:gridCol w:w="673"/>
        <w:gridCol w:w="743"/>
        <w:gridCol w:w="651"/>
        <w:gridCol w:w="765"/>
        <w:gridCol w:w="647"/>
        <w:gridCol w:w="13"/>
        <w:gridCol w:w="781"/>
        <w:gridCol w:w="116"/>
      </w:tblGrid>
      <w:tr w:rsidR="00342EFE" w:rsidRPr="009F718A" w:rsidTr="000E0FA4">
        <w:trPr>
          <w:gridBefore w:val="1"/>
          <w:wBefore w:w="48" w:type="pct"/>
          <w:jc w:val="center"/>
        </w:trPr>
        <w:tc>
          <w:tcPr>
            <w:tcW w:w="4952" w:type="pct"/>
            <w:gridSpan w:val="15"/>
            <w:tcBorders>
              <w:top w:val="nil"/>
              <w:bottom w:val="single" w:sz="2" w:space="0" w:color="auto"/>
            </w:tcBorders>
          </w:tcPr>
          <w:p w:rsidR="00342EFE" w:rsidRPr="000E0FA4" w:rsidRDefault="00CB4E25" w:rsidP="00342EFE">
            <w:pPr>
              <w:pStyle w:val="15TableTitle"/>
              <w:ind w:left="-34" w:firstLine="0"/>
              <w:jc w:val="left"/>
              <w:rPr>
                <w:rFonts w:ascii="Arial Unicode MS" w:eastAsia="Arial Unicode MS" w:hAnsi="Arial Unicode MS" w:cs="Arial Unicode MS"/>
                <w:b w:val="0"/>
              </w:rPr>
            </w:pPr>
            <w:r>
              <w:rPr>
                <w:rFonts w:ascii="Arial Unicode MS" w:eastAsia="Arial Unicode MS" w:hAnsi="Arial Unicode MS" w:cs="Arial Unicode MS"/>
                <w:b w:val="0"/>
              </w:rPr>
              <w:t>Table 7</w:t>
            </w:r>
            <w:r w:rsidR="00342EFE" w:rsidRPr="000E0FA4">
              <w:rPr>
                <w:rFonts w:ascii="Arial Unicode MS" w:eastAsia="Arial Unicode MS" w:hAnsi="Arial Unicode MS" w:cs="Arial Unicode MS"/>
                <w:b w:val="0"/>
              </w:rPr>
              <w:t>.   Winter temperature results (º C) in living room and outside</w:t>
            </w:r>
          </w:p>
        </w:tc>
      </w:tr>
      <w:tr w:rsidR="00342EFE" w:rsidRPr="009F718A" w:rsidTr="000E0FA4">
        <w:trPr>
          <w:jc w:val="center"/>
        </w:trPr>
        <w:tc>
          <w:tcPr>
            <w:tcW w:w="364" w:type="pct"/>
            <w:gridSpan w:val="2"/>
            <w:tcBorders>
              <w:top w:val="single" w:sz="2" w:space="0" w:color="auto"/>
              <w:bottom w:val="single" w:sz="2" w:space="0" w:color="auto"/>
            </w:tcBorders>
            <w:vAlign w:val="center"/>
          </w:tcPr>
          <w:p w:rsidR="00342EFE" w:rsidRPr="009C4800" w:rsidRDefault="00342EFE" w:rsidP="000E0FA4">
            <w:pPr>
              <w:pStyle w:val="14TableHeading"/>
              <w:tabs>
                <w:tab w:val="left" w:pos="389"/>
              </w:tabs>
              <w:ind w:left="-49" w:firstLine="16"/>
              <w:rPr>
                <w:rFonts w:asciiTheme="minorHAnsi" w:eastAsia="Arial Unicode MS" w:hAnsiTheme="minorHAnsi" w:cs="Arial Unicode MS"/>
                <w:b w:val="0"/>
              </w:rPr>
            </w:pPr>
          </w:p>
        </w:tc>
        <w:tc>
          <w:tcPr>
            <w:tcW w:w="806" w:type="pct"/>
            <w:gridSpan w:val="2"/>
            <w:tcBorders>
              <w:top w:val="single" w:sz="2" w:space="0" w:color="auto"/>
              <w:bottom w:val="single" w:sz="2" w:space="0" w:color="auto"/>
            </w:tcBorders>
            <w:vAlign w:val="center"/>
          </w:tcPr>
          <w:p w:rsidR="00342EFE" w:rsidRPr="009C4800" w:rsidRDefault="00342EFE" w:rsidP="000E0FA4">
            <w:pPr>
              <w:pStyle w:val="14TableHeading"/>
              <w:tabs>
                <w:tab w:val="left" w:pos="389"/>
              </w:tabs>
              <w:ind w:left="-49" w:right="-98" w:hanging="1"/>
              <w:rPr>
                <w:rFonts w:asciiTheme="minorHAnsi" w:eastAsia="Arial Unicode MS" w:hAnsiTheme="minorHAnsi" w:cs="Arial Unicode MS"/>
                <w:b w:val="0"/>
              </w:rPr>
            </w:pPr>
            <w:r w:rsidRPr="009C4800">
              <w:rPr>
                <w:rFonts w:asciiTheme="minorHAnsi" w:eastAsia="Arial Unicode MS" w:hAnsiTheme="minorHAnsi" w:cs="Arial Unicode MS"/>
                <w:b w:val="0"/>
              </w:rPr>
              <w:t>No.1</w:t>
            </w:r>
          </w:p>
        </w:tc>
        <w:tc>
          <w:tcPr>
            <w:tcW w:w="702" w:type="pct"/>
            <w:gridSpan w:val="2"/>
            <w:tcBorders>
              <w:top w:val="single" w:sz="2" w:space="0" w:color="auto"/>
              <w:bottom w:val="single" w:sz="2" w:space="0" w:color="auto"/>
            </w:tcBorders>
            <w:vAlign w:val="center"/>
          </w:tcPr>
          <w:p w:rsidR="00342EFE" w:rsidRPr="009C4800" w:rsidRDefault="00342EFE" w:rsidP="000E0FA4">
            <w:pPr>
              <w:pStyle w:val="14TableHeading"/>
              <w:ind w:left="0" w:firstLine="16"/>
              <w:rPr>
                <w:rFonts w:asciiTheme="minorHAnsi" w:eastAsia="Arial Unicode MS" w:hAnsiTheme="minorHAnsi" w:cs="Arial Unicode MS"/>
                <w:b w:val="0"/>
              </w:rPr>
            </w:pPr>
            <w:r w:rsidRPr="009C4800">
              <w:rPr>
                <w:rFonts w:asciiTheme="minorHAnsi" w:eastAsia="Arial Unicode MS" w:hAnsiTheme="minorHAnsi" w:cs="Arial Unicode MS"/>
                <w:b w:val="0"/>
              </w:rPr>
              <w:t>No.2</w:t>
            </w:r>
          </w:p>
        </w:tc>
        <w:tc>
          <w:tcPr>
            <w:tcW w:w="707" w:type="pct"/>
            <w:gridSpan w:val="2"/>
            <w:tcBorders>
              <w:top w:val="single" w:sz="2" w:space="0" w:color="auto"/>
              <w:bottom w:val="single" w:sz="2" w:space="0" w:color="auto"/>
            </w:tcBorders>
            <w:vAlign w:val="center"/>
          </w:tcPr>
          <w:p w:rsidR="00342EFE" w:rsidRPr="009C4800" w:rsidRDefault="00342EFE" w:rsidP="000E0FA4">
            <w:pPr>
              <w:pStyle w:val="14TableHeading"/>
              <w:ind w:left="0" w:firstLine="16"/>
              <w:rPr>
                <w:rFonts w:asciiTheme="minorHAnsi" w:eastAsia="Arial Unicode MS" w:hAnsiTheme="minorHAnsi" w:cs="Arial Unicode MS"/>
                <w:b w:val="0"/>
              </w:rPr>
            </w:pPr>
            <w:r w:rsidRPr="009C4800">
              <w:rPr>
                <w:rFonts w:asciiTheme="minorHAnsi" w:eastAsia="Arial Unicode MS" w:hAnsiTheme="minorHAnsi" w:cs="Arial Unicode MS"/>
                <w:b w:val="0"/>
              </w:rPr>
              <w:t>No.3</w:t>
            </w:r>
          </w:p>
        </w:tc>
        <w:tc>
          <w:tcPr>
            <w:tcW w:w="780" w:type="pct"/>
            <w:gridSpan w:val="2"/>
            <w:tcBorders>
              <w:top w:val="single" w:sz="2" w:space="0" w:color="auto"/>
              <w:bottom w:val="single" w:sz="2" w:space="0" w:color="auto"/>
            </w:tcBorders>
            <w:vAlign w:val="center"/>
          </w:tcPr>
          <w:p w:rsidR="00342EFE" w:rsidRPr="009C4800" w:rsidRDefault="00342EFE" w:rsidP="000E0FA4">
            <w:pPr>
              <w:pStyle w:val="14TableHeading"/>
              <w:ind w:left="0" w:firstLine="16"/>
              <w:rPr>
                <w:rFonts w:asciiTheme="minorHAnsi" w:eastAsia="Arial Unicode MS" w:hAnsiTheme="minorHAnsi" w:cs="Arial Unicode MS"/>
                <w:b w:val="0"/>
              </w:rPr>
            </w:pPr>
            <w:r w:rsidRPr="009C4800">
              <w:rPr>
                <w:rFonts w:asciiTheme="minorHAnsi" w:eastAsia="Arial Unicode MS" w:hAnsiTheme="minorHAnsi" w:cs="Arial Unicode MS"/>
                <w:b w:val="0"/>
              </w:rPr>
              <w:t>No.4</w:t>
            </w:r>
          </w:p>
        </w:tc>
        <w:tc>
          <w:tcPr>
            <w:tcW w:w="781" w:type="pct"/>
            <w:gridSpan w:val="2"/>
            <w:tcBorders>
              <w:top w:val="single" w:sz="2" w:space="0" w:color="auto"/>
              <w:bottom w:val="single" w:sz="2" w:space="0" w:color="auto"/>
            </w:tcBorders>
            <w:vAlign w:val="center"/>
          </w:tcPr>
          <w:p w:rsidR="00342EFE" w:rsidRPr="009C4800" w:rsidRDefault="00342EFE" w:rsidP="000E0FA4">
            <w:pPr>
              <w:pStyle w:val="14TableHeading"/>
              <w:ind w:left="0" w:right="-106" w:firstLine="16"/>
              <w:rPr>
                <w:rFonts w:asciiTheme="minorHAnsi" w:eastAsia="Arial Unicode MS" w:hAnsiTheme="minorHAnsi" w:cs="Arial Unicode MS"/>
                <w:b w:val="0"/>
              </w:rPr>
            </w:pPr>
            <w:r w:rsidRPr="009C4800">
              <w:rPr>
                <w:rFonts w:asciiTheme="minorHAnsi" w:eastAsia="Arial Unicode MS" w:hAnsiTheme="minorHAnsi" w:cs="Arial Unicode MS"/>
                <w:b w:val="0"/>
              </w:rPr>
              <w:t>No.5</w:t>
            </w:r>
          </w:p>
        </w:tc>
        <w:tc>
          <w:tcPr>
            <w:tcW w:w="859" w:type="pct"/>
            <w:gridSpan w:val="4"/>
            <w:tcBorders>
              <w:top w:val="single" w:sz="2" w:space="0" w:color="auto"/>
              <w:bottom w:val="single" w:sz="2" w:space="0" w:color="auto"/>
            </w:tcBorders>
            <w:vAlign w:val="center"/>
          </w:tcPr>
          <w:p w:rsidR="00342EFE" w:rsidRPr="009C4800" w:rsidRDefault="00342EFE" w:rsidP="000E0FA4">
            <w:pPr>
              <w:pStyle w:val="14TableHeading"/>
              <w:ind w:left="0" w:firstLine="16"/>
              <w:rPr>
                <w:rFonts w:asciiTheme="minorHAnsi" w:eastAsia="Arial Unicode MS" w:hAnsiTheme="minorHAnsi" w:cs="Arial Unicode MS"/>
                <w:b w:val="0"/>
              </w:rPr>
            </w:pPr>
            <w:r w:rsidRPr="009C4800">
              <w:rPr>
                <w:rFonts w:asciiTheme="minorHAnsi" w:eastAsia="Arial Unicode MS" w:hAnsiTheme="minorHAnsi" w:cs="Arial Unicode MS"/>
                <w:b w:val="0"/>
              </w:rPr>
              <w:t>No.6</w:t>
            </w:r>
          </w:p>
        </w:tc>
      </w:tr>
      <w:tr w:rsidR="00342EFE" w:rsidRPr="009F718A" w:rsidTr="000E0FA4">
        <w:trPr>
          <w:jc w:val="center"/>
        </w:trPr>
        <w:tc>
          <w:tcPr>
            <w:tcW w:w="364" w:type="pct"/>
            <w:gridSpan w:val="2"/>
            <w:tcBorders>
              <w:top w:val="single" w:sz="2" w:space="0" w:color="auto"/>
              <w:bottom w:val="single" w:sz="2" w:space="0" w:color="auto"/>
            </w:tcBorders>
            <w:vAlign w:val="center"/>
          </w:tcPr>
          <w:p w:rsidR="00342EFE" w:rsidRPr="009C4800" w:rsidRDefault="00342EFE" w:rsidP="000E0FA4">
            <w:pPr>
              <w:pStyle w:val="16TableText"/>
              <w:tabs>
                <w:tab w:val="left" w:pos="389"/>
              </w:tabs>
              <w:ind w:left="-49" w:firstLine="16"/>
              <w:rPr>
                <w:rFonts w:asciiTheme="minorHAnsi" w:eastAsia="Arial Unicode MS" w:hAnsiTheme="minorHAnsi" w:cs="Arial Unicode MS"/>
                <w:sz w:val="20"/>
              </w:rPr>
            </w:pPr>
          </w:p>
        </w:tc>
        <w:tc>
          <w:tcPr>
            <w:tcW w:w="347" w:type="pct"/>
            <w:tcBorders>
              <w:top w:val="single" w:sz="2" w:space="0" w:color="auto"/>
              <w:bottom w:val="single" w:sz="2" w:space="0" w:color="auto"/>
            </w:tcBorders>
            <w:vAlign w:val="center"/>
          </w:tcPr>
          <w:p w:rsidR="00342EFE" w:rsidRPr="009C4800" w:rsidRDefault="00342EFE" w:rsidP="000E0FA4">
            <w:pPr>
              <w:pStyle w:val="16TableText"/>
              <w:tabs>
                <w:tab w:val="left" w:pos="389"/>
              </w:tabs>
              <w:ind w:left="-49" w:right="-69" w:hanging="1"/>
              <w:rPr>
                <w:rFonts w:asciiTheme="minorHAnsi" w:eastAsia="Arial Unicode MS" w:hAnsiTheme="minorHAnsi" w:cs="Arial Unicode MS"/>
                <w:sz w:val="20"/>
              </w:rPr>
            </w:pPr>
            <w:r>
              <w:rPr>
                <w:rFonts w:asciiTheme="minorHAnsi" w:eastAsia="Arial Unicode MS" w:hAnsiTheme="minorHAnsi" w:cs="Arial Unicode MS"/>
                <w:sz w:val="20"/>
              </w:rPr>
              <w:t>Living room</w:t>
            </w:r>
          </w:p>
        </w:tc>
        <w:tc>
          <w:tcPr>
            <w:tcW w:w="459" w:type="pct"/>
            <w:tcBorders>
              <w:top w:val="single" w:sz="2" w:space="0" w:color="auto"/>
              <w:bottom w:val="single" w:sz="2" w:space="0" w:color="auto"/>
            </w:tcBorders>
            <w:vAlign w:val="center"/>
          </w:tcPr>
          <w:p w:rsidR="00342EFE" w:rsidRPr="009C4800" w:rsidRDefault="00342EFE" w:rsidP="000E0FA4">
            <w:pPr>
              <w:pStyle w:val="16TableText"/>
              <w:ind w:left="-54" w:right="-98" w:firstLine="0"/>
              <w:rPr>
                <w:rFonts w:asciiTheme="minorHAnsi" w:eastAsia="Arial Unicode MS" w:hAnsiTheme="minorHAnsi" w:cs="Arial Unicode MS"/>
                <w:sz w:val="20"/>
              </w:rPr>
            </w:pPr>
            <w:r w:rsidRPr="009C4800">
              <w:rPr>
                <w:rFonts w:asciiTheme="minorHAnsi" w:eastAsia="Arial Unicode MS" w:hAnsiTheme="minorHAnsi" w:cs="Arial Unicode MS"/>
                <w:sz w:val="20"/>
              </w:rPr>
              <w:t>Outside</w:t>
            </w:r>
          </w:p>
        </w:tc>
        <w:tc>
          <w:tcPr>
            <w:tcW w:w="305" w:type="pct"/>
            <w:tcBorders>
              <w:top w:val="single" w:sz="2" w:space="0" w:color="auto"/>
              <w:bottom w:val="single" w:sz="2" w:space="0" w:color="auto"/>
            </w:tcBorders>
            <w:vAlign w:val="center"/>
          </w:tcPr>
          <w:p w:rsidR="00342EFE" w:rsidRPr="009C4800" w:rsidRDefault="00342EFE" w:rsidP="000E0FA4">
            <w:pPr>
              <w:pStyle w:val="16TableText"/>
              <w:ind w:left="-95" w:right="-87" w:firstLine="0"/>
              <w:rPr>
                <w:rFonts w:asciiTheme="minorHAnsi" w:eastAsia="Arial Unicode MS" w:hAnsiTheme="minorHAnsi" w:cs="Arial Unicode MS"/>
                <w:sz w:val="20"/>
              </w:rPr>
            </w:pPr>
            <w:r>
              <w:rPr>
                <w:rFonts w:asciiTheme="minorHAnsi" w:eastAsia="Arial Unicode MS" w:hAnsiTheme="minorHAnsi" w:cs="Arial Unicode MS"/>
                <w:sz w:val="20"/>
              </w:rPr>
              <w:t>Living room</w:t>
            </w:r>
          </w:p>
        </w:tc>
        <w:tc>
          <w:tcPr>
            <w:tcW w:w="397" w:type="pct"/>
            <w:tcBorders>
              <w:top w:val="single" w:sz="2" w:space="0" w:color="auto"/>
              <w:bottom w:val="single" w:sz="2" w:space="0" w:color="auto"/>
            </w:tcBorders>
            <w:vAlign w:val="center"/>
          </w:tcPr>
          <w:p w:rsidR="00342EFE" w:rsidRPr="009C4800" w:rsidRDefault="00342EFE" w:rsidP="000E0FA4">
            <w:pPr>
              <w:pStyle w:val="16TableText"/>
              <w:ind w:left="-41" w:right="-160" w:hanging="66"/>
              <w:rPr>
                <w:rFonts w:asciiTheme="minorHAnsi" w:eastAsia="Arial Unicode MS" w:hAnsiTheme="minorHAnsi" w:cs="Arial Unicode MS"/>
                <w:sz w:val="20"/>
              </w:rPr>
            </w:pPr>
            <w:r w:rsidRPr="009C4800">
              <w:rPr>
                <w:rFonts w:asciiTheme="minorHAnsi" w:eastAsia="Arial Unicode MS" w:hAnsiTheme="minorHAnsi" w:cs="Arial Unicode MS"/>
                <w:sz w:val="20"/>
              </w:rPr>
              <w:t>Outside</w:t>
            </w:r>
          </w:p>
        </w:tc>
        <w:tc>
          <w:tcPr>
            <w:tcW w:w="324" w:type="pct"/>
            <w:tcBorders>
              <w:top w:val="single" w:sz="2" w:space="0" w:color="auto"/>
              <w:bottom w:val="single" w:sz="2" w:space="0" w:color="auto"/>
            </w:tcBorders>
            <w:vAlign w:val="center"/>
          </w:tcPr>
          <w:p w:rsidR="00342EFE" w:rsidRPr="009C4800" w:rsidRDefault="00342EFE" w:rsidP="000E0FA4">
            <w:pPr>
              <w:pStyle w:val="16TableText"/>
              <w:ind w:left="-105" w:right="-123" w:firstLine="2"/>
              <w:rPr>
                <w:rFonts w:asciiTheme="minorHAnsi" w:eastAsia="Arial Unicode MS" w:hAnsiTheme="minorHAnsi" w:cs="Arial Unicode MS"/>
                <w:sz w:val="20"/>
              </w:rPr>
            </w:pPr>
            <w:r>
              <w:rPr>
                <w:rFonts w:asciiTheme="minorHAnsi" w:eastAsia="Arial Unicode MS" w:hAnsiTheme="minorHAnsi" w:cs="Arial Unicode MS"/>
                <w:sz w:val="20"/>
              </w:rPr>
              <w:t>Living room</w:t>
            </w:r>
          </w:p>
        </w:tc>
        <w:tc>
          <w:tcPr>
            <w:tcW w:w="383" w:type="pct"/>
            <w:tcBorders>
              <w:top w:val="single" w:sz="2" w:space="0" w:color="auto"/>
              <w:bottom w:val="single" w:sz="2" w:space="0" w:color="auto"/>
            </w:tcBorders>
            <w:vAlign w:val="center"/>
          </w:tcPr>
          <w:p w:rsidR="00342EFE" w:rsidRPr="009C4800" w:rsidRDefault="00342EFE" w:rsidP="000E0FA4">
            <w:pPr>
              <w:pStyle w:val="16TableText"/>
              <w:ind w:left="-90" w:right="-108" w:hanging="15"/>
              <w:rPr>
                <w:rFonts w:asciiTheme="minorHAnsi" w:eastAsia="Arial Unicode MS" w:hAnsiTheme="minorHAnsi" w:cs="Arial Unicode MS"/>
                <w:sz w:val="20"/>
              </w:rPr>
            </w:pPr>
            <w:r w:rsidRPr="009C4800">
              <w:rPr>
                <w:rFonts w:asciiTheme="minorHAnsi" w:eastAsia="Arial Unicode MS" w:hAnsiTheme="minorHAnsi" w:cs="Arial Unicode MS"/>
                <w:sz w:val="20"/>
              </w:rPr>
              <w:t>Outside</w:t>
            </w:r>
          </w:p>
        </w:tc>
        <w:tc>
          <w:tcPr>
            <w:tcW w:w="371" w:type="pct"/>
            <w:tcBorders>
              <w:top w:val="single" w:sz="2" w:space="0" w:color="auto"/>
              <w:bottom w:val="single" w:sz="2" w:space="0" w:color="auto"/>
            </w:tcBorders>
            <w:vAlign w:val="center"/>
          </w:tcPr>
          <w:p w:rsidR="00342EFE" w:rsidRPr="009C4800" w:rsidRDefault="00342EFE" w:rsidP="000E0FA4">
            <w:pPr>
              <w:pStyle w:val="16TableText"/>
              <w:ind w:left="5" w:right="-95" w:firstLine="11"/>
              <w:rPr>
                <w:rFonts w:asciiTheme="minorHAnsi" w:eastAsia="Arial Unicode MS" w:hAnsiTheme="minorHAnsi" w:cs="Arial Unicode MS"/>
                <w:sz w:val="20"/>
              </w:rPr>
            </w:pPr>
            <w:r>
              <w:rPr>
                <w:rFonts w:asciiTheme="minorHAnsi" w:eastAsia="Arial Unicode MS" w:hAnsiTheme="minorHAnsi" w:cs="Arial Unicode MS"/>
                <w:sz w:val="20"/>
              </w:rPr>
              <w:t>Living room</w:t>
            </w:r>
          </w:p>
        </w:tc>
        <w:tc>
          <w:tcPr>
            <w:tcW w:w="410" w:type="pct"/>
            <w:tcBorders>
              <w:top w:val="single" w:sz="2" w:space="0" w:color="auto"/>
              <w:bottom w:val="single" w:sz="2" w:space="0" w:color="auto"/>
            </w:tcBorders>
            <w:vAlign w:val="center"/>
          </w:tcPr>
          <w:p w:rsidR="00342EFE" w:rsidRPr="009C4800" w:rsidRDefault="00342EFE" w:rsidP="000E0FA4">
            <w:pPr>
              <w:pStyle w:val="16TableText"/>
              <w:ind w:left="-55" w:right="-113" w:hanging="41"/>
              <w:rPr>
                <w:rFonts w:asciiTheme="minorHAnsi" w:eastAsia="Arial Unicode MS" w:hAnsiTheme="minorHAnsi" w:cs="Arial Unicode MS"/>
                <w:sz w:val="20"/>
              </w:rPr>
            </w:pPr>
            <w:r w:rsidRPr="009C4800">
              <w:rPr>
                <w:rFonts w:asciiTheme="minorHAnsi" w:eastAsia="Arial Unicode MS" w:hAnsiTheme="minorHAnsi" w:cs="Arial Unicode MS"/>
                <w:sz w:val="20"/>
              </w:rPr>
              <w:t>Outside</w:t>
            </w:r>
          </w:p>
        </w:tc>
        <w:tc>
          <w:tcPr>
            <w:tcW w:w="359" w:type="pct"/>
            <w:tcBorders>
              <w:top w:val="single" w:sz="2" w:space="0" w:color="auto"/>
              <w:bottom w:val="single" w:sz="2" w:space="0" w:color="auto"/>
            </w:tcBorders>
            <w:vAlign w:val="center"/>
          </w:tcPr>
          <w:p w:rsidR="00342EFE" w:rsidRPr="009C4800" w:rsidRDefault="00342EFE" w:rsidP="000E0FA4">
            <w:pPr>
              <w:pStyle w:val="16TableText"/>
              <w:ind w:left="-52" w:right="-58" w:firstLine="16"/>
              <w:rPr>
                <w:rFonts w:asciiTheme="minorHAnsi" w:eastAsia="Arial Unicode MS" w:hAnsiTheme="minorHAnsi" w:cs="Arial Unicode MS"/>
                <w:sz w:val="20"/>
              </w:rPr>
            </w:pPr>
            <w:r>
              <w:rPr>
                <w:rFonts w:asciiTheme="minorHAnsi" w:eastAsia="Arial Unicode MS" w:hAnsiTheme="minorHAnsi" w:cs="Arial Unicode MS"/>
                <w:sz w:val="20"/>
              </w:rPr>
              <w:t>Living room</w:t>
            </w:r>
          </w:p>
        </w:tc>
        <w:tc>
          <w:tcPr>
            <w:tcW w:w="422" w:type="pct"/>
            <w:tcBorders>
              <w:top w:val="single" w:sz="2" w:space="0" w:color="auto"/>
              <w:bottom w:val="single" w:sz="2" w:space="0" w:color="auto"/>
            </w:tcBorders>
            <w:vAlign w:val="center"/>
          </w:tcPr>
          <w:p w:rsidR="00342EFE" w:rsidRPr="009C4800" w:rsidRDefault="00342EFE" w:rsidP="000E0FA4">
            <w:pPr>
              <w:pStyle w:val="16TableText"/>
              <w:ind w:left="-66" w:right="-111" w:hanging="2"/>
              <w:rPr>
                <w:rFonts w:asciiTheme="minorHAnsi" w:eastAsia="Arial Unicode MS" w:hAnsiTheme="minorHAnsi" w:cs="Arial Unicode MS"/>
                <w:sz w:val="20"/>
              </w:rPr>
            </w:pPr>
            <w:r w:rsidRPr="009C4800">
              <w:rPr>
                <w:rFonts w:asciiTheme="minorHAnsi" w:eastAsia="Arial Unicode MS" w:hAnsiTheme="minorHAnsi" w:cs="Arial Unicode MS"/>
                <w:sz w:val="20"/>
              </w:rPr>
              <w:t>Outside</w:t>
            </w:r>
          </w:p>
        </w:tc>
        <w:tc>
          <w:tcPr>
            <w:tcW w:w="364" w:type="pct"/>
            <w:gridSpan w:val="2"/>
            <w:tcBorders>
              <w:top w:val="single" w:sz="2" w:space="0" w:color="auto"/>
              <w:bottom w:val="single" w:sz="2" w:space="0" w:color="auto"/>
            </w:tcBorders>
            <w:vAlign w:val="center"/>
          </w:tcPr>
          <w:p w:rsidR="00342EFE" w:rsidRPr="009C4800" w:rsidRDefault="00342EFE" w:rsidP="000E0FA4">
            <w:pPr>
              <w:pStyle w:val="16TableText"/>
              <w:ind w:left="-19" w:right="-107" w:firstLine="0"/>
              <w:rPr>
                <w:rFonts w:asciiTheme="minorHAnsi" w:eastAsia="Arial Unicode MS" w:hAnsiTheme="minorHAnsi" w:cs="Arial Unicode MS"/>
                <w:sz w:val="20"/>
              </w:rPr>
            </w:pPr>
            <w:r>
              <w:rPr>
                <w:rFonts w:asciiTheme="minorHAnsi" w:eastAsia="Arial Unicode MS" w:hAnsiTheme="minorHAnsi" w:cs="Arial Unicode MS"/>
                <w:sz w:val="20"/>
              </w:rPr>
              <w:t>Living room</w:t>
            </w:r>
          </w:p>
        </w:tc>
        <w:tc>
          <w:tcPr>
            <w:tcW w:w="495" w:type="pct"/>
            <w:gridSpan w:val="2"/>
            <w:tcBorders>
              <w:top w:val="single" w:sz="2" w:space="0" w:color="auto"/>
              <w:bottom w:val="single" w:sz="2" w:space="0" w:color="auto"/>
            </w:tcBorders>
            <w:vAlign w:val="center"/>
          </w:tcPr>
          <w:p w:rsidR="00342EFE" w:rsidRPr="009C4800" w:rsidRDefault="00342EFE" w:rsidP="000E0FA4">
            <w:pPr>
              <w:pStyle w:val="16TableText"/>
              <w:ind w:left="-42" w:right="-22" w:firstLine="0"/>
              <w:rPr>
                <w:rFonts w:asciiTheme="minorHAnsi" w:eastAsia="Arial Unicode MS" w:hAnsiTheme="minorHAnsi" w:cs="Arial Unicode MS"/>
                <w:sz w:val="20"/>
              </w:rPr>
            </w:pPr>
            <w:r w:rsidRPr="009C4800">
              <w:rPr>
                <w:rFonts w:asciiTheme="minorHAnsi" w:eastAsia="Arial Unicode MS" w:hAnsiTheme="minorHAnsi" w:cs="Arial Unicode MS"/>
                <w:sz w:val="20"/>
              </w:rPr>
              <w:t>Outside</w:t>
            </w:r>
          </w:p>
        </w:tc>
      </w:tr>
      <w:tr w:rsidR="00342EFE" w:rsidRPr="009F718A" w:rsidTr="000E0FA4">
        <w:trPr>
          <w:gridAfter w:val="1"/>
          <w:wAfter w:w="64" w:type="pct"/>
          <w:jc w:val="center"/>
        </w:trPr>
        <w:tc>
          <w:tcPr>
            <w:tcW w:w="364" w:type="pct"/>
            <w:gridSpan w:val="2"/>
            <w:tcBorders>
              <w:top w:val="single" w:sz="2" w:space="0" w:color="auto"/>
            </w:tcBorders>
            <w:vAlign w:val="center"/>
          </w:tcPr>
          <w:p w:rsidR="00342EFE" w:rsidRPr="009C4800" w:rsidRDefault="00342EFE" w:rsidP="000E0FA4">
            <w:pPr>
              <w:pStyle w:val="16TableText"/>
              <w:tabs>
                <w:tab w:val="left" w:pos="389"/>
              </w:tabs>
              <w:ind w:left="-49" w:right="-111" w:firstLine="16"/>
              <w:rPr>
                <w:rFonts w:asciiTheme="minorHAnsi" w:eastAsia="Arial Unicode MS" w:hAnsiTheme="minorHAnsi" w:cs="Arial Unicode MS"/>
                <w:sz w:val="20"/>
              </w:rPr>
            </w:pPr>
            <w:r w:rsidRPr="009C4800">
              <w:rPr>
                <w:rFonts w:asciiTheme="minorHAnsi" w:eastAsia="Arial Unicode MS" w:hAnsiTheme="minorHAnsi" w:cs="Arial Unicode MS"/>
                <w:sz w:val="20"/>
              </w:rPr>
              <w:t>Max</w:t>
            </w:r>
          </w:p>
        </w:tc>
        <w:tc>
          <w:tcPr>
            <w:tcW w:w="347" w:type="pct"/>
            <w:tcBorders>
              <w:top w:val="single" w:sz="2" w:space="0" w:color="auto"/>
            </w:tcBorders>
            <w:vAlign w:val="center"/>
          </w:tcPr>
          <w:p w:rsidR="00342EFE" w:rsidRPr="009C4800" w:rsidRDefault="00342EFE" w:rsidP="000E0FA4">
            <w:pPr>
              <w:pStyle w:val="16TableText"/>
              <w:ind w:left="-108" w:right="-98" w:hanging="1"/>
              <w:rPr>
                <w:rFonts w:asciiTheme="minorHAnsi" w:eastAsia="Arial Unicode MS" w:hAnsiTheme="minorHAnsi" w:cs="Arial Unicode MS"/>
                <w:sz w:val="20"/>
              </w:rPr>
            </w:pPr>
            <w:r w:rsidRPr="009C4800">
              <w:rPr>
                <w:rFonts w:asciiTheme="minorHAnsi" w:eastAsia="Arial Unicode MS" w:hAnsiTheme="minorHAnsi" w:cs="Arial Unicode MS"/>
                <w:sz w:val="20"/>
              </w:rPr>
              <w:t>20.1</w:t>
            </w:r>
          </w:p>
        </w:tc>
        <w:tc>
          <w:tcPr>
            <w:tcW w:w="459" w:type="pct"/>
            <w:tcBorders>
              <w:top w:val="single" w:sz="2" w:space="0" w:color="auto"/>
            </w:tcBorders>
            <w:vAlign w:val="center"/>
          </w:tcPr>
          <w:p w:rsidR="00342EFE" w:rsidRPr="009C4800" w:rsidRDefault="00342EFE" w:rsidP="000E0FA4">
            <w:pPr>
              <w:pStyle w:val="16TableText"/>
              <w:ind w:left="-54" w:right="-98" w:firstLine="0"/>
              <w:rPr>
                <w:rFonts w:asciiTheme="minorHAnsi" w:eastAsia="Arial Unicode MS" w:hAnsiTheme="minorHAnsi" w:cs="Arial Unicode MS"/>
                <w:sz w:val="20"/>
              </w:rPr>
            </w:pPr>
            <w:r w:rsidRPr="009C4800">
              <w:rPr>
                <w:rFonts w:asciiTheme="minorHAnsi" w:eastAsia="Arial Unicode MS" w:hAnsiTheme="minorHAnsi" w:cs="Arial Unicode MS"/>
                <w:sz w:val="20"/>
              </w:rPr>
              <w:t>5.7</w:t>
            </w:r>
          </w:p>
        </w:tc>
        <w:tc>
          <w:tcPr>
            <w:tcW w:w="305" w:type="pct"/>
            <w:tcBorders>
              <w:top w:val="single" w:sz="2" w:space="0" w:color="auto"/>
            </w:tcBorders>
            <w:vAlign w:val="center"/>
          </w:tcPr>
          <w:p w:rsidR="00342EFE" w:rsidRPr="009C4800" w:rsidRDefault="00342EFE" w:rsidP="000E0FA4">
            <w:pPr>
              <w:pStyle w:val="16TableText"/>
              <w:ind w:left="-95" w:right="-87" w:firstLine="0"/>
              <w:rPr>
                <w:rFonts w:asciiTheme="minorHAnsi" w:eastAsia="Arial Unicode MS" w:hAnsiTheme="minorHAnsi" w:cs="Arial Unicode MS"/>
                <w:sz w:val="20"/>
              </w:rPr>
            </w:pPr>
            <w:r w:rsidRPr="009C4800">
              <w:rPr>
                <w:rFonts w:asciiTheme="minorHAnsi" w:eastAsia="Arial Unicode MS" w:hAnsiTheme="minorHAnsi" w:cs="Arial Unicode MS"/>
                <w:sz w:val="20"/>
              </w:rPr>
              <w:t>23.3</w:t>
            </w:r>
          </w:p>
        </w:tc>
        <w:tc>
          <w:tcPr>
            <w:tcW w:w="397" w:type="pct"/>
            <w:tcBorders>
              <w:top w:val="single" w:sz="2" w:space="0" w:color="auto"/>
            </w:tcBorders>
            <w:vAlign w:val="center"/>
          </w:tcPr>
          <w:p w:rsidR="00342EFE" w:rsidRPr="009C4800" w:rsidRDefault="00342EFE" w:rsidP="000E0FA4">
            <w:pPr>
              <w:pStyle w:val="16TableText"/>
              <w:ind w:left="-41" w:right="-160" w:hanging="66"/>
              <w:rPr>
                <w:rFonts w:asciiTheme="minorHAnsi" w:eastAsia="Arial Unicode MS" w:hAnsiTheme="minorHAnsi" w:cs="Arial Unicode MS"/>
                <w:sz w:val="20"/>
              </w:rPr>
            </w:pPr>
            <w:r w:rsidRPr="009C4800">
              <w:rPr>
                <w:rFonts w:asciiTheme="minorHAnsi" w:eastAsia="Arial Unicode MS" w:hAnsiTheme="minorHAnsi" w:cs="Arial Unicode MS"/>
                <w:sz w:val="20"/>
              </w:rPr>
              <w:t>8.8</w:t>
            </w:r>
          </w:p>
        </w:tc>
        <w:tc>
          <w:tcPr>
            <w:tcW w:w="324" w:type="pct"/>
            <w:tcBorders>
              <w:top w:val="single" w:sz="2" w:space="0" w:color="auto"/>
            </w:tcBorders>
            <w:vAlign w:val="center"/>
          </w:tcPr>
          <w:p w:rsidR="00342EFE" w:rsidRPr="009C4800" w:rsidRDefault="00342EFE" w:rsidP="000E0FA4">
            <w:pPr>
              <w:pStyle w:val="16TableText"/>
              <w:ind w:left="-105" w:right="-123" w:firstLine="2"/>
              <w:rPr>
                <w:rFonts w:asciiTheme="minorHAnsi" w:eastAsia="Arial Unicode MS" w:hAnsiTheme="minorHAnsi" w:cs="Arial Unicode MS"/>
                <w:sz w:val="20"/>
              </w:rPr>
            </w:pPr>
            <w:r w:rsidRPr="009C4800">
              <w:rPr>
                <w:rFonts w:asciiTheme="minorHAnsi" w:eastAsia="Arial Unicode MS" w:hAnsiTheme="minorHAnsi" w:cs="Arial Unicode MS"/>
                <w:sz w:val="20"/>
              </w:rPr>
              <w:t>22.4</w:t>
            </w:r>
          </w:p>
        </w:tc>
        <w:tc>
          <w:tcPr>
            <w:tcW w:w="383" w:type="pct"/>
            <w:tcBorders>
              <w:top w:val="single" w:sz="2" w:space="0" w:color="auto"/>
            </w:tcBorders>
            <w:vAlign w:val="center"/>
          </w:tcPr>
          <w:p w:rsidR="00342EFE" w:rsidRPr="009C4800" w:rsidRDefault="00342EFE" w:rsidP="000E0FA4">
            <w:pPr>
              <w:pStyle w:val="16TableText"/>
              <w:ind w:left="-90" w:right="-108" w:hanging="15"/>
              <w:rPr>
                <w:rFonts w:asciiTheme="minorHAnsi" w:eastAsia="Arial Unicode MS" w:hAnsiTheme="minorHAnsi" w:cs="Arial Unicode MS"/>
                <w:sz w:val="20"/>
              </w:rPr>
            </w:pPr>
            <w:r w:rsidRPr="009C4800">
              <w:rPr>
                <w:rFonts w:asciiTheme="minorHAnsi" w:eastAsia="Arial Unicode MS" w:hAnsiTheme="minorHAnsi" w:cs="Arial Unicode MS"/>
                <w:sz w:val="20"/>
              </w:rPr>
              <w:t>8.6</w:t>
            </w:r>
          </w:p>
        </w:tc>
        <w:tc>
          <w:tcPr>
            <w:tcW w:w="371" w:type="pct"/>
            <w:tcBorders>
              <w:top w:val="single" w:sz="2" w:space="0" w:color="auto"/>
            </w:tcBorders>
            <w:vAlign w:val="center"/>
          </w:tcPr>
          <w:p w:rsidR="00342EFE" w:rsidRPr="009C4800" w:rsidRDefault="00342EFE" w:rsidP="000E0FA4">
            <w:pPr>
              <w:pStyle w:val="16TableText"/>
              <w:ind w:left="5" w:right="-95" w:firstLine="11"/>
              <w:rPr>
                <w:rFonts w:asciiTheme="minorHAnsi" w:eastAsia="Arial Unicode MS" w:hAnsiTheme="minorHAnsi" w:cs="Arial Unicode MS"/>
                <w:sz w:val="20"/>
              </w:rPr>
            </w:pPr>
            <w:r w:rsidRPr="009C4800">
              <w:rPr>
                <w:rFonts w:asciiTheme="minorHAnsi" w:eastAsia="Arial Unicode MS" w:hAnsiTheme="minorHAnsi" w:cs="Arial Unicode MS"/>
                <w:sz w:val="20"/>
              </w:rPr>
              <w:t>23.4</w:t>
            </w:r>
          </w:p>
        </w:tc>
        <w:tc>
          <w:tcPr>
            <w:tcW w:w="410" w:type="pct"/>
            <w:tcBorders>
              <w:top w:val="single" w:sz="2" w:space="0" w:color="auto"/>
            </w:tcBorders>
            <w:vAlign w:val="center"/>
          </w:tcPr>
          <w:p w:rsidR="00342EFE" w:rsidRPr="009C4800" w:rsidRDefault="00342EFE" w:rsidP="000E0FA4">
            <w:pPr>
              <w:pStyle w:val="16TableText"/>
              <w:ind w:left="-55" w:right="-113" w:hanging="41"/>
              <w:rPr>
                <w:rFonts w:asciiTheme="minorHAnsi" w:eastAsia="Arial Unicode MS" w:hAnsiTheme="minorHAnsi" w:cs="Arial Unicode MS"/>
                <w:sz w:val="20"/>
              </w:rPr>
            </w:pPr>
            <w:r w:rsidRPr="009C4800">
              <w:rPr>
                <w:rFonts w:asciiTheme="minorHAnsi" w:eastAsia="Arial Unicode MS" w:hAnsiTheme="minorHAnsi" w:cs="Arial Unicode MS"/>
                <w:sz w:val="20"/>
              </w:rPr>
              <w:t>9.4</w:t>
            </w:r>
          </w:p>
        </w:tc>
        <w:tc>
          <w:tcPr>
            <w:tcW w:w="359" w:type="pct"/>
            <w:tcBorders>
              <w:top w:val="single" w:sz="2" w:space="0" w:color="auto"/>
            </w:tcBorders>
            <w:vAlign w:val="center"/>
          </w:tcPr>
          <w:p w:rsidR="00342EFE" w:rsidRPr="009C4800" w:rsidRDefault="00342EFE" w:rsidP="000E0FA4">
            <w:pPr>
              <w:pStyle w:val="16TableText"/>
              <w:ind w:left="-52" w:right="-58" w:firstLine="16"/>
              <w:rPr>
                <w:rFonts w:asciiTheme="minorHAnsi" w:eastAsia="Arial Unicode MS" w:hAnsiTheme="minorHAnsi" w:cs="Arial Unicode MS"/>
                <w:sz w:val="20"/>
              </w:rPr>
            </w:pPr>
            <w:r w:rsidRPr="009C4800">
              <w:rPr>
                <w:rFonts w:asciiTheme="minorHAnsi" w:eastAsia="Arial Unicode MS" w:hAnsiTheme="minorHAnsi" w:cs="Arial Unicode MS"/>
                <w:sz w:val="20"/>
              </w:rPr>
              <w:t>25.4</w:t>
            </w:r>
          </w:p>
        </w:tc>
        <w:tc>
          <w:tcPr>
            <w:tcW w:w="422" w:type="pct"/>
            <w:tcBorders>
              <w:top w:val="single" w:sz="2" w:space="0" w:color="auto"/>
            </w:tcBorders>
            <w:vAlign w:val="center"/>
          </w:tcPr>
          <w:p w:rsidR="00342EFE" w:rsidRPr="009C4800" w:rsidRDefault="00342EFE" w:rsidP="000E0FA4">
            <w:pPr>
              <w:pStyle w:val="16TableText"/>
              <w:ind w:left="-66" w:right="-111" w:hanging="2"/>
              <w:rPr>
                <w:rFonts w:asciiTheme="minorHAnsi" w:eastAsia="Arial Unicode MS" w:hAnsiTheme="minorHAnsi" w:cs="Arial Unicode MS"/>
                <w:sz w:val="20"/>
              </w:rPr>
            </w:pPr>
            <w:r w:rsidRPr="009C4800">
              <w:rPr>
                <w:rFonts w:asciiTheme="minorHAnsi" w:eastAsia="Arial Unicode MS" w:hAnsiTheme="minorHAnsi" w:cs="Arial Unicode MS"/>
                <w:sz w:val="20"/>
              </w:rPr>
              <w:t>8.7</w:t>
            </w:r>
          </w:p>
        </w:tc>
        <w:tc>
          <w:tcPr>
            <w:tcW w:w="357" w:type="pct"/>
            <w:tcBorders>
              <w:top w:val="single" w:sz="2" w:space="0" w:color="auto"/>
            </w:tcBorders>
            <w:vAlign w:val="center"/>
          </w:tcPr>
          <w:p w:rsidR="00342EFE" w:rsidRPr="009C4800" w:rsidRDefault="00342EFE" w:rsidP="000E0FA4">
            <w:pPr>
              <w:pStyle w:val="16TableText"/>
              <w:ind w:left="-19" w:right="-107" w:firstLine="0"/>
              <w:rPr>
                <w:rFonts w:asciiTheme="minorHAnsi" w:eastAsia="Arial Unicode MS" w:hAnsiTheme="minorHAnsi" w:cs="Arial Unicode MS"/>
                <w:sz w:val="20"/>
              </w:rPr>
            </w:pPr>
            <w:r w:rsidRPr="009C4800">
              <w:rPr>
                <w:rFonts w:asciiTheme="minorHAnsi" w:eastAsia="Arial Unicode MS" w:hAnsiTheme="minorHAnsi" w:cs="Arial Unicode MS"/>
                <w:sz w:val="20"/>
              </w:rPr>
              <w:t>23.6</w:t>
            </w:r>
          </w:p>
        </w:tc>
        <w:tc>
          <w:tcPr>
            <w:tcW w:w="438" w:type="pct"/>
            <w:gridSpan w:val="2"/>
            <w:tcBorders>
              <w:top w:val="single" w:sz="2" w:space="0" w:color="auto"/>
            </w:tcBorders>
            <w:vAlign w:val="center"/>
          </w:tcPr>
          <w:p w:rsidR="00342EFE" w:rsidRPr="009C4800" w:rsidRDefault="00342EFE" w:rsidP="000E0FA4">
            <w:pPr>
              <w:pStyle w:val="16TableText"/>
              <w:ind w:left="0" w:firstLine="16"/>
              <w:rPr>
                <w:rFonts w:asciiTheme="minorHAnsi" w:eastAsia="Arial Unicode MS" w:hAnsiTheme="minorHAnsi" w:cs="Arial Unicode MS"/>
                <w:sz w:val="20"/>
              </w:rPr>
            </w:pPr>
            <w:r w:rsidRPr="009C4800">
              <w:rPr>
                <w:rFonts w:asciiTheme="minorHAnsi" w:eastAsia="Arial Unicode MS" w:hAnsiTheme="minorHAnsi" w:cs="Arial Unicode MS"/>
                <w:sz w:val="20"/>
              </w:rPr>
              <w:t>15.4</w:t>
            </w:r>
          </w:p>
        </w:tc>
      </w:tr>
      <w:tr w:rsidR="00342EFE" w:rsidRPr="009F718A" w:rsidTr="000E0FA4">
        <w:trPr>
          <w:gridAfter w:val="1"/>
          <w:wAfter w:w="64" w:type="pct"/>
          <w:jc w:val="center"/>
        </w:trPr>
        <w:tc>
          <w:tcPr>
            <w:tcW w:w="364" w:type="pct"/>
            <w:gridSpan w:val="2"/>
            <w:vAlign w:val="center"/>
          </w:tcPr>
          <w:p w:rsidR="00342EFE" w:rsidRPr="009C4800" w:rsidRDefault="00342EFE" w:rsidP="000E0FA4">
            <w:pPr>
              <w:pStyle w:val="16TableText"/>
              <w:tabs>
                <w:tab w:val="left" w:pos="389"/>
              </w:tabs>
              <w:ind w:left="-49" w:right="-111" w:firstLine="16"/>
              <w:rPr>
                <w:rFonts w:asciiTheme="minorHAnsi" w:eastAsia="Arial Unicode MS" w:hAnsiTheme="minorHAnsi" w:cs="Arial Unicode MS"/>
                <w:sz w:val="20"/>
              </w:rPr>
            </w:pPr>
            <w:r w:rsidRPr="009C4800">
              <w:rPr>
                <w:rFonts w:asciiTheme="minorHAnsi" w:eastAsia="Arial Unicode MS" w:hAnsiTheme="minorHAnsi" w:cs="Arial Unicode MS"/>
                <w:sz w:val="20"/>
              </w:rPr>
              <w:t>Min</w:t>
            </w:r>
          </w:p>
        </w:tc>
        <w:tc>
          <w:tcPr>
            <w:tcW w:w="347" w:type="pct"/>
            <w:vAlign w:val="center"/>
          </w:tcPr>
          <w:p w:rsidR="00342EFE" w:rsidRPr="009C4800" w:rsidRDefault="00342EFE" w:rsidP="000E0FA4">
            <w:pPr>
              <w:pStyle w:val="16TableText"/>
              <w:ind w:left="-108" w:right="-98" w:hanging="1"/>
              <w:rPr>
                <w:rFonts w:asciiTheme="minorHAnsi" w:eastAsia="Arial Unicode MS" w:hAnsiTheme="minorHAnsi" w:cs="Arial Unicode MS"/>
                <w:sz w:val="20"/>
              </w:rPr>
            </w:pPr>
            <w:r w:rsidRPr="009C4800">
              <w:rPr>
                <w:rFonts w:asciiTheme="minorHAnsi" w:eastAsia="Arial Unicode MS" w:hAnsiTheme="minorHAnsi" w:cs="Arial Unicode MS"/>
                <w:sz w:val="20"/>
              </w:rPr>
              <w:t>16.7</w:t>
            </w:r>
          </w:p>
        </w:tc>
        <w:tc>
          <w:tcPr>
            <w:tcW w:w="459" w:type="pct"/>
            <w:vAlign w:val="center"/>
          </w:tcPr>
          <w:p w:rsidR="00342EFE" w:rsidRPr="009C4800" w:rsidRDefault="00342EFE" w:rsidP="000E0FA4">
            <w:pPr>
              <w:pStyle w:val="16TableText"/>
              <w:ind w:left="-54" w:right="-98" w:firstLine="0"/>
              <w:rPr>
                <w:rFonts w:asciiTheme="minorHAnsi" w:eastAsia="Arial Unicode MS" w:hAnsiTheme="minorHAnsi" w:cs="Arial Unicode MS"/>
                <w:sz w:val="20"/>
              </w:rPr>
            </w:pPr>
            <w:r w:rsidRPr="009C4800">
              <w:rPr>
                <w:rFonts w:asciiTheme="minorHAnsi" w:eastAsia="Arial Unicode MS" w:hAnsiTheme="minorHAnsi" w:cs="Arial Unicode MS"/>
                <w:sz w:val="20"/>
              </w:rPr>
              <w:t>2.5</w:t>
            </w:r>
          </w:p>
        </w:tc>
        <w:tc>
          <w:tcPr>
            <w:tcW w:w="305" w:type="pct"/>
            <w:vAlign w:val="center"/>
          </w:tcPr>
          <w:p w:rsidR="00342EFE" w:rsidRPr="009C4800" w:rsidRDefault="00342EFE" w:rsidP="000E0FA4">
            <w:pPr>
              <w:pStyle w:val="16TableText"/>
              <w:ind w:left="-95" w:right="-87" w:firstLine="0"/>
              <w:rPr>
                <w:rFonts w:asciiTheme="minorHAnsi" w:eastAsia="Arial Unicode MS" w:hAnsiTheme="minorHAnsi" w:cs="Arial Unicode MS"/>
                <w:sz w:val="20"/>
              </w:rPr>
            </w:pPr>
            <w:r w:rsidRPr="009C4800">
              <w:rPr>
                <w:rFonts w:asciiTheme="minorHAnsi" w:eastAsia="Arial Unicode MS" w:hAnsiTheme="minorHAnsi" w:cs="Arial Unicode MS"/>
                <w:sz w:val="20"/>
              </w:rPr>
              <w:t>18.3</w:t>
            </w:r>
          </w:p>
        </w:tc>
        <w:tc>
          <w:tcPr>
            <w:tcW w:w="397" w:type="pct"/>
            <w:vAlign w:val="center"/>
          </w:tcPr>
          <w:p w:rsidR="00342EFE" w:rsidRPr="009C4800" w:rsidRDefault="00342EFE" w:rsidP="000E0FA4">
            <w:pPr>
              <w:pStyle w:val="16TableText"/>
              <w:ind w:left="-41" w:right="-160" w:hanging="66"/>
              <w:rPr>
                <w:rFonts w:asciiTheme="minorHAnsi" w:eastAsia="Arial Unicode MS" w:hAnsiTheme="minorHAnsi" w:cs="Arial Unicode MS"/>
                <w:sz w:val="20"/>
              </w:rPr>
            </w:pPr>
            <w:r w:rsidRPr="009C4800">
              <w:rPr>
                <w:rFonts w:asciiTheme="minorHAnsi" w:eastAsia="Arial Unicode MS" w:hAnsiTheme="minorHAnsi" w:cs="Arial Unicode MS"/>
                <w:sz w:val="20"/>
              </w:rPr>
              <w:t>5.9</w:t>
            </w:r>
          </w:p>
        </w:tc>
        <w:tc>
          <w:tcPr>
            <w:tcW w:w="324" w:type="pct"/>
            <w:vAlign w:val="center"/>
          </w:tcPr>
          <w:p w:rsidR="00342EFE" w:rsidRPr="009C4800" w:rsidRDefault="00342EFE" w:rsidP="000E0FA4">
            <w:pPr>
              <w:pStyle w:val="16TableText"/>
              <w:ind w:left="-105" w:right="-123" w:firstLine="2"/>
              <w:rPr>
                <w:rFonts w:asciiTheme="minorHAnsi" w:eastAsia="Arial Unicode MS" w:hAnsiTheme="minorHAnsi" w:cs="Arial Unicode MS"/>
                <w:sz w:val="20"/>
              </w:rPr>
            </w:pPr>
            <w:r w:rsidRPr="009C4800">
              <w:rPr>
                <w:rFonts w:asciiTheme="minorHAnsi" w:eastAsia="Arial Unicode MS" w:hAnsiTheme="minorHAnsi" w:cs="Arial Unicode MS"/>
                <w:sz w:val="20"/>
              </w:rPr>
              <w:t>19.5</w:t>
            </w:r>
          </w:p>
        </w:tc>
        <w:tc>
          <w:tcPr>
            <w:tcW w:w="383" w:type="pct"/>
            <w:vAlign w:val="center"/>
          </w:tcPr>
          <w:p w:rsidR="00342EFE" w:rsidRPr="009C4800" w:rsidRDefault="00342EFE" w:rsidP="000E0FA4">
            <w:pPr>
              <w:pStyle w:val="16TableText"/>
              <w:ind w:left="-90" w:right="-108" w:hanging="15"/>
              <w:rPr>
                <w:rFonts w:asciiTheme="minorHAnsi" w:eastAsia="Arial Unicode MS" w:hAnsiTheme="minorHAnsi" w:cs="Arial Unicode MS"/>
                <w:sz w:val="20"/>
              </w:rPr>
            </w:pPr>
            <w:r w:rsidRPr="009C4800">
              <w:rPr>
                <w:rFonts w:asciiTheme="minorHAnsi" w:eastAsia="Arial Unicode MS" w:hAnsiTheme="minorHAnsi" w:cs="Arial Unicode MS"/>
                <w:sz w:val="20"/>
              </w:rPr>
              <w:t>3.2</w:t>
            </w:r>
          </w:p>
        </w:tc>
        <w:tc>
          <w:tcPr>
            <w:tcW w:w="371" w:type="pct"/>
            <w:vAlign w:val="center"/>
          </w:tcPr>
          <w:p w:rsidR="00342EFE" w:rsidRPr="009C4800" w:rsidRDefault="00342EFE" w:rsidP="000E0FA4">
            <w:pPr>
              <w:pStyle w:val="16TableText"/>
              <w:ind w:left="5" w:right="-95" w:firstLine="11"/>
              <w:rPr>
                <w:rFonts w:asciiTheme="minorHAnsi" w:eastAsia="Arial Unicode MS" w:hAnsiTheme="minorHAnsi" w:cs="Arial Unicode MS"/>
                <w:sz w:val="20"/>
              </w:rPr>
            </w:pPr>
            <w:r w:rsidRPr="009C4800">
              <w:rPr>
                <w:rFonts w:asciiTheme="minorHAnsi" w:eastAsia="Arial Unicode MS" w:hAnsiTheme="minorHAnsi" w:cs="Arial Unicode MS"/>
                <w:sz w:val="20"/>
              </w:rPr>
              <w:t>19.9</w:t>
            </w:r>
          </w:p>
        </w:tc>
        <w:tc>
          <w:tcPr>
            <w:tcW w:w="410" w:type="pct"/>
            <w:vAlign w:val="center"/>
          </w:tcPr>
          <w:p w:rsidR="00342EFE" w:rsidRPr="009C4800" w:rsidRDefault="00342EFE" w:rsidP="000E0FA4">
            <w:pPr>
              <w:pStyle w:val="16TableText"/>
              <w:ind w:left="-55" w:right="-113" w:hanging="41"/>
              <w:rPr>
                <w:rFonts w:asciiTheme="minorHAnsi" w:eastAsia="Arial Unicode MS" w:hAnsiTheme="minorHAnsi" w:cs="Arial Unicode MS"/>
                <w:sz w:val="20"/>
              </w:rPr>
            </w:pPr>
            <w:r w:rsidRPr="009C4800">
              <w:rPr>
                <w:rFonts w:asciiTheme="minorHAnsi" w:eastAsia="Arial Unicode MS" w:hAnsiTheme="minorHAnsi" w:cs="Arial Unicode MS"/>
                <w:sz w:val="20"/>
              </w:rPr>
              <w:t>6.1</w:t>
            </w:r>
          </w:p>
        </w:tc>
        <w:tc>
          <w:tcPr>
            <w:tcW w:w="359" w:type="pct"/>
            <w:vAlign w:val="center"/>
          </w:tcPr>
          <w:p w:rsidR="00342EFE" w:rsidRPr="009C4800" w:rsidRDefault="00342EFE" w:rsidP="000E0FA4">
            <w:pPr>
              <w:pStyle w:val="16TableText"/>
              <w:ind w:left="-52" w:right="-58" w:firstLine="16"/>
              <w:rPr>
                <w:rFonts w:asciiTheme="minorHAnsi" w:eastAsia="Arial Unicode MS" w:hAnsiTheme="minorHAnsi" w:cs="Arial Unicode MS"/>
                <w:sz w:val="20"/>
              </w:rPr>
            </w:pPr>
            <w:r w:rsidRPr="009C4800">
              <w:rPr>
                <w:rFonts w:asciiTheme="minorHAnsi" w:eastAsia="Arial Unicode MS" w:hAnsiTheme="minorHAnsi" w:cs="Arial Unicode MS"/>
                <w:sz w:val="20"/>
              </w:rPr>
              <w:t>20.1</w:t>
            </w:r>
          </w:p>
        </w:tc>
        <w:tc>
          <w:tcPr>
            <w:tcW w:w="422" w:type="pct"/>
            <w:vAlign w:val="center"/>
          </w:tcPr>
          <w:p w:rsidR="00342EFE" w:rsidRPr="009C4800" w:rsidRDefault="00342EFE" w:rsidP="000E0FA4">
            <w:pPr>
              <w:pStyle w:val="16TableText"/>
              <w:ind w:left="-66" w:right="-111" w:hanging="2"/>
              <w:rPr>
                <w:rFonts w:asciiTheme="minorHAnsi" w:eastAsia="Arial Unicode MS" w:hAnsiTheme="minorHAnsi" w:cs="Arial Unicode MS"/>
                <w:sz w:val="20"/>
              </w:rPr>
            </w:pPr>
            <w:r w:rsidRPr="009C4800">
              <w:rPr>
                <w:rFonts w:asciiTheme="minorHAnsi" w:eastAsia="Arial Unicode MS" w:hAnsiTheme="minorHAnsi" w:cs="Arial Unicode MS"/>
                <w:sz w:val="20"/>
              </w:rPr>
              <w:t>4.9</w:t>
            </w:r>
          </w:p>
        </w:tc>
        <w:tc>
          <w:tcPr>
            <w:tcW w:w="357" w:type="pct"/>
            <w:vAlign w:val="center"/>
          </w:tcPr>
          <w:p w:rsidR="00342EFE" w:rsidRPr="009C4800" w:rsidRDefault="00342EFE" w:rsidP="000E0FA4">
            <w:pPr>
              <w:pStyle w:val="16TableText"/>
              <w:ind w:left="-19" w:right="-107" w:firstLine="0"/>
              <w:rPr>
                <w:rFonts w:asciiTheme="minorHAnsi" w:eastAsia="Arial Unicode MS" w:hAnsiTheme="minorHAnsi" w:cs="Arial Unicode MS"/>
                <w:sz w:val="20"/>
              </w:rPr>
            </w:pPr>
            <w:r w:rsidRPr="009C4800">
              <w:rPr>
                <w:rFonts w:asciiTheme="minorHAnsi" w:eastAsia="Arial Unicode MS" w:hAnsiTheme="minorHAnsi" w:cs="Arial Unicode MS"/>
                <w:sz w:val="20"/>
              </w:rPr>
              <w:t>18.4</w:t>
            </w:r>
          </w:p>
        </w:tc>
        <w:tc>
          <w:tcPr>
            <w:tcW w:w="438" w:type="pct"/>
            <w:gridSpan w:val="2"/>
            <w:vAlign w:val="center"/>
          </w:tcPr>
          <w:p w:rsidR="00342EFE" w:rsidRPr="009C4800" w:rsidRDefault="00342EFE" w:rsidP="000E0FA4">
            <w:pPr>
              <w:pStyle w:val="16TableText"/>
              <w:ind w:left="0" w:firstLine="16"/>
              <w:rPr>
                <w:rFonts w:asciiTheme="minorHAnsi" w:eastAsia="Arial Unicode MS" w:hAnsiTheme="minorHAnsi" w:cs="Arial Unicode MS"/>
                <w:sz w:val="20"/>
              </w:rPr>
            </w:pPr>
            <w:r w:rsidRPr="009C4800">
              <w:rPr>
                <w:rFonts w:asciiTheme="minorHAnsi" w:eastAsia="Arial Unicode MS" w:hAnsiTheme="minorHAnsi" w:cs="Arial Unicode MS"/>
                <w:sz w:val="20"/>
              </w:rPr>
              <w:t>1.0</w:t>
            </w:r>
          </w:p>
        </w:tc>
      </w:tr>
      <w:tr w:rsidR="00342EFE" w:rsidRPr="009F718A" w:rsidTr="000E0FA4">
        <w:trPr>
          <w:gridAfter w:val="1"/>
          <w:wAfter w:w="64" w:type="pct"/>
          <w:jc w:val="center"/>
        </w:trPr>
        <w:tc>
          <w:tcPr>
            <w:tcW w:w="364" w:type="pct"/>
            <w:gridSpan w:val="2"/>
            <w:vAlign w:val="center"/>
          </w:tcPr>
          <w:p w:rsidR="00342EFE" w:rsidRPr="009C4800" w:rsidRDefault="00342EFE" w:rsidP="000E0FA4">
            <w:pPr>
              <w:pStyle w:val="16TableText"/>
              <w:tabs>
                <w:tab w:val="left" w:pos="389"/>
              </w:tabs>
              <w:ind w:left="-49" w:right="-111" w:firstLine="16"/>
              <w:rPr>
                <w:rFonts w:asciiTheme="minorHAnsi" w:eastAsia="Arial Unicode MS" w:hAnsiTheme="minorHAnsi" w:cs="Arial Unicode MS"/>
                <w:sz w:val="20"/>
              </w:rPr>
            </w:pPr>
            <w:r w:rsidRPr="009C4800">
              <w:rPr>
                <w:rFonts w:asciiTheme="minorHAnsi" w:eastAsia="Arial Unicode MS" w:hAnsiTheme="minorHAnsi" w:cs="Arial Unicode MS"/>
                <w:sz w:val="20"/>
              </w:rPr>
              <w:t>SD</w:t>
            </w:r>
          </w:p>
        </w:tc>
        <w:tc>
          <w:tcPr>
            <w:tcW w:w="347" w:type="pct"/>
            <w:vAlign w:val="center"/>
          </w:tcPr>
          <w:p w:rsidR="00342EFE" w:rsidRPr="009C4800" w:rsidRDefault="00342EFE" w:rsidP="000E0FA4">
            <w:pPr>
              <w:pStyle w:val="16TableText"/>
              <w:ind w:left="-108" w:right="-98" w:hanging="1"/>
              <w:rPr>
                <w:rFonts w:asciiTheme="minorHAnsi" w:eastAsia="Arial Unicode MS" w:hAnsiTheme="minorHAnsi" w:cs="Arial Unicode MS"/>
                <w:sz w:val="20"/>
              </w:rPr>
            </w:pPr>
            <w:r w:rsidRPr="009C4800">
              <w:rPr>
                <w:rFonts w:asciiTheme="minorHAnsi" w:eastAsia="Arial Unicode MS" w:hAnsiTheme="minorHAnsi" w:cs="Arial Unicode MS"/>
                <w:sz w:val="20"/>
              </w:rPr>
              <w:t>1.0</w:t>
            </w:r>
          </w:p>
        </w:tc>
        <w:tc>
          <w:tcPr>
            <w:tcW w:w="459" w:type="pct"/>
            <w:vAlign w:val="center"/>
          </w:tcPr>
          <w:p w:rsidR="00342EFE" w:rsidRPr="009C4800" w:rsidRDefault="00342EFE" w:rsidP="000E0FA4">
            <w:pPr>
              <w:pStyle w:val="16TableText"/>
              <w:ind w:left="-54" w:right="-98" w:firstLine="0"/>
              <w:rPr>
                <w:rFonts w:asciiTheme="minorHAnsi" w:eastAsia="Arial Unicode MS" w:hAnsiTheme="minorHAnsi" w:cs="Arial Unicode MS"/>
                <w:sz w:val="20"/>
              </w:rPr>
            </w:pPr>
            <w:r w:rsidRPr="009C4800">
              <w:rPr>
                <w:rFonts w:asciiTheme="minorHAnsi" w:eastAsia="Arial Unicode MS" w:hAnsiTheme="minorHAnsi" w:cs="Arial Unicode MS"/>
                <w:sz w:val="20"/>
              </w:rPr>
              <w:t>0.8</w:t>
            </w:r>
          </w:p>
        </w:tc>
        <w:tc>
          <w:tcPr>
            <w:tcW w:w="305" w:type="pct"/>
            <w:vAlign w:val="center"/>
          </w:tcPr>
          <w:p w:rsidR="00342EFE" w:rsidRPr="009C4800" w:rsidRDefault="00342EFE" w:rsidP="000E0FA4">
            <w:pPr>
              <w:pStyle w:val="16TableText"/>
              <w:ind w:left="-95" w:right="-87" w:firstLine="0"/>
              <w:rPr>
                <w:rFonts w:asciiTheme="minorHAnsi" w:eastAsia="Arial Unicode MS" w:hAnsiTheme="minorHAnsi" w:cs="Arial Unicode MS"/>
                <w:sz w:val="20"/>
              </w:rPr>
            </w:pPr>
            <w:r w:rsidRPr="009C4800">
              <w:rPr>
                <w:rFonts w:asciiTheme="minorHAnsi" w:eastAsia="Arial Unicode MS" w:hAnsiTheme="minorHAnsi" w:cs="Arial Unicode MS"/>
                <w:sz w:val="20"/>
              </w:rPr>
              <w:t>1.4</w:t>
            </w:r>
          </w:p>
        </w:tc>
        <w:tc>
          <w:tcPr>
            <w:tcW w:w="397" w:type="pct"/>
            <w:vAlign w:val="center"/>
          </w:tcPr>
          <w:p w:rsidR="00342EFE" w:rsidRPr="009C4800" w:rsidRDefault="00342EFE" w:rsidP="000E0FA4">
            <w:pPr>
              <w:pStyle w:val="16TableText"/>
              <w:ind w:left="-41" w:right="-160" w:hanging="66"/>
              <w:rPr>
                <w:rFonts w:asciiTheme="minorHAnsi" w:eastAsia="Arial Unicode MS" w:hAnsiTheme="minorHAnsi" w:cs="Arial Unicode MS"/>
                <w:sz w:val="20"/>
              </w:rPr>
            </w:pPr>
            <w:r w:rsidRPr="009C4800">
              <w:rPr>
                <w:rFonts w:asciiTheme="minorHAnsi" w:eastAsia="Arial Unicode MS" w:hAnsiTheme="minorHAnsi" w:cs="Arial Unicode MS"/>
                <w:sz w:val="20"/>
              </w:rPr>
              <w:t>0.7</w:t>
            </w:r>
          </w:p>
        </w:tc>
        <w:tc>
          <w:tcPr>
            <w:tcW w:w="324" w:type="pct"/>
            <w:vAlign w:val="center"/>
          </w:tcPr>
          <w:p w:rsidR="00342EFE" w:rsidRPr="009C4800" w:rsidRDefault="00342EFE" w:rsidP="000E0FA4">
            <w:pPr>
              <w:pStyle w:val="16TableText"/>
              <w:ind w:left="-105" w:right="-123" w:firstLine="2"/>
              <w:rPr>
                <w:rFonts w:asciiTheme="minorHAnsi" w:eastAsia="Arial Unicode MS" w:hAnsiTheme="minorHAnsi" w:cs="Arial Unicode MS"/>
                <w:sz w:val="20"/>
              </w:rPr>
            </w:pPr>
            <w:r w:rsidRPr="009C4800">
              <w:rPr>
                <w:rFonts w:asciiTheme="minorHAnsi" w:eastAsia="Arial Unicode MS" w:hAnsiTheme="minorHAnsi" w:cs="Arial Unicode MS"/>
                <w:sz w:val="20"/>
              </w:rPr>
              <w:t>0.7</w:t>
            </w:r>
          </w:p>
        </w:tc>
        <w:tc>
          <w:tcPr>
            <w:tcW w:w="383" w:type="pct"/>
            <w:vAlign w:val="center"/>
          </w:tcPr>
          <w:p w:rsidR="00342EFE" w:rsidRPr="009C4800" w:rsidRDefault="00342EFE" w:rsidP="000E0FA4">
            <w:pPr>
              <w:pStyle w:val="16TableText"/>
              <w:ind w:left="-90" w:right="-108" w:hanging="15"/>
              <w:rPr>
                <w:rFonts w:asciiTheme="minorHAnsi" w:eastAsia="Arial Unicode MS" w:hAnsiTheme="minorHAnsi" w:cs="Arial Unicode MS"/>
                <w:sz w:val="20"/>
              </w:rPr>
            </w:pPr>
            <w:r w:rsidRPr="009C4800">
              <w:rPr>
                <w:rFonts w:asciiTheme="minorHAnsi" w:eastAsia="Arial Unicode MS" w:hAnsiTheme="minorHAnsi" w:cs="Arial Unicode MS"/>
                <w:sz w:val="20"/>
              </w:rPr>
              <w:t>1.5</w:t>
            </w:r>
          </w:p>
        </w:tc>
        <w:tc>
          <w:tcPr>
            <w:tcW w:w="371" w:type="pct"/>
            <w:vAlign w:val="center"/>
          </w:tcPr>
          <w:p w:rsidR="00342EFE" w:rsidRPr="009C4800" w:rsidRDefault="00342EFE" w:rsidP="000E0FA4">
            <w:pPr>
              <w:pStyle w:val="16TableText"/>
              <w:ind w:left="5" w:right="-95" w:firstLine="11"/>
              <w:rPr>
                <w:rFonts w:asciiTheme="minorHAnsi" w:eastAsia="Arial Unicode MS" w:hAnsiTheme="minorHAnsi" w:cs="Arial Unicode MS"/>
                <w:sz w:val="20"/>
              </w:rPr>
            </w:pPr>
            <w:r w:rsidRPr="009C4800">
              <w:rPr>
                <w:rFonts w:asciiTheme="minorHAnsi" w:eastAsia="Arial Unicode MS" w:hAnsiTheme="minorHAnsi" w:cs="Arial Unicode MS"/>
                <w:sz w:val="20"/>
              </w:rPr>
              <w:t>0.8</w:t>
            </w:r>
          </w:p>
        </w:tc>
        <w:tc>
          <w:tcPr>
            <w:tcW w:w="410" w:type="pct"/>
            <w:vAlign w:val="center"/>
          </w:tcPr>
          <w:p w:rsidR="00342EFE" w:rsidRPr="009C4800" w:rsidRDefault="00342EFE" w:rsidP="000E0FA4">
            <w:pPr>
              <w:pStyle w:val="16TableText"/>
              <w:ind w:left="-55" w:right="-113" w:hanging="41"/>
              <w:rPr>
                <w:rFonts w:asciiTheme="minorHAnsi" w:eastAsia="Arial Unicode MS" w:hAnsiTheme="minorHAnsi" w:cs="Arial Unicode MS"/>
                <w:sz w:val="20"/>
              </w:rPr>
            </w:pPr>
            <w:r w:rsidRPr="009C4800">
              <w:rPr>
                <w:rFonts w:asciiTheme="minorHAnsi" w:eastAsia="Arial Unicode MS" w:hAnsiTheme="minorHAnsi" w:cs="Arial Unicode MS"/>
                <w:sz w:val="20"/>
              </w:rPr>
              <w:t>1.0</w:t>
            </w:r>
          </w:p>
        </w:tc>
        <w:tc>
          <w:tcPr>
            <w:tcW w:w="359" w:type="pct"/>
            <w:vAlign w:val="center"/>
          </w:tcPr>
          <w:p w:rsidR="00342EFE" w:rsidRPr="009C4800" w:rsidRDefault="00342EFE" w:rsidP="000E0FA4">
            <w:pPr>
              <w:pStyle w:val="16TableText"/>
              <w:ind w:left="-52" w:right="-58" w:firstLine="16"/>
              <w:rPr>
                <w:rFonts w:asciiTheme="minorHAnsi" w:eastAsia="Arial Unicode MS" w:hAnsiTheme="minorHAnsi" w:cs="Arial Unicode MS"/>
                <w:sz w:val="20"/>
              </w:rPr>
            </w:pPr>
            <w:r w:rsidRPr="009C4800">
              <w:rPr>
                <w:rFonts w:asciiTheme="minorHAnsi" w:eastAsia="Arial Unicode MS" w:hAnsiTheme="minorHAnsi" w:cs="Arial Unicode MS"/>
                <w:sz w:val="20"/>
              </w:rPr>
              <w:t>1.2</w:t>
            </w:r>
          </w:p>
        </w:tc>
        <w:tc>
          <w:tcPr>
            <w:tcW w:w="422" w:type="pct"/>
            <w:vAlign w:val="center"/>
          </w:tcPr>
          <w:p w:rsidR="00342EFE" w:rsidRPr="009C4800" w:rsidRDefault="00342EFE" w:rsidP="000E0FA4">
            <w:pPr>
              <w:pStyle w:val="16TableText"/>
              <w:ind w:left="-66" w:right="-111" w:hanging="2"/>
              <w:rPr>
                <w:rFonts w:asciiTheme="minorHAnsi" w:eastAsia="Arial Unicode MS" w:hAnsiTheme="minorHAnsi" w:cs="Arial Unicode MS"/>
                <w:sz w:val="20"/>
              </w:rPr>
            </w:pPr>
            <w:r w:rsidRPr="009C4800">
              <w:rPr>
                <w:rFonts w:asciiTheme="minorHAnsi" w:eastAsia="Arial Unicode MS" w:hAnsiTheme="minorHAnsi" w:cs="Arial Unicode MS"/>
                <w:sz w:val="20"/>
              </w:rPr>
              <w:t>0.9</w:t>
            </w:r>
          </w:p>
        </w:tc>
        <w:tc>
          <w:tcPr>
            <w:tcW w:w="357" w:type="pct"/>
            <w:vAlign w:val="center"/>
          </w:tcPr>
          <w:p w:rsidR="00342EFE" w:rsidRPr="009C4800" w:rsidRDefault="00342EFE" w:rsidP="000E0FA4">
            <w:pPr>
              <w:pStyle w:val="16TableText"/>
              <w:ind w:left="-19" w:right="-107" w:firstLine="0"/>
              <w:rPr>
                <w:rFonts w:asciiTheme="minorHAnsi" w:eastAsia="Arial Unicode MS" w:hAnsiTheme="minorHAnsi" w:cs="Arial Unicode MS"/>
                <w:sz w:val="20"/>
              </w:rPr>
            </w:pPr>
            <w:r w:rsidRPr="009C4800">
              <w:rPr>
                <w:rFonts w:asciiTheme="minorHAnsi" w:eastAsia="Arial Unicode MS" w:hAnsiTheme="minorHAnsi" w:cs="Arial Unicode MS"/>
                <w:sz w:val="20"/>
              </w:rPr>
              <w:t>1.4</w:t>
            </w:r>
          </w:p>
        </w:tc>
        <w:tc>
          <w:tcPr>
            <w:tcW w:w="438" w:type="pct"/>
            <w:gridSpan w:val="2"/>
            <w:vAlign w:val="center"/>
          </w:tcPr>
          <w:p w:rsidR="00342EFE" w:rsidRPr="009C4800" w:rsidRDefault="00342EFE" w:rsidP="000E0FA4">
            <w:pPr>
              <w:pStyle w:val="16TableText"/>
              <w:ind w:left="0" w:firstLine="16"/>
              <w:rPr>
                <w:rFonts w:asciiTheme="minorHAnsi" w:eastAsia="Arial Unicode MS" w:hAnsiTheme="minorHAnsi" w:cs="Arial Unicode MS"/>
                <w:sz w:val="20"/>
              </w:rPr>
            </w:pPr>
            <w:r w:rsidRPr="009C4800">
              <w:rPr>
                <w:rFonts w:asciiTheme="minorHAnsi" w:eastAsia="Arial Unicode MS" w:hAnsiTheme="minorHAnsi" w:cs="Arial Unicode MS"/>
                <w:sz w:val="20"/>
              </w:rPr>
              <w:t>3.4</w:t>
            </w:r>
          </w:p>
        </w:tc>
      </w:tr>
      <w:tr w:rsidR="00342EFE" w:rsidRPr="009F718A" w:rsidTr="000E0FA4">
        <w:trPr>
          <w:gridAfter w:val="1"/>
          <w:wAfter w:w="64" w:type="pct"/>
          <w:jc w:val="center"/>
        </w:trPr>
        <w:tc>
          <w:tcPr>
            <w:tcW w:w="364" w:type="pct"/>
            <w:gridSpan w:val="2"/>
            <w:tcBorders>
              <w:bottom w:val="single" w:sz="2" w:space="0" w:color="auto"/>
            </w:tcBorders>
            <w:vAlign w:val="center"/>
          </w:tcPr>
          <w:p w:rsidR="00342EFE" w:rsidRPr="009C4800" w:rsidRDefault="00342EFE" w:rsidP="000E0FA4">
            <w:pPr>
              <w:pStyle w:val="16TableText"/>
              <w:tabs>
                <w:tab w:val="left" w:pos="389"/>
              </w:tabs>
              <w:ind w:left="-49" w:right="-111" w:firstLine="16"/>
              <w:rPr>
                <w:rFonts w:asciiTheme="minorHAnsi" w:eastAsia="Arial Unicode MS" w:hAnsiTheme="minorHAnsi" w:cs="Arial Unicode MS"/>
                <w:sz w:val="20"/>
              </w:rPr>
            </w:pPr>
            <w:r w:rsidRPr="009C4800">
              <w:rPr>
                <w:rFonts w:asciiTheme="minorHAnsi" w:eastAsia="Arial Unicode MS" w:hAnsiTheme="minorHAnsi" w:cs="Arial Unicode MS"/>
                <w:sz w:val="20"/>
              </w:rPr>
              <w:t>Mean</w:t>
            </w:r>
          </w:p>
        </w:tc>
        <w:tc>
          <w:tcPr>
            <w:tcW w:w="347" w:type="pct"/>
            <w:tcBorders>
              <w:bottom w:val="single" w:sz="2" w:space="0" w:color="auto"/>
            </w:tcBorders>
            <w:vAlign w:val="center"/>
          </w:tcPr>
          <w:p w:rsidR="00342EFE" w:rsidRPr="009C4800" w:rsidRDefault="00342EFE" w:rsidP="000E0FA4">
            <w:pPr>
              <w:pStyle w:val="16TableText"/>
              <w:ind w:left="-108" w:right="-98" w:hanging="1"/>
              <w:rPr>
                <w:rFonts w:asciiTheme="minorHAnsi" w:eastAsia="Arial Unicode MS" w:hAnsiTheme="minorHAnsi" w:cs="Arial Unicode MS"/>
                <w:sz w:val="20"/>
              </w:rPr>
            </w:pPr>
            <w:r w:rsidRPr="009C4800">
              <w:rPr>
                <w:rFonts w:asciiTheme="minorHAnsi" w:eastAsia="Arial Unicode MS" w:hAnsiTheme="minorHAnsi" w:cs="Arial Unicode MS"/>
                <w:sz w:val="20"/>
              </w:rPr>
              <w:t>18.0</w:t>
            </w:r>
          </w:p>
        </w:tc>
        <w:tc>
          <w:tcPr>
            <w:tcW w:w="459" w:type="pct"/>
            <w:tcBorders>
              <w:bottom w:val="single" w:sz="2" w:space="0" w:color="auto"/>
            </w:tcBorders>
            <w:vAlign w:val="center"/>
          </w:tcPr>
          <w:p w:rsidR="00342EFE" w:rsidRPr="009C4800" w:rsidRDefault="00342EFE" w:rsidP="000E0FA4">
            <w:pPr>
              <w:pStyle w:val="16TableText"/>
              <w:ind w:left="-54" w:right="-98" w:firstLine="0"/>
              <w:rPr>
                <w:rFonts w:asciiTheme="minorHAnsi" w:eastAsia="Arial Unicode MS" w:hAnsiTheme="minorHAnsi" w:cs="Arial Unicode MS"/>
                <w:sz w:val="20"/>
              </w:rPr>
            </w:pPr>
            <w:r w:rsidRPr="009C4800">
              <w:rPr>
                <w:rFonts w:asciiTheme="minorHAnsi" w:eastAsia="Arial Unicode MS" w:hAnsiTheme="minorHAnsi" w:cs="Arial Unicode MS"/>
                <w:sz w:val="20"/>
              </w:rPr>
              <w:t>3.5</w:t>
            </w:r>
          </w:p>
        </w:tc>
        <w:tc>
          <w:tcPr>
            <w:tcW w:w="305" w:type="pct"/>
            <w:tcBorders>
              <w:bottom w:val="single" w:sz="2" w:space="0" w:color="auto"/>
            </w:tcBorders>
            <w:vAlign w:val="center"/>
          </w:tcPr>
          <w:p w:rsidR="00342EFE" w:rsidRPr="009C4800" w:rsidRDefault="00342EFE" w:rsidP="000E0FA4">
            <w:pPr>
              <w:pStyle w:val="16TableText"/>
              <w:ind w:left="-95" w:right="-87" w:firstLine="0"/>
              <w:rPr>
                <w:rFonts w:asciiTheme="minorHAnsi" w:eastAsia="Arial Unicode MS" w:hAnsiTheme="minorHAnsi" w:cs="Arial Unicode MS"/>
                <w:sz w:val="20"/>
              </w:rPr>
            </w:pPr>
            <w:r w:rsidRPr="009C4800">
              <w:rPr>
                <w:rFonts w:asciiTheme="minorHAnsi" w:eastAsia="Arial Unicode MS" w:hAnsiTheme="minorHAnsi" w:cs="Arial Unicode MS"/>
                <w:sz w:val="20"/>
              </w:rPr>
              <w:t>20.5</w:t>
            </w:r>
          </w:p>
        </w:tc>
        <w:tc>
          <w:tcPr>
            <w:tcW w:w="397" w:type="pct"/>
            <w:tcBorders>
              <w:bottom w:val="single" w:sz="2" w:space="0" w:color="auto"/>
            </w:tcBorders>
            <w:vAlign w:val="center"/>
          </w:tcPr>
          <w:p w:rsidR="00342EFE" w:rsidRPr="009C4800" w:rsidRDefault="00342EFE" w:rsidP="000E0FA4">
            <w:pPr>
              <w:pStyle w:val="16TableText"/>
              <w:ind w:left="-41" w:right="-160" w:hanging="66"/>
              <w:rPr>
                <w:rFonts w:asciiTheme="minorHAnsi" w:eastAsia="Arial Unicode MS" w:hAnsiTheme="minorHAnsi" w:cs="Arial Unicode MS"/>
                <w:sz w:val="20"/>
              </w:rPr>
            </w:pPr>
            <w:r w:rsidRPr="009C4800">
              <w:rPr>
                <w:rFonts w:asciiTheme="minorHAnsi" w:eastAsia="Arial Unicode MS" w:hAnsiTheme="minorHAnsi" w:cs="Arial Unicode MS"/>
                <w:sz w:val="20"/>
              </w:rPr>
              <w:t>6.7</w:t>
            </w:r>
          </w:p>
        </w:tc>
        <w:tc>
          <w:tcPr>
            <w:tcW w:w="324" w:type="pct"/>
            <w:tcBorders>
              <w:bottom w:val="single" w:sz="2" w:space="0" w:color="auto"/>
            </w:tcBorders>
            <w:vAlign w:val="center"/>
          </w:tcPr>
          <w:p w:rsidR="00342EFE" w:rsidRPr="009C4800" w:rsidRDefault="00342EFE" w:rsidP="000E0FA4">
            <w:pPr>
              <w:pStyle w:val="16TableText"/>
              <w:ind w:left="-105" w:right="-123" w:firstLine="2"/>
              <w:rPr>
                <w:rFonts w:asciiTheme="minorHAnsi" w:eastAsia="Arial Unicode MS" w:hAnsiTheme="minorHAnsi" w:cs="Arial Unicode MS"/>
                <w:sz w:val="20"/>
              </w:rPr>
            </w:pPr>
            <w:r w:rsidRPr="009C4800">
              <w:rPr>
                <w:rFonts w:asciiTheme="minorHAnsi" w:eastAsia="Arial Unicode MS" w:hAnsiTheme="minorHAnsi" w:cs="Arial Unicode MS"/>
                <w:sz w:val="20"/>
              </w:rPr>
              <w:t>20.8</w:t>
            </w:r>
          </w:p>
        </w:tc>
        <w:tc>
          <w:tcPr>
            <w:tcW w:w="383" w:type="pct"/>
            <w:tcBorders>
              <w:bottom w:val="single" w:sz="2" w:space="0" w:color="auto"/>
            </w:tcBorders>
            <w:vAlign w:val="center"/>
          </w:tcPr>
          <w:p w:rsidR="00342EFE" w:rsidRPr="009C4800" w:rsidRDefault="00342EFE" w:rsidP="000E0FA4">
            <w:pPr>
              <w:pStyle w:val="16TableText"/>
              <w:ind w:left="-90" w:right="-108" w:hanging="15"/>
              <w:rPr>
                <w:rFonts w:asciiTheme="minorHAnsi" w:eastAsia="Arial Unicode MS" w:hAnsiTheme="minorHAnsi" w:cs="Arial Unicode MS"/>
                <w:sz w:val="20"/>
              </w:rPr>
            </w:pPr>
            <w:r w:rsidRPr="009C4800">
              <w:rPr>
                <w:rFonts w:asciiTheme="minorHAnsi" w:eastAsia="Arial Unicode MS" w:hAnsiTheme="minorHAnsi" w:cs="Arial Unicode MS"/>
                <w:sz w:val="20"/>
              </w:rPr>
              <w:t>5.3</w:t>
            </w:r>
          </w:p>
        </w:tc>
        <w:tc>
          <w:tcPr>
            <w:tcW w:w="371" w:type="pct"/>
            <w:tcBorders>
              <w:bottom w:val="single" w:sz="2" w:space="0" w:color="auto"/>
            </w:tcBorders>
            <w:vAlign w:val="center"/>
          </w:tcPr>
          <w:p w:rsidR="00342EFE" w:rsidRPr="009C4800" w:rsidRDefault="00342EFE" w:rsidP="000E0FA4">
            <w:pPr>
              <w:pStyle w:val="16TableText"/>
              <w:ind w:left="5" w:right="-95" w:firstLine="11"/>
              <w:rPr>
                <w:rFonts w:asciiTheme="minorHAnsi" w:eastAsia="Arial Unicode MS" w:hAnsiTheme="minorHAnsi" w:cs="Arial Unicode MS"/>
                <w:sz w:val="20"/>
              </w:rPr>
            </w:pPr>
            <w:r w:rsidRPr="009C4800">
              <w:rPr>
                <w:rFonts w:asciiTheme="minorHAnsi" w:eastAsia="Arial Unicode MS" w:hAnsiTheme="minorHAnsi" w:cs="Arial Unicode MS"/>
                <w:sz w:val="20"/>
              </w:rPr>
              <w:t>21.3</w:t>
            </w:r>
          </w:p>
        </w:tc>
        <w:tc>
          <w:tcPr>
            <w:tcW w:w="410" w:type="pct"/>
            <w:tcBorders>
              <w:bottom w:val="single" w:sz="2" w:space="0" w:color="auto"/>
            </w:tcBorders>
            <w:vAlign w:val="center"/>
          </w:tcPr>
          <w:p w:rsidR="00342EFE" w:rsidRPr="009C4800" w:rsidRDefault="00342EFE" w:rsidP="000E0FA4">
            <w:pPr>
              <w:pStyle w:val="16TableText"/>
              <w:ind w:left="-55" w:right="-113" w:hanging="41"/>
              <w:rPr>
                <w:rFonts w:asciiTheme="minorHAnsi" w:eastAsia="Arial Unicode MS" w:hAnsiTheme="minorHAnsi" w:cs="Arial Unicode MS"/>
                <w:sz w:val="20"/>
              </w:rPr>
            </w:pPr>
            <w:r w:rsidRPr="009C4800">
              <w:rPr>
                <w:rFonts w:asciiTheme="minorHAnsi" w:eastAsia="Arial Unicode MS" w:hAnsiTheme="minorHAnsi" w:cs="Arial Unicode MS"/>
                <w:sz w:val="20"/>
              </w:rPr>
              <w:t>7.1</w:t>
            </w:r>
          </w:p>
        </w:tc>
        <w:tc>
          <w:tcPr>
            <w:tcW w:w="359" w:type="pct"/>
            <w:tcBorders>
              <w:bottom w:val="single" w:sz="2" w:space="0" w:color="auto"/>
            </w:tcBorders>
            <w:vAlign w:val="center"/>
          </w:tcPr>
          <w:p w:rsidR="00342EFE" w:rsidRPr="009C4800" w:rsidRDefault="00342EFE" w:rsidP="000E0FA4">
            <w:pPr>
              <w:pStyle w:val="16TableText"/>
              <w:ind w:left="-52" w:right="-58" w:firstLine="16"/>
              <w:rPr>
                <w:rFonts w:asciiTheme="minorHAnsi" w:eastAsia="Arial Unicode MS" w:hAnsiTheme="minorHAnsi" w:cs="Arial Unicode MS"/>
                <w:sz w:val="20"/>
              </w:rPr>
            </w:pPr>
            <w:r w:rsidRPr="009C4800">
              <w:rPr>
                <w:rFonts w:asciiTheme="minorHAnsi" w:eastAsia="Arial Unicode MS" w:hAnsiTheme="minorHAnsi" w:cs="Arial Unicode MS"/>
                <w:sz w:val="20"/>
              </w:rPr>
              <w:t>21.3</w:t>
            </w:r>
          </w:p>
        </w:tc>
        <w:tc>
          <w:tcPr>
            <w:tcW w:w="422" w:type="pct"/>
            <w:tcBorders>
              <w:bottom w:val="single" w:sz="2" w:space="0" w:color="auto"/>
            </w:tcBorders>
            <w:vAlign w:val="center"/>
          </w:tcPr>
          <w:p w:rsidR="00342EFE" w:rsidRPr="009C4800" w:rsidRDefault="00342EFE" w:rsidP="000E0FA4">
            <w:pPr>
              <w:pStyle w:val="16TableText"/>
              <w:ind w:left="-66" w:right="-111" w:hanging="2"/>
              <w:rPr>
                <w:rFonts w:asciiTheme="minorHAnsi" w:eastAsia="Arial Unicode MS" w:hAnsiTheme="minorHAnsi" w:cs="Arial Unicode MS"/>
                <w:sz w:val="20"/>
              </w:rPr>
            </w:pPr>
            <w:r w:rsidRPr="009C4800">
              <w:rPr>
                <w:rFonts w:asciiTheme="minorHAnsi" w:eastAsia="Arial Unicode MS" w:hAnsiTheme="minorHAnsi" w:cs="Arial Unicode MS"/>
                <w:sz w:val="20"/>
              </w:rPr>
              <w:t>6.2</w:t>
            </w:r>
          </w:p>
        </w:tc>
        <w:tc>
          <w:tcPr>
            <w:tcW w:w="357" w:type="pct"/>
            <w:tcBorders>
              <w:bottom w:val="single" w:sz="2" w:space="0" w:color="auto"/>
            </w:tcBorders>
            <w:vAlign w:val="center"/>
          </w:tcPr>
          <w:p w:rsidR="00342EFE" w:rsidRPr="009C4800" w:rsidRDefault="00342EFE" w:rsidP="000E0FA4">
            <w:pPr>
              <w:pStyle w:val="16TableText"/>
              <w:ind w:left="-19" w:right="-107" w:firstLine="0"/>
              <w:rPr>
                <w:rFonts w:asciiTheme="minorHAnsi" w:eastAsia="Arial Unicode MS" w:hAnsiTheme="minorHAnsi" w:cs="Arial Unicode MS"/>
                <w:sz w:val="20"/>
              </w:rPr>
            </w:pPr>
            <w:r w:rsidRPr="009C4800">
              <w:rPr>
                <w:rFonts w:asciiTheme="minorHAnsi" w:eastAsia="Arial Unicode MS" w:hAnsiTheme="minorHAnsi" w:cs="Arial Unicode MS"/>
                <w:sz w:val="20"/>
              </w:rPr>
              <w:t>20.2</w:t>
            </w:r>
          </w:p>
        </w:tc>
        <w:tc>
          <w:tcPr>
            <w:tcW w:w="438" w:type="pct"/>
            <w:gridSpan w:val="2"/>
            <w:tcBorders>
              <w:bottom w:val="single" w:sz="2" w:space="0" w:color="auto"/>
            </w:tcBorders>
            <w:vAlign w:val="center"/>
          </w:tcPr>
          <w:p w:rsidR="00342EFE" w:rsidRPr="009C4800" w:rsidRDefault="00342EFE" w:rsidP="000E0FA4">
            <w:pPr>
              <w:pStyle w:val="16TableText"/>
              <w:ind w:left="0" w:firstLine="16"/>
              <w:rPr>
                <w:rFonts w:asciiTheme="minorHAnsi" w:eastAsia="Arial Unicode MS" w:hAnsiTheme="minorHAnsi" w:cs="Arial Unicode MS"/>
                <w:sz w:val="20"/>
              </w:rPr>
            </w:pPr>
            <w:r w:rsidRPr="009C4800">
              <w:rPr>
                <w:rFonts w:asciiTheme="minorHAnsi" w:eastAsia="Arial Unicode MS" w:hAnsiTheme="minorHAnsi" w:cs="Arial Unicode MS"/>
                <w:sz w:val="20"/>
              </w:rPr>
              <w:t>4.9</w:t>
            </w:r>
          </w:p>
        </w:tc>
      </w:tr>
    </w:tbl>
    <w:p w:rsidR="00342EFE" w:rsidRPr="009F718A" w:rsidRDefault="00342EFE" w:rsidP="00342EFE">
      <w:pPr>
        <w:rPr>
          <w:rFonts w:eastAsia="Arial Unicode MS" w:cs="Arial Unicode MS"/>
          <w:b/>
          <w:szCs w:val="20"/>
        </w:rPr>
      </w:pPr>
    </w:p>
    <w:p w:rsidR="00DD4A10" w:rsidRDefault="00DD4A10" w:rsidP="000C60F4">
      <w:pPr>
        <w:pStyle w:val="09BodyafterTableApplytomaintextafteratable"/>
        <w:spacing w:line="240" w:lineRule="auto"/>
        <w:rPr>
          <w:rFonts w:ascii="Arial Unicode MS" w:eastAsia="Arial Unicode MS" w:hAnsi="Arial Unicode MS" w:cs="Arial Unicode MS"/>
          <w:sz w:val="20"/>
        </w:rPr>
      </w:pPr>
    </w:p>
    <w:p w:rsidR="00342EFE" w:rsidRPr="009F718A" w:rsidRDefault="00342EFE" w:rsidP="000C60F4">
      <w:pPr>
        <w:pStyle w:val="09BodyafterTableApplytomaintextafteratable"/>
        <w:spacing w:line="240" w:lineRule="auto"/>
        <w:rPr>
          <w:rFonts w:ascii="Arial Unicode MS" w:eastAsia="Arial Unicode MS" w:hAnsi="Arial Unicode MS" w:cs="Arial Unicode MS"/>
          <w:sz w:val="20"/>
        </w:rPr>
      </w:pPr>
      <w:r w:rsidRPr="009F718A">
        <w:rPr>
          <w:rFonts w:ascii="Arial Unicode MS" w:eastAsia="Arial Unicode MS" w:hAnsi="Arial Unicode MS" w:cs="Arial Unicode MS"/>
          <w:sz w:val="20"/>
        </w:rPr>
        <w:t xml:space="preserve">Throughout the </w:t>
      </w:r>
      <w:r w:rsidR="007336FA">
        <w:rPr>
          <w:rFonts w:ascii="Arial Unicode MS" w:eastAsia="Arial Unicode MS" w:hAnsi="Arial Unicode MS" w:cs="Arial Unicode MS"/>
          <w:sz w:val="20"/>
        </w:rPr>
        <w:t xml:space="preserve">winter </w:t>
      </w:r>
      <w:r w:rsidRPr="009F718A">
        <w:rPr>
          <w:rFonts w:ascii="Arial Unicode MS" w:eastAsia="Arial Unicode MS" w:hAnsi="Arial Unicode MS" w:cs="Arial Unicode MS"/>
          <w:sz w:val="20"/>
        </w:rPr>
        <w:t xml:space="preserve">measurement period, the living room/kitchen of house No.1, 3, 4 and 5 was heated for approximately 2 hours, compared to house No.2 at 5 hours and house No.6 at 1 hour. </w:t>
      </w:r>
      <w:r w:rsidR="001210EB">
        <w:rPr>
          <w:rFonts w:ascii="Arial Unicode MS" w:eastAsia="Arial Unicode MS" w:hAnsi="Arial Unicode MS" w:cs="Arial Unicode MS"/>
          <w:sz w:val="20"/>
        </w:rPr>
        <w:t xml:space="preserve">During the summer, heating was used in only one home for approximately one hour (No.1). </w:t>
      </w:r>
      <w:r w:rsidRPr="009F718A">
        <w:rPr>
          <w:rFonts w:ascii="Arial Unicode MS" w:eastAsia="Arial Unicode MS" w:hAnsi="Arial Unicode MS" w:cs="Arial Unicode MS"/>
          <w:sz w:val="20"/>
        </w:rPr>
        <w:t>The temperature results do not correspond with these findings, therefore it is suggested indirect sources of heat (such as cooking or occupancy) or sources of heat loss may have influenced indoor temperature.</w:t>
      </w:r>
    </w:p>
    <w:p w:rsidR="00342EFE" w:rsidRPr="009F718A" w:rsidRDefault="00342EFE" w:rsidP="000C60F4">
      <w:pPr>
        <w:pStyle w:val="09BodyafterTableApplytomaintextafteratable"/>
        <w:spacing w:line="240" w:lineRule="auto"/>
        <w:rPr>
          <w:rFonts w:ascii="Arial Unicode MS" w:eastAsia="Arial Unicode MS" w:hAnsi="Arial Unicode MS" w:cs="Arial Unicode MS"/>
          <w:sz w:val="20"/>
        </w:rPr>
      </w:pPr>
      <w:r w:rsidRPr="009F718A">
        <w:rPr>
          <w:rFonts w:ascii="Arial Unicode MS" w:eastAsia="Arial Unicode MS" w:hAnsi="Arial Unicode MS" w:cs="Arial Unicode MS"/>
          <w:sz w:val="20"/>
        </w:rPr>
        <w:t xml:space="preserve">The heating schedules for all six homes vary considerably. According to the interview findings, the homes with the longest weekday and weekend occupancy also have the highest heating demand. Heating demands of 6-7 hours during the winter season were reported in three homes. Since no central heating is available, electric/gas fires or electric heaters are used to meet this demand, which may have a significant effect on electric and/or gas bills for each household. However this may be offset by the fact that almost all households reported using no form of heating during the summer months. </w:t>
      </w:r>
    </w:p>
    <w:p w:rsidR="00342EFE" w:rsidRPr="009F718A" w:rsidRDefault="00342EFE" w:rsidP="000C60F4">
      <w:pPr>
        <w:pStyle w:val="09BodyafterTableApplytomaintextafteratable"/>
        <w:spacing w:line="240" w:lineRule="auto"/>
        <w:rPr>
          <w:rFonts w:ascii="Arial Unicode MS" w:eastAsia="Arial Unicode MS" w:hAnsi="Arial Unicode MS" w:cs="Arial Unicode MS"/>
          <w:sz w:val="20"/>
        </w:rPr>
      </w:pPr>
      <w:r w:rsidRPr="009F718A">
        <w:rPr>
          <w:rFonts w:ascii="Arial Unicode MS" w:eastAsia="Arial Unicode MS" w:hAnsi="Arial Unicode MS" w:cs="Arial Unicode MS"/>
          <w:sz w:val="20"/>
        </w:rPr>
        <w:t>Households were also asked if they have ever exp</w:t>
      </w:r>
      <w:r w:rsidR="00401F54">
        <w:rPr>
          <w:rFonts w:ascii="Arial Unicode MS" w:eastAsia="Arial Unicode MS" w:hAnsi="Arial Unicode MS" w:cs="Arial Unicode MS"/>
          <w:sz w:val="20"/>
        </w:rPr>
        <w:t>erienced any problems with over</w:t>
      </w:r>
      <w:r w:rsidRPr="009F718A">
        <w:rPr>
          <w:rFonts w:ascii="Arial Unicode MS" w:eastAsia="Arial Unicode MS" w:hAnsi="Arial Unicode MS" w:cs="Arial Unicode MS"/>
          <w:sz w:val="20"/>
        </w:rPr>
        <w:t xml:space="preserve">heating in the home; </w:t>
      </w:r>
      <w:r w:rsidR="000C60F4">
        <w:rPr>
          <w:rFonts w:ascii="Arial Unicode MS" w:eastAsia="Arial Unicode MS" w:hAnsi="Arial Unicode MS" w:cs="Arial Unicode MS"/>
          <w:sz w:val="20"/>
        </w:rPr>
        <w:t>four out of six answered yes</w:t>
      </w:r>
      <w:r w:rsidR="00D94700">
        <w:rPr>
          <w:rFonts w:ascii="Arial Unicode MS" w:eastAsia="Arial Unicode MS" w:hAnsi="Arial Unicode MS" w:cs="Arial Unicode MS"/>
          <w:sz w:val="20"/>
        </w:rPr>
        <w:t xml:space="preserve"> (No.3, </w:t>
      </w:r>
      <w:r w:rsidR="000C60F4">
        <w:rPr>
          <w:rFonts w:ascii="Arial Unicode MS" w:eastAsia="Arial Unicode MS" w:hAnsi="Arial Unicode MS" w:cs="Arial Unicode MS"/>
          <w:sz w:val="20"/>
        </w:rPr>
        <w:t xml:space="preserve">No.4, </w:t>
      </w:r>
      <w:r w:rsidR="00D94700">
        <w:rPr>
          <w:rFonts w:ascii="Arial Unicode MS" w:eastAsia="Arial Unicode MS" w:hAnsi="Arial Unicode MS" w:cs="Arial Unicode MS"/>
          <w:sz w:val="20"/>
        </w:rPr>
        <w:t>No.5 and No.6)</w:t>
      </w:r>
      <w:r w:rsidRPr="009F718A">
        <w:rPr>
          <w:rFonts w:ascii="Arial Unicode MS" w:eastAsia="Arial Unicode MS" w:hAnsi="Arial Unicode MS" w:cs="Arial Unicode MS"/>
          <w:sz w:val="20"/>
        </w:rPr>
        <w:t>. Two explained problems with overheating occur sometimes when cooking</w:t>
      </w:r>
      <w:r w:rsidR="000C60F4">
        <w:rPr>
          <w:rFonts w:ascii="Arial Unicode MS" w:eastAsia="Arial Unicode MS" w:hAnsi="Arial Unicode MS" w:cs="Arial Unicode MS"/>
          <w:sz w:val="20"/>
        </w:rPr>
        <w:t xml:space="preserve"> and two</w:t>
      </w:r>
      <w:r w:rsidRPr="009F718A">
        <w:rPr>
          <w:rFonts w:ascii="Arial Unicode MS" w:eastAsia="Arial Unicode MS" w:hAnsi="Arial Unicode MS" w:cs="Arial Unicode MS"/>
          <w:sz w:val="20"/>
        </w:rPr>
        <w:t xml:space="preserve"> stated they found problems with overheating at night during the summer time</w:t>
      </w:r>
      <w:r w:rsidR="000C60F4">
        <w:rPr>
          <w:rFonts w:ascii="Arial Unicode MS" w:eastAsia="Arial Unicode MS" w:hAnsi="Arial Unicode MS" w:cs="Arial Unicode MS"/>
          <w:sz w:val="20"/>
        </w:rPr>
        <w:t>. In one household, occupants explained</w:t>
      </w:r>
      <w:r w:rsidRPr="009F718A">
        <w:rPr>
          <w:rFonts w:ascii="Arial Unicode MS" w:eastAsia="Arial Unicode MS" w:hAnsi="Arial Unicode MS" w:cs="Arial Unicode MS"/>
          <w:sz w:val="20"/>
        </w:rPr>
        <w:t xml:space="preserve"> </w:t>
      </w:r>
      <w:r w:rsidR="000C60F4">
        <w:rPr>
          <w:rFonts w:ascii="Arial Unicode MS" w:eastAsia="Arial Unicode MS" w:hAnsi="Arial Unicode MS" w:cs="Arial Unicode MS"/>
          <w:sz w:val="20"/>
        </w:rPr>
        <w:t>they</w:t>
      </w:r>
      <w:r w:rsidRPr="009F718A">
        <w:rPr>
          <w:rFonts w:ascii="Arial Unicode MS" w:eastAsia="Arial Unicode MS" w:hAnsi="Arial Unicode MS" w:cs="Arial Unicode MS"/>
          <w:sz w:val="20"/>
        </w:rPr>
        <w:t xml:space="preserve"> tend to keep the windows open</w:t>
      </w:r>
      <w:r w:rsidR="000C60F4">
        <w:rPr>
          <w:rFonts w:ascii="Arial Unicode MS" w:eastAsia="Arial Unicode MS" w:hAnsi="Arial Unicode MS" w:cs="Arial Unicode MS"/>
          <w:sz w:val="20"/>
        </w:rPr>
        <w:t xml:space="preserve"> at night during summer as a result, however </w:t>
      </w:r>
      <w:r w:rsidRPr="009F718A">
        <w:rPr>
          <w:rFonts w:ascii="Arial Unicode MS" w:eastAsia="Arial Unicode MS" w:hAnsi="Arial Unicode MS" w:cs="Arial Unicode MS"/>
          <w:sz w:val="20"/>
        </w:rPr>
        <w:t xml:space="preserve">expressed issues with noise </w:t>
      </w:r>
      <w:r w:rsidR="000C60F4">
        <w:rPr>
          <w:rFonts w:ascii="Arial Unicode MS" w:eastAsia="Arial Unicode MS" w:hAnsi="Arial Unicode MS" w:cs="Arial Unicode MS"/>
          <w:sz w:val="20"/>
        </w:rPr>
        <w:t>from</w:t>
      </w:r>
      <w:r w:rsidRPr="009F718A">
        <w:rPr>
          <w:rFonts w:ascii="Arial Unicode MS" w:eastAsia="Arial Unicode MS" w:hAnsi="Arial Unicode MS" w:cs="Arial Unicode MS"/>
          <w:sz w:val="20"/>
        </w:rPr>
        <w:t xml:space="preserve"> opening the windows at night. </w:t>
      </w:r>
    </w:p>
    <w:tbl>
      <w:tblPr>
        <w:tblW w:w="5000" w:type="pct"/>
        <w:jc w:val="center"/>
        <w:tblBorders>
          <w:top w:val="single" w:sz="18" w:space="0" w:color="auto"/>
          <w:bottom w:val="single" w:sz="18" w:space="0" w:color="auto"/>
        </w:tblBorders>
        <w:tblLook w:val="04A0" w:firstRow="1" w:lastRow="0" w:firstColumn="1" w:lastColumn="0" w:noHBand="0" w:noVBand="1"/>
      </w:tblPr>
      <w:tblGrid>
        <w:gridCol w:w="2717"/>
        <w:gridCol w:w="1048"/>
        <w:gridCol w:w="1050"/>
        <w:gridCol w:w="1074"/>
        <w:gridCol w:w="1063"/>
        <w:gridCol w:w="1087"/>
        <w:gridCol w:w="1203"/>
      </w:tblGrid>
      <w:tr w:rsidR="00342EFE" w:rsidRPr="009F718A" w:rsidTr="000E0FA4">
        <w:trPr>
          <w:jc w:val="center"/>
        </w:trPr>
        <w:tc>
          <w:tcPr>
            <w:tcW w:w="5000" w:type="pct"/>
            <w:gridSpan w:val="7"/>
            <w:tcBorders>
              <w:top w:val="nil"/>
              <w:bottom w:val="single" w:sz="2" w:space="0" w:color="auto"/>
            </w:tcBorders>
            <w:vAlign w:val="center"/>
          </w:tcPr>
          <w:p w:rsidR="00342EFE" w:rsidRPr="000E0FA4" w:rsidRDefault="00342EFE" w:rsidP="000E0FA4">
            <w:pPr>
              <w:pStyle w:val="15TableTitle"/>
              <w:ind w:left="0" w:firstLine="0"/>
              <w:jc w:val="left"/>
              <w:rPr>
                <w:rFonts w:ascii="Arial Unicode MS" w:eastAsia="Arial Unicode MS" w:hAnsi="Arial Unicode MS" w:cs="Arial Unicode MS"/>
                <w:b w:val="0"/>
              </w:rPr>
            </w:pPr>
            <w:r w:rsidRPr="000E0FA4">
              <w:rPr>
                <w:rFonts w:ascii="Arial Unicode MS" w:eastAsia="Arial Unicode MS" w:hAnsi="Arial Unicode MS" w:cs="Arial Unicode MS"/>
                <w:b w:val="0"/>
              </w:rPr>
              <w:t>Table</w:t>
            </w:r>
            <w:r w:rsidR="00CB4E25">
              <w:rPr>
                <w:rFonts w:ascii="Arial Unicode MS" w:eastAsia="Arial Unicode MS" w:hAnsi="Arial Unicode MS" w:cs="Arial Unicode MS"/>
                <w:b w:val="0"/>
              </w:rPr>
              <w:t xml:space="preserve"> 8</w:t>
            </w:r>
            <w:r w:rsidRPr="000E0FA4">
              <w:rPr>
                <w:rFonts w:ascii="Arial Unicode MS" w:eastAsia="Arial Unicode MS" w:hAnsi="Arial Unicode MS" w:cs="Arial Unicode MS"/>
                <w:b w:val="0"/>
              </w:rPr>
              <w:t>.   Heating schedule and household occupancy</w:t>
            </w:r>
          </w:p>
        </w:tc>
      </w:tr>
      <w:tr w:rsidR="00342EFE" w:rsidRPr="009F718A" w:rsidTr="000E0FA4">
        <w:trPr>
          <w:jc w:val="center"/>
        </w:trPr>
        <w:tc>
          <w:tcPr>
            <w:tcW w:w="1470"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p>
        </w:tc>
        <w:tc>
          <w:tcPr>
            <w:tcW w:w="567"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No.1</w:t>
            </w:r>
          </w:p>
        </w:tc>
        <w:tc>
          <w:tcPr>
            <w:tcW w:w="568"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No.2</w:t>
            </w:r>
          </w:p>
        </w:tc>
        <w:tc>
          <w:tcPr>
            <w:tcW w:w="581"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No.3</w:t>
            </w:r>
          </w:p>
        </w:tc>
        <w:tc>
          <w:tcPr>
            <w:tcW w:w="575"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No.4</w:t>
            </w:r>
          </w:p>
        </w:tc>
        <w:tc>
          <w:tcPr>
            <w:tcW w:w="588"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No.5</w:t>
            </w:r>
          </w:p>
        </w:tc>
        <w:tc>
          <w:tcPr>
            <w:tcW w:w="651"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No.6</w:t>
            </w:r>
          </w:p>
        </w:tc>
      </w:tr>
      <w:tr w:rsidR="00342EFE" w:rsidRPr="009F718A" w:rsidTr="000E0FA4">
        <w:trPr>
          <w:jc w:val="center"/>
        </w:trPr>
        <w:tc>
          <w:tcPr>
            <w:tcW w:w="1470"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 xml:space="preserve">Heating schedule during </w:t>
            </w:r>
            <w:r w:rsidR="00CB4E25">
              <w:rPr>
                <w:rFonts w:asciiTheme="minorHAnsi" w:hAnsiTheme="minorHAnsi"/>
                <w:sz w:val="20"/>
                <w:szCs w:val="20"/>
              </w:rPr>
              <w:t xml:space="preserve">winter </w:t>
            </w:r>
            <w:r w:rsidRPr="00313DBE">
              <w:rPr>
                <w:rFonts w:asciiTheme="minorHAnsi" w:hAnsiTheme="minorHAnsi"/>
                <w:sz w:val="20"/>
                <w:szCs w:val="20"/>
              </w:rPr>
              <w:t>measurement period</w:t>
            </w:r>
          </w:p>
          <w:p w:rsidR="00342EFE" w:rsidRPr="00313DBE" w:rsidRDefault="00342EFE" w:rsidP="000E0FA4">
            <w:pPr>
              <w:pStyle w:val="NoSpacing"/>
              <w:rPr>
                <w:rFonts w:asciiTheme="minorHAnsi" w:hAnsiTheme="minorHAnsi"/>
                <w:sz w:val="20"/>
                <w:szCs w:val="20"/>
              </w:rPr>
            </w:pPr>
          </w:p>
        </w:tc>
        <w:tc>
          <w:tcPr>
            <w:tcW w:w="567"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(2 hours)</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8-9pm,</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5-6pm</w:t>
            </w:r>
          </w:p>
        </w:tc>
        <w:tc>
          <w:tcPr>
            <w:tcW w:w="568"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(5 hours)</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6-8pm,</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8-10am,</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12-1pm</w:t>
            </w:r>
          </w:p>
        </w:tc>
        <w:tc>
          <w:tcPr>
            <w:tcW w:w="581"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(2 hours)</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7-8am,</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4-5pm</w:t>
            </w:r>
          </w:p>
        </w:tc>
        <w:tc>
          <w:tcPr>
            <w:tcW w:w="575"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(2 hours)</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7-9am</w:t>
            </w:r>
          </w:p>
        </w:tc>
        <w:tc>
          <w:tcPr>
            <w:tcW w:w="588"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(2 hours)</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2-4pm</w:t>
            </w:r>
          </w:p>
        </w:tc>
        <w:tc>
          <w:tcPr>
            <w:tcW w:w="651"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(1 hour)</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5-6pm</w:t>
            </w:r>
          </w:p>
        </w:tc>
      </w:tr>
      <w:tr w:rsidR="001210EB" w:rsidRPr="009F718A" w:rsidTr="000E0FA4">
        <w:trPr>
          <w:jc w:val="center"/>
        </w:trPr>
        <w:tc>
          <w:tcPr>
            <w:tcW w:w="1470" w:type="pct"/>
            <w:tcBorders>
              <w:top w:val="single" w:sz="2" w:space="0" w:color="auto"/>
              <w:bottom w:val="single" w:sz="2" w:space="0" w:color="auto"/>
            </w:tcBorders>
            <w:vAlign w:val="center"/>
          </w:tcPr>
          <w:p w:rsidR="001210EB" w:rsidRPr="00313DBE" w:rsidRDefault="001210EB" w:rsidP="000E0FA4">
            <w:pPr>
              <w:pStyle w:val="NoSpacing"/>
              <w:rPr>
                <w:rFonts w:asciiTheme="minorHAnsi" w:hAnsiTheme="minorHAnsi"/>
                <w:sz w:val="20"/>
                <w:szCs w:val="20"/>
              </w:rPr>
            </w:pPr>
            <w:r>
              <w:rPr>
                <w:rFonts w:asciiTheme="minorHAnsi" w:hAnsiTheme="minorHAnsi"/>
                <w:sz w:val="20"/>
                <w:szCs w:val="20"/>
              </w:rPr>
              <w:t>Heating schedule during summer measurement period</w:t>
            </w:r>
          </w:p>
        </w:tc>
        <w:tc>
          <w:tcPr>
            <w:tcW w:w="567" w:type="pct"/>
            <w:tcBorders>
              <w:top w:val="single" w:sz="2" w:space="0" w:color="auto"/>
              <w:bottom w:val="single" w:sz="2" w:space="0" w:color="auto"/>
            </w:tcBorders>
            <w:vAlign w:val="center"/>
          </w:tcPr>
          <w:p w:rsidR="001210EB" w:rsidRPr="00313DBE" w:rsidRDefault="001210EB" w:rsidP="000E0FA4">
            <w:pPr>
              <w:pStyle w:val="NoSpacing"/>
              <w:rPr>
                <w:rFonts w:asciiTheme="minorHAnsi" w:hAnsiTheme="minorHAnsi"/>
                <w:sz w:val="20"/>
                <w:szCs w:val="20"/>
              </w:rPr>
            </w:pPr>
            <w:r>
              <w:rPr>
                <w:rFonts w:asciiTheme="minorHAnsi" w:hAnsiTheme="minorHAnsi"/>
                <w:sz w:val="20"/>
                <w:szCs w:val="20"/>
              </w:rPr>
              <w:t>8-9am</w:t>
            </w:r>
          </w:p>
        </w:tc>
        <w:tc>
          <w:tcPr>
            <w:tcW w:w="568" w:type="pct"/>
            <w:tcBorders>
              <w:top w:val="single" w:sz="2" w:space="0" w:color="auto"/>
              <w:bottom w:val="single" w:sz="2" w:space="0" w:color="auto"/>
            </w:tcBorders>
            <w:vAlign w:val="center"/>
          </w:tcPr>
          <w:p w:rsidR="001210EB" w:rsidRPr="00313DBE" w:rsidRDefault="001210EB" w:rsidP="000E0FA4">
            <w:pPr>
              <w:pStyle w:val="NoSpacing"/>
              <w:rPr>
                <w:rFonts w:asciiTheme="minorHAnsi" w:hAnsiTheme="minorHAnsi"/>
                <w:sz w:val="20"/>
                <w:szCs w:val="20"/>
              </w:rPr>
            </w:pPr>
            <w:r>
              <w:rPr>
                <w:rFonts w:asciiTheme="minorHAnsi" w:hAnsiTheme="minorHAnsi"/>
                <w:sz w:val="20"/>
                <w:szCs w:val="20"/>
              </w:rPr>
              <w:t>-------</w:t>
            </w:r>
          </w:p>
        </w:tc>
        <w:tc>
          <w:tcPr>
            <w:tcW w:w="581" w:type="pct"/>
            <w:tcBorders>
              <w:top w:val="single" w:sz="2" w:space="0" w:color="auto"/>
              <w:bottom w:val="single" w:sz="2" w:space="0" w:color="auto"/>
            </w:tcBorders>
            <w:vAlign w:val="center"/>
          </w:tcPr>
          <w:p w:rsidR="001210EB" w:rsidRPr="00313DBE" w:rsidRDefault="001210EB" w:rsidP="000E0FA4">
            <w:pPr>
              <w:pStyle w:val="NoSpacing"/>
              <w:rPr>
                <w:rFonts w:asciiTheme="minorHAnsi" w:hAnsiTheme="minorHAnsi"/>
                <w:sz w:val="20"/>
                <w:szCs w:val="20"/>
              </w:rPr>
            </w:pPr>
            <w:r>
              <w:rPr>
                <w:rFonts w:asciiTheme="minorHAnsi" w:hAnsiTheme="minorHAnsi"/>
                <w:sz w:val="20"/>
                <w:szCs w:val="20"/>
              </w:rPr>
              <w:t>-------</w:t>
            </w:r>
          </w:p>
        </w:tc>
        <w:tc>
          <w:tcPr>
            <w:tcW w:w="575" w:type="pct"/>
            <w:tcBorders>
              <w:top w:val="single" w:sz="2" w:space="0" w:color="auto"/>
              <w:bottom w:val="single" w:sz="2" w:space="0" w:color="auto"/>
            </w:tcBorders>
            <w:vAlign w:val="center"/>
          </w:tcPr>
          <w:p w:rsidR="001210EB" w:rsidRPr="00313DBE" w:rsidRDefault="001210EB" w:rsidP="000E0FA4">
            <w:pPr>
              <w:pStyle w:val="NoSpacing"/>
              <w:rPr>
                <w:rFonts w:asciiTheme="minorHAnsi" w:hAnsiTheme="minorHAnsi"/>
                <w:sz w:val="20"/>
                <w:szCs w:val="20"/>
              </w:rPr>
            </w:pPr>
            <w:r>
              <w:rPr>
                <w:rFonts w:asciiTheme="minorHAnsi" w:hAnsiTheme="minorHAnsi"/>
                <w:sz w:val="20"/>
                <w:szCs w:val="20"/>
              </w:rPr>
              <w:t>-------</w:t>
            </w:r>
          </w:p>
        </w:tc>
        <w:tc>
          <w:tcPr>
            <w:tcW w:w="588" w:type="pct"/>
            <w:tcBorders>
              <w:top w:val="single" w:sz="2" w:space="0" w:color="auto"/>
              <w:bottom w:val="single" w:sz="2" w:space="0" w:color="auto"/>
            </w:tcBorders>
            <w:vAlign w:val="center"/>
          </w:tcPr>
          <w:p w:rsidR="001210EB" w:rsidRPr="00313DBE" w:rsidRDefault="001210EB" w:rsidP="000E0FA4">
            <w:pPr>
              <w:pStyle w:val="NoSpacing"/>
              <w:rPr>
                <w:rFonts w:asciiTheme="minorHAnsi" w:hAnsiTheme="minorHAnsi"/>
                <w:sz w:val="20"/>
                <w:szCs w:val="20"/>
              </w:rPr>
            </w:pPr>
            <w:r>
              <w:rPr>
                <w:rFonts w:asciiTheme="minorHAnsi" w:hAnsiTheme="minorHAnsi"/>
                <w:sz w:val="20"/>
                <w:szCs w:val="20"/>
              </w:rPr>
              <w:t>-------</w:t>
            </w:r>
          </w:p>
        </w:tc>
        <w:tc>
          <w:tcPr>
            <w:tcW w:w="651" w:type="pct"/>
            <w:tcBorders>
              <w:top w:val="single" w:sz="2" w:space="0" w:color="auto"/>
              <w:bottom w:val="single" w:sz="2" w:space="0" w:color="auto"/>
            </w:tcBorders>
            <w:vAlign w:val="center"/>
          </w:tcPr>
          <w:p w:rsidR="001210EB" w:rsidRPr="00313DBE" w:rsidRDefault="001210EB" w:rsidP="000E0FA4">
            <w:pPr>
              <w:pStyle w:val="NoSpacing"/>
              <w:rPr>
                <w:rFonts w:asciiTheme="minorHAnsi" w:hAnsiTheme="minorHAnsi"/>
                <w:sz w:val="20"/>
                <w:szCs w:val="20"/>
              </w:rPr>
            </w:pPr>
            <w:r>
              <w:rPr>
                <w:rFonts w:asciiTheme="minorHAnsi" w:hAnsiTheme="minorHAnsi"/>
                <w:sz w:val="20"/>
                <w:szCs w:val="20"/>
              </w:rPr>
              <w:t>-------</w:t>
            </w:r>
          </w:p>
        </w:tc>
      </w:tr>
      <w:tr w:rsidR="00342EFE" w:rsidRPr="009F718A" w:rsidTr="000E0FA4">
        <w:trPr>
          <w:jc w:val="center"/>
        </w:trPr>
        <w:tc>
          <w:tcPr>
            <w:tcW w:w="1470" w:type="pct"/>
            <w:tcBorders>
              <w:top w:val="single" w:sz="2" w:space="0" w:color="auto"/>
              <w:bottom w:val="single" w:sz="2" w:space="0" w:color="auto"/>
            </w:tcBorders>
            <w:vAlign w:val="center"/>
          </w:tcPr>
          <w:p w:rsidR="00342EFE" w:rsidRPr="00313DBE" w:rsidRDefault="00CB4E25" w:rsidP="000E0FA4">
            <w:pPr>
              <w:pStyle w:val="NoSpacing"/>
              <w:rPr>
                <w:rFonts w:asciiTheme="minorHAnsi" w:hAnsiTheme="minorHAnsi"/>
                <w:sz w:val="20"/>
                <w:szCs w:val="20"/>
              </w:rPr>
            </w:pPr>
            <w:r>
              <w:rPr>
                <w:rFonts w:asciiTheme="minorHAnsi" w:hAnsiTheme="minorHAnsi"/>
                <w:sz w:val="20"/>
                <w:szCs w:val="20"/>
              </w:rPr>
              <w:t xml:space="preserve">Reported heating schedule during </w:t>
            </w:r>
            <w:r w:rsidR="00342EFE" w:rsidRPr="00313DBE">
              <w:rPr>
                <w:rFonts w:asciiTheme="minorHAnsi" w:hAnsiTheme="minorHAnsi"/>
                <w:sz w:val="20"/>
                <w:szCs w:val="20"/>
              </w:rPr>
              <w:t>spring (in home)</w:t>
            </w:r>
          </w:p>
        </w:tc>
        <w:tc>
          <w:tcPr>
            <w:tcW w:w="567"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(2 hours)</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7-9pm</w:t>
            </w:r>
          </w:p>
        </w:tc>
        <w:tc>
          <w:tcPr>
            <w:tcW w:w="568"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(4 hours)</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9-11am,</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6-8pm</w:t>
            </w:r>
          </w:p>
        </w:tc>
        <w:tc>
          <w:tcPr>
            <w:tcW w:w="581"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(4 hours)</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7-8am,</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9-10am,</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6-8pm</w:t>
            </w:r>
          </w:p>
        </w:tc>
        <w:tc>
          <w:tcPr>
            <w:tcW w:w="575"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(3.5 hours)</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7-9am,</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5.30-7pm</w:t>
            </w:r>
          </w:p>
        </w:tc>
        <w:tc>
          <w:tcPr>
            <w:tcW w:w="588"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(2 hours)</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8-10pm</w:t>
            </w:r>
          </w:p>
        </w:tc>
        <w:tc>
          <w:tcPr>
            <w:tcW w:w="651"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(1 hour)</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7-8pm</w:t>
            </w:r>
          </w:p>
        </w:tc>
      </w:tr>
      <w:tr w:rsidR="00342EFE" w:rsidRPr="009F718A" w:rsidTr="000E0FA4">
        <w:trPr>
          <w:jc w:val="center"/>
        </w:trPr>
        <w:tc>
          <w:tcPr>
            <w:tcW w:w="1470" w:type="pct"/>
            <w:tcBorders>
              <w:top w:val="single" w:sz="2" w:space="0" w:color="auto"/>
              <w:bottom w:val="single" w:sz="2" w:space="0" w:color="auto"/>
            </w:tcBorders>
            <w:vAlign w:val="center"/>
          </w:tcPr>
          <w:p w:rsidR="00342EFE" w:rsidRPr="00313DBE" w:rsidRDefault="00CB4E25" w:rsidP="000E0FA4">
            <w:pPr>
              <w:pStyle w:val="NoSpacing"/>
              <w:rPr>
                <w:rFonts w:asciiTheme="minorHAnsi" w:hAnsiTheme="minorHAnsi"/>
                <w:sz w:val="20"/>
                <w:szCs w:val="20"/>
              </w:rPr>
            </w:pPr>
            <w:r>
              <w:rPr>
                <w:rFonts w:asciiTheme="minorHAnsi" w:hAnsiTheme="minorHAnsi"/>
                <w:sz w:val="20"/>
                <w:szCs w:val="20"/>
              </w:rPr>
              <w:t xml:space="preserve">Reported heating schedule during </w:t>
            </w:r>
            <w:r w:rsidR="00342EFE" w:rsidRPr="00313DBE">
              <w:rPr>
                <w:rFonts w:asciiTheme="minorHAnsi" w:hAnsiTheme="minorHAnsi"/>
                <w:sz w:val="20"/>
                <w:szCs w:val="20"/>
              </w:rPr>
              <w:t>summer (in home)</w:t>
            </w:r>
          </w:p>
        </w:tc>
        <w:tc>
          <w:tcPr>
            <w:tcW w:w="567"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(1 hour)</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9-10pm</w:t>
            </w:r>
          </w:p>
        </w:tc>
        <w:tc>
          <w:tcPr>
            <w:tcW w:w="568"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w:t>
            </w:r>
          </w:p>
        </w:tc>
        <w:tc>
          <w:tcPr>
            <w:tcW w:w="581"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w:t>
            </w:r>
          </w:p>
        </w:tc>
        <w:tc>
          <w:tcPr>
            <w:tcW w:w="575"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w:t>
            </w:r>
          </w:p>
        </w:tc>
        <w:tc>
          <w:tcPr>
            <w:tcW w:w="588"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w:t>
            </w:r>
          </w:p>
        </w:tc>
        <w:tc>
          <w:tcPr>
            <w:tcW w:w="651"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w:t>
            </w:r>
          </w:p>
        </w:tc>
      </w:tr>
      <w:tr w:rsidR="00342EFE" w:rsidRPr="009F718A" w:rsidTr="000E0FA4">
        <w:trPr>
          <w:jc w:val="center"/>
        </w:trPr>
        <w:tc>
          <w:tcPr>
            <w:tcW w:w="1470" w:type="pct"/>
            <w:tcBorders>
              <w:top w:val="single" w:sz="2" w:space="0" w:color="auto"/>
              <w:bottom w:val="single" w:sz="2" w:space="0" w:color="auto"/>
            </w:tcBorders>
            <w:vAlign w:val="center"/>
          </w:tcPr>
          <w:p w:rsidR="00342EFE" w:rsidRPr="00313DBE" w:rsidRDefault="00CB4E25" w:rsidP="000E0FA4">
            <w:pPr>
              <w:pStyle w:val="NoSpacing"/>
              <w:rPr>
                <w:rFonts w:asciiTheme="minorHAnsi" w:hAnsiTheme="minorHAnsi"/>
                <w:sz w:val="20"/>
                <w:szCs w:val="20"/>
              </w:rPr>
            </w:pPr>
            <w:r>
              <w:rPr>
                <w:rFonts w:asciiTheme="minorHAnsi" w:hAnsiTheme="minorHAnsi"/>
                <w:sz w:val="20"/>
                <w:szCs w:val="20"/>
              </w:rPr>
              <w:t xml:space="preserve">Reported heating schedule during </w:t>
            </w:r>
            <w:r w:rsidR="00342EFE" w:rsidRPr="00313DBE">
              <w:rPr>
                <w:rFonts w:asciiTheme="minorHAnsi" w:hAnsiTheme="minorHAnsi"/>
                <w:sz w:val="20"/>
                <w:szCs w:val="20"/>
              </w:rPr>
              <w:t>autumn (in home)</w:t>
            </w:r>
          </w:p>
        </w:tc>
        <w:tc>
          <w:tcPr>
            <w:tcW w:w="567"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(3 hours)</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7-10pm</w:t>
            </w:r>
          </w:p>
        </w:tc>
        <w:tc>
          <w:tcPr>
            <w:tcW w:w="568"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(4 hours)</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9-11am,</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6-8pm</w:t>
            </w:r>
          </w:p>
        </w:tc>
        <w:tc>
          <w:tcPr>
            <w:tcW w:w="581"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(4 hours)</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7-8am,</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9-10am,</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6-8pm</w:t>
            </w:r>
          </w:p>
        </w:tc>
        <w:tc>
          <w:tcPr>
            <w:tcW w:w="575"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(3.5 hours)</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7-9am,</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5.30-7pm</w:t>
            </w:r>
          </w:p>
        </w:tc>
        <w:tc>
          <w:tcPr>
            <w:tcW w:w="588"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(2 hours)</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6-7am,</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8-9pm</w:t>
            </w:r>
          </w:p>
        </w:tc>
        <w:tc>
          <w:tcPr>
            <w:tcW w:w="651"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(2 hours)</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7-9pm</w:t>
            </w:r>
          </w:p>
        </w:tc>
      </w:tr>
      <w:tr w:rsidR="00342EFE" w:rsidRPr="009F718A" w:rsidTr="000E0FA4">
        <w:trPr>
          <w:jc w:val="center"/>
        </w:trPr>
        <w:tc>
          <w:tcPr>
            <w:tcW w:w="1470" w:type="pct"/>
            <w:tcBorders>
              <w:top w:val="single" w:sz="2" w:space="0" w:color="auto"/>
              <w:bottom w:val="single" w:sz="2" w:space="0" w:color="auto"/>
            </w:tcBorders>
            <w:vAlign w:val="center"/>
          </w:tcPr>
          <w:p w:rsidR="00342EFE" w:rsidRPr="00313DBE" w:rsidRDefault="00CB4E25" w:rsidP="000E0FA4">
            <w:pPr>
              <w:pStyle w:val="NoSpacing"/>
              <w:rPr>
                <w:rFonts w:asciiTheme="minorHAnsi" w:hAnsiTheme="minorHAnsi"/>
                <w:sz w:val="20"/>
                <w:szCs w:val="20"/>
              </w:rPr>
            </w:pPr>
            <w:r>
              <w:rPr>
                <w:rFonts w:asciiTheme="minorHAnsi" w:hAnsiTheme="minorHAnsi"/>
                <w:sz w:val="20"/>
                <w:szCs w:val="20"/>
              </w:rPr>
              <w:t xml:space="preserve">Reported heating schedule during </w:t>
            </w:r>
            <w:r w:rsidR="00342EFE" w:rsidRPr="00313DBE">
              <w:rPr>
                <w:rFonts w:asciiTheme="minorHAnsi" w:hAnsiTheme="minorHAnsi"/>
                <w:sz w:val="20"/>
                <w:szCs w:val="20"/>
              </w:rPr>
              <w:t>winter (in home)</w:t>
            </w:r>
          </w:p>
        </w:tc>
        <w:tc>
          <w:tcPr>
            <w:tcW w:w="567"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(3 hours)</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7-10pm</w:t>
            </w:r>
          </w:p>
        </w:tc>
        <w:tc>
          <w:tcPr>
            <w:tcW w:w="568"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(7 hours)</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9-12pm,</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5-9pm</w:t>
            </w:r>
          </w:p>
        </w:tc>
        <w:tc>
          <w:tcPr>
            <w:tcW w:w="581"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(6 hours)</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7-10am,</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6-9pm</w:t>
            </w:r>
          </w:p>
        </w:tc>
        <w:tc>
          <w:tcPr>
            <w:tcW w:w="575"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(6 hours)</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7-9am,</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5-7pm,</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9-11pm</w:t>
            </w:r>
          </w:p>
        </w:tc>
        <w:tc>
          <w:tcPr>
            <w:tcW w:w="588"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(3 hours)</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6-7am,</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8-10pm</w:t>
            </w:r>
          </w:p>
        </w:tc>
        <w:tc>
          <w:tcPr>
            <w:tcW w:w="651"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(4 hours)</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12-2pm,</w:t>
            </w:r>
          </w:p>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7-9pm</w:t>
            </w:r>
          </w:p>
        </w:tc>
      </w:tr>
      <w:tr w:rsidR="00342EFE" w:rsidRPr="009F718A" w:rsidTr="000E0FA4">
        <w:trPr>
          <w:trHeight w:val="517"/>
          <w:jc w:val="center"/>
        </w:trPr>
        <w:tc>
          <w:tcPr>
            <w:tcW w:w="1470" w:type="pct"/>
            <w:tcBorders>
              <w:top w:val="single" w:sz="2" w:space="0" w:color="auto"/>
              <w:bottom w:val="single" w:sz="2" w:space="0" w:color="auto"/>
            </w:tcBorders>
            <w:vAlign w:val="center"/>
          </w:tcPr>
          <w:p w:rsidR="00342EFE" w:rsidRPr="00313DBE" w:rsidRDefault="00CB4E25" w:rsidP="000E0FA4">
            <w:pPr>
              <w:pStyle w:val="NoSpacing"/>
              <w:rPr>
                <w:rFonts w:asciiTheme="minorHAnsi" w:hAnsiTheme="minorHAnsi"/>
                <w:sz w:val="20"/>
                <w:szCs w:val="20"/>
              </w:rPr>
            </w:pPr>
            <w:r>
              <w:rPr>
                <w:rFonts w:asciiTheme="minorHAnsi" w:hAnsiTheme="minorHAnsi"/>
                <w:sz w:val="20"/>
                <w:szCs w:val="20"/>
              </w:rPr>
              <w:t>Average n</w:t>
            </w:r>
            <w:r w:rsidR="00342EFE" w:rsidRPr="00313DBE">
              <w:rPr>
                <w:rFonts w:asciiTheme="minorHAnsi" w:hAnsiTheme="minorHAnsi"/>
                <w:sz w:val="20"/>
                <w:szCs w:val="20"/>
              </w:rPr>
              <w:t>o. of hours home occupied during weekdays</w:t>
            </w:r>
          </w:p>
        </w:tc>
        <w:tc>
          <w:tcPr>
            <w:tcW w:w="567"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17 hours</w:t>
            </w:r>
          </w:p>
        </w:tc>
        <w:tc>
          <w:tcPr>
            <w:tcW w:w="568"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24 hours</w:t>
            </w:r>
          </w:p>
        </w:tc>
        <w:tc>
          <w:tcPr>
            <w:tcW w:w="581"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24 hours</w:t>
            </w:r>
          </w:p>
        </w:tc>
        <w:tc>
          <w:tcPr>
            <w:tcW w:w="575"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16 hours</w:t>
            </w:r>
          </w:p>
        </w:tc>
        <w:tc>
          <w:tcPr>
            <w:tcW w:w="588"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12 hours</w:t>
            </w:r>
          </w:p>
        </w:tc>
        <w:tc>
          <w:tcPr>
            <w:tcW w:w="651"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18-20 hours</w:t>
            </w:r>
          </w:p>
        </w:tc>
      </w:tr>
      <w:tr w:rsidR="00342EFE" w:rsidRPr="009F718A" w:rsidTr="000E0FA4">
        <w:trPr>
          <w:trHeight w:val="465"/>
          <w:jc w:val="center"/>
        </w:trPr>
        <w:tc>
          <w:tcPr>
            <w:tcW w:w="1470" w:type="pct"/>
            <w:tcBorders>
              <w:top w:val="single" w:sz="2" w:space="0" w:color="auto"/>
              <w:bottom w:val="single" w:sz="2" w:space="0" w:color="auto"/>
            </w:tcBorders>
            <w:vAlign w:val="center"/>
          </w:tcPr>
          <w:p w:rsidR="00342EFE" w:rsidRPr="00313DBE" w:rsidRDefault="00CB4E25" w:rsidP="000E0FA4">
            <w:pPr>
              <w:pStyle w:val="NoSpacing"/>
              <w:rPr>
                <w:rFonts w:asciiTheme="minorHAnsi" w:hAnsiTheme="minorHAnsi"/>
                <w:sz w:val="20"/>
                <w:szCs w:val="20"/>
              </w:rPr>
            </w:pPr>
            <w:r>
              <w:rPr>
                <w:rFonts w:asciiTheme="minorHAnsi" w:hAnsiTheme="minorHAnsi"/>
                <w:sz w:val="20"/>
                <w:szCs w:val="20"/>
              </w:rPr>
              <w:t>Average n</w:t>
            </w:r>
            <w:r w:rsidR="00342EFE" w:rsidRPr="00313DBE">
              <w:rPr>
                <w:rFonts w:asciiTheme="minorHAnsi" w:hAnsiTheme="minorHAnsi"/>
                <w:sz w:val="20"/>
                <w:szCs w:val="20"/>
              </w:rPr>
              <w:t>o. of hours home occupied at weekend</w:t>
            </w:r>
          </w:p>
        </w:tc>
        <w:tc>
          <w:tcPr>
            <w:tcW w:w="567"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20 hours</w:t>
            </w:r>
          </w:p>
        </w:tc>
        <w:tc>
          <w:tcPr>
            <w:tcW w:w="568"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24 hours</w:t>
            </w:r>
          </w:p>
        </w:tc>
        <w:tc>
          <w:tcPr>
            <w:tcW w:w="581"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24 hours</w:t>
            </w:r>
          </w:p>
        </w:tc>
        <w:tc>
          <w:tcPr>
            <w:tcW w:w="575"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12-14 hours</w:t>
            </w:r>
          </w:p>
        </w:tc>
        <w:tc>
          <w:tcPr>
            <w:tcW w:w="588"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12 hours</w:t>
            </w:r>
          </w:p>
        </w:tc>
        <w:tc>
          <w:tcPr>
            <w:tcW w:w="651" w:type="pct"/>
            <w:tcBorders>
              <w:top w:val="single" w:sz="2" w:space="0" w:color="auto"/>
              <w:bottom w:val="single" w:sz="2" w:space="0" w:color="auto"/>
            </w:tcBorders>
            <w:vAlign w:val="center"/>
          </w:tcPr>
          <w:p w:rsidR="00342EFE" w:rsidRPr="00313DBE" w:rsidRDefault="00342EFE" w:rsidP="000E0FA4">
            <w:pPr>
              <w:pStyle w:val="NoSpacing"/>
              <w:rPr>
                <w:rFonts w:asciiTheme="minorHAnsi" w:hAnsiTheme="minorHAnsi"/>
                <w:sz w:val="20"/>
                <w:szCs w:val="20"/>
              </w:rPr>
            </w:pPr>
            <w:r w:rsidRPr="00313DBE">
              <w:rPr>
                <w:rFonts w:asciiTheme="minorHAnsi" w:hAnsiTheme="minorHAnsi"/>
                <w:sz w:val="20"/>
                <w:szCs w:val="20"/>
              </w:rPr>
              <w:t>24 hours</w:t>
            </w:r>
          </w:p>
        </w:tc>
      </w:tr>
    </w:tbl>
    <w:p w:rsidR="000C60F4" w:rsidRPr="000C60F4" w:rsidRDefault="000C60F4" w:rsidP="000C60F4">
      <w:pPr>
        <w:rPr>
          <w:rFonts w:eastAsia="Arial Unicode MS"/>
        </w:rPr>
      </w:pPr>
    </w:p>
    <w:p w:rsidR="009F718A" w:rsidRPr="00342EFE" w:rsidRDefault="00342EFE" w:rsidP="009F718A">
      <w:pPr>
        <w:pStyle w:val="Heading3"/>
        <w:numPr>
          <w:ilvl w:val="2"/>
          <w:numId w:val="18"/>
        </w:numPr>
        <w:rPr>
          <w:rFonts w:eastAsia="Arial Unicode MS"/>
        </w:rPr>
      </w:pPr>
      <w:r>
        <w:rPr>
          <w:rFonts w:eastAsia="Arial Unicode MS"/>
        </w:rPr>
        <w:t>Summer season</w:t>
      </w:r>
    </w:p>
    <w:p w:rsidR="00313DBE" w:rsidRPr="000E0FA4" w:rsidRDefault="00CB4E25" w:rsidP="00CB4E25">
      <w:pPr>
        <w:rPr>
          <w:rFonts w:eastAsia="Arial Unicode MS"/>
        </w:rPr>
      </w:pPr>
      <w:r>
        <w:rPr>
          <w:rFonts w:eastAsia="Arial Unicode MS"/>
        </w:rPr>
        <w:t>Table 9</w:t>
      </w:r>
      <w:r w:rsidR="00313DBE" w:rsidRPr="000E0FA4">
        <w:rPr>
          <w:rFonts w:eastAsia="Arial Unicode MS"/>
        </w:rPr>
        <w:t>.   Summer temperature (</w:t>
      </w:r>
      <w:r w:rsidR="00313DBE" w:rsidRPr="000E0FA4">
        <w:rPr>
          <w:rFonts w:eastAsia="Arial Unicode MS" w:hint="eastAsia"/>
        </w:rPr>
        <w:t>°</w:t>
      </w:r>
      <w:r w:rsidR="00313DBE" w:rsidRPr="000E0FA4">
        <w:rPr>
          <w:rFonts w:eastAsia="Arial Unicode MS"/>
        </w:rPr>
        <w:t>C) in living room (L), bedroom (B) and outside (O)</w:t>
      </w:r>
    </w:p>
    <w:tbl>
      <w:tblPr>
        <w:tblW w:w="5000" w:type="pct"/>
        <w:tblBorders>
          <w:top w:val="single" w:sz="18" w:space="0" w:color="auto"/>
          <w:bottom w:val="single" w:sz="18" w:space="0" w:color="auto"/>
        </w:tblBorders>
        <w:tblLook w:val="04A0" w:firstRow="1" w:lastRow="0" w:firstColumn="1" w:lastColumn="0" w:noHBand="0" w:noVBand="1"/>
      </w:tblPr>
      <w:tblGrid>
        <w:gridCol w:w="525"/>
        <w:gridCol w:w="416"/>
        <w:gridCol w:w="569"/>
        <w:gridCol w:w="429"/>
        <w:gridCol w:w="462"/>
        <w:gridCol w:w="556"/>
        <w:gridCol w:w="466"/>
        <w:gridCol w:w="477"/>
        <w:gridCol w:w="420"/>
        <w:gridCol w:w="564"/>
        <w:gridCol w:w="564"/>
        <w:gridCol w:w="13"/>
        <w:gridCol w:w="460"/>
        <w:gridCol w:w="469"/>
        <w:gridCol w:w="423"/>
        <w:gridCol w:w="11"/>
        <w:gridCol w:w="394"/>
        <w:gridCol w:w="7"/>
        <w:gridCol w:w="564"/>
        <w:gridCol w:w="431"/>
        <w:gridCol w:w="11"/>
        <w:gridCol w:w="542"/>
        <w:gridCol w:w="9"/>
        <w:gridCol w:w="460"/>
      </w:tblGrid>
      <w:tr w:rsidR="00313DBE" w:rsidRPr="00532A5F" w:rsidTr="00755C7E">
        <w:tc>
          <w:tcPr>
            <w:tcW w:w="284" w:type="pct"/>
            <w:tcBorders>
              <w:top w:val="single" w:sz="2" w:space="0" w:color="auto"/>
              <w:bottom w:val="single" w:sz="2" w:space="0" w:color="auto"/>
              <w:right w:val="single" w:sz="2" w:space="0" w:color="BFBFBF" w:themeColor="background1" w:themeShade="BF"/>
            </w:tcBorders>
            <w:vAlign w:val="center"/>
          </w:tcPr>
          <w:p w:rsidR="00313DBE" w:rsidRPr="00B627BB" w:rsidRDefault="00313DBE" w:rsidP="00992A9E">
            <w:pPr>
              <w:pStyle w:val="NoSpacing"/>
              <w:ind w:left="-12" w:right="-94" w:hanging="130"/>
              <w:jc w:val="center"/>
              <w:rPr>
                <w:rFonts w:asciiTheme="minorHAnsi" w:hAnsiTheme="minorHAnsi"/>
                <w:sz w:val="20"/>
                <w:szCs w:val="20"/>
              </w:rPr>
            </w:pPr>
          </w:p>
        </w:tc>
        <w:tc>
          <w:tcPr>
            <w:tcW w:w="765" w:type="pct"/>
            <w:gridSpan w:val="3"/>
            <w:tcBorders>
              <w:top w:val="single" w:sz="2" w:space="0" w:color="auto"/>
              <w:left w:val="single" w:sz="2" w:space="0" w:color="BFBFBF" w:themeColor="background1" w:themeShade="BF"/>
              <w:bottom w:val="single" w:sz="2" w:space="0" w:color="auto"/>
              <w:right w:val="single" w:sz="2" w:space="0" w:color="BFBFBF" w:themeColor="background1" w:themeShade="BF"/>
            </w:tcBorders>
            <w:vAlign w:val="center"/>
          </w:tcPr>
          <w:p w:rsidR="00313DBE" w:rsidRPr="00B627BB" w:rsidRDefault="00313DBE" w:rsidP="00992A9E">
            <w:pPr>
              <w:pStyle w:val="NoSpacing"/>
              <w:jc w:val="center"/>
              <w:rPr>
                <w:rFonts w:asciiTheme="minorHAnsi" w:hAnsiTheme="minorHAnsi"/>
                <w:sz w:val="20"/>
                <w:szCs w:val="20"/>
              </w:rPr>
            </w:pPr>
            <w:r w:rsidRPr="00B627BB">
              <w:rPr>
                <w:rFonts w:asciiTheme="minorHAnsi" w:hAnsiTheme="minorHAnsi"/>
                <w:sz w:val="20"/>
                <w:szCs w:val="20"/>
              </w:rPr>
              <w:t>No.1</w:t>
            </w:r>
          </w:p>
        </w:tc>
        <w:tc>
          <w:tcPr>
            <w:tcW w:w="803" w:type="pct"/>
            <w:gridSpan w:val="3"/>
            <w:tcBorders>
              <w:top w:val="single" w:sz="2" w:space="0" w:color="auto"/>
              <w:left w:val="single" w:sz="2" w:space="0" w:color="BFBFBF" w:themeColor="background1" w:themeShade="BF"/>
              <w:bottom w:val="single" w:sz="2" w:space="0" w:color="auto"/>
              <w:right w:val="single" w:sz="2" w:space="0" w:color="BFBFBF" w:themeColor="background1" w:themeShade="BF"/>
            </w:tcBorders>
            <w:vAlign w:val="center"/>
          </w:tcPr>
          <w:p w:rsidR="00313DBE" w:rsidRPr="00B627BB" w:rsidRDefault="00313DBE" w:rsidP="00992A9E">
            <w:pPr>
              <w:pStyle w:val="NoSpacing"/>
              <w:jc w:val="center"/>
              <w:rPr>
                <w:rFonts w:asciiTheme="minorHAnsi" w:hAnsiTheme="minorHAnsi"/>
                <w:sz w:val="20"/>
                <w:szCs w:val="20"/>
              </w:rPr>
            </w:pPr>
            <w:r w:rsidRPr="00B627BB">
              <w:rPr>
                <w:rFonts w:asciiTheme="minorHAnsi" w:hAnsiTheme="minorHAnsi"/>
                <w:sz w:val="20"/>
                <w:szCs w:val="20"/>
              </w:rPr>
              <w:t>No.2</w:t>
            </w:r>
          </w:p>
        </w:tc>
        <w:tc>
          <w:tcPr>
            <w:tcW w:w="790" w:type="pct"/>
            <w:gridSpan w:val="3"/>
            <w:tcBorders>
              <w:top w:val="single" w:sz="2" w:space="0" w:color="auto"/>
              <w:left w:val="single" w:sz="2" w:space="0" w:color="BFBFBF" w:themeColor="background1" w:themeShade="BF"/>
              <w:bottom w:val="single" w:sz="2" w:space="0" w:color="auto"/>
              <w:right w:val="single" w:sz="2" w:space="0" w:color="BFBFBF" w:themeColor="background1" w:themeShade="BF"/>
            </w:tcBorders>
            <w:vAlign w:val="center"/>
          </w:tcPr>
          <w:p w:rsidR="00313DBE" w:rsidRPr="00B627BB" w:rsidRDefault="00313DBE" w:rsidP="00992A9E">
            <w:pPr>
              <w:pStyle w:val="NoSpacing"/>
              <w:jc w:val="center"/>
              <w:rPr>
                <w:rFonts w:asciiTheme="minorHAnsi" w:hAnsiTheme="minorHAnsi"/>
                <w:sz w:val="20"/>
                <w:szCs w:val="20"/>
              </w:rPr>
            </w:pPr>
            <w:r w:rsidRPr="00B627BB">
              <w:rPr>
                <w:rFonts w:asciiTheme="minorHAnsi" w:hAnsiTheme="minorHAnsi"/>
                <w:sz w:val="20"/>
                <w:szCs w:val="20"/>
              </w:rPr>
              <w:t>No.3</w:t>
            </w:r>
          </w:p>
        </w:tc>
        <w:tc>
          <w:tcPr>
            <w:tcW w:w="815" w:type="pct"/>
            <w:gridSpan w:val="4"/>
            <w:tcBorders>
              <w:top w:val="single" w:sz="2" w:space="0" w:color="auto"/>
              <w:left w:val="single" w:sz="2" w:space="0" w:color="BFBFBF" w:themeColor="background1" w:themeShade="BF"/>
              <w:bottom w:val="single" w:sz="2" w:space="0" w:color="auto"/>
              <w:right w:val="single" w:sz="2" w:space="0" w:color="BFBFBF" w:themeColor="background1" w:themeShade="BF"/>
            </w:tcBorders>
            <w:vAlign w:val="center"/>
          </w:tcPr>
          <w:p w:rsidR="00313DBE" w:rsidRPr="00B627BB" w:rsidRDefault="00313DBE" w:rsidP="00992A9E">
            <w:pPr>
              <w:pStyle w:val="NoSpacing"/>
              <w:jc w:val="center"/>
              <w:rPr>
                <w:rFonts w:asciiTheme="minorHAnsi" w:hAnsiTheme="minorHAnsi"/>
                <w:sz w:val="20"/>
                <w:szCs w:val="20"/>
              </w:rPr>
            </w:pPr>
            <w:r w:rsidRPr="00B627BB">
              <w:rPr>
                <w:rFonts w:asciiTheme="minorHAnsi" w:hAnsiTheme="minorHAnsi"/>
                <w:sz w:val="20"/>
                <w:szCs w:val="20"/>
              </w:rPr>
              <w:t>No.4</w:t>
            </w:r>
          </w:p>
        </w:tc>
        <w:tc>
          <w:tcPr>
            <w:tcW w:w="757" w:type="pct"/>
            <w:gridSpan w:val="5"/>
            <w:tcBorders>
              <w:top w:val="single" w:sz="2" w:space="0" w:color="auto"/>
              <w:left w:val="single" w:sz="2" w:space="0" w:color="BFBFBF" w:themeColor="background1" w:themeShade="BF"/>
              <w:bottom w:val="single" w:sz="2" w:space="0" w:color="auto"/>
              <w:right w:val="single" w:sz="2" w:space="0" w:color="BFBFBF" w:themeColor="background1" w:themeShade="BF"/>
            </w:tcBorders>
            <w:vAlign w:val="center"/>
          </w:tcPr>
          <w:p w:rsidR="00313DBE" w:rsidRPr="00B627BB" w:rsidRDefault="00313DBE" w:rsidP="00992A9E">
            <w:pPr>
              <w:pStyle w:val="NoSpacing"/>
              <w:jc w:val="center"/>
              <w:rPr>
                <w:rFonts w:asciiTheme="minorHAnsi" w:hAnsiTheme="minorHAnsi"/>
                <w:sz w:val="20"/>
                <w:szCs w:val="20"/>
              </w:rPr>
            </w:pPr>
            <w:r w:rsidRPr="00B627BB">
              <w:rPr>
                <w:rFonts w:asciiTheme="minorHAnsi" w:hAnsiTheme="minorHAnsi"/>
                <w:sz w:val="20"/>
                <w:szCs w:val="20"/>
              </w:rPr>
              <w:t>No.5</w:t>
            </w:r>
          </w:p>
        </w:tc>
        <w:tc>
          <w:tcPr>
            <w:tcW w:w="786" w:type="pct"/>
            <w:gridSpan w:val="5"/>
            <w:tcBorders>
              <w:top w:val="single" w:sz="2" w:space="0" w:color="auto"/>
              <w:left w:val="single" w:sz="2" w:space="0" w:color="BFBFBF" w:themeColor="background1" w:themeShade="BF"/>
              <w:bottom w:val="single" w:sz="2" w:space="0" w:color="auto"/>
            </w:tcBorders>
            <w:vAlign w:val="center"/>
          </w:tcPr>
          <w:p w:rsidR="00313DBE" w:rsidRPr="00B627BB" w:rsidRDefault="00313DBE" w:rsidP="00992A9E">
            <w:pPr>
              <w:pStyle w:val="NoSpacing"/>
              <w:jc w:val="center"/>
              <w:rPr>
                <w:rFonts w:asciiTheme="minorHAnsi" w:hAnsiTheme="minorHAnsi"/>
                <w:sz w:val="20"/>
                <w:szCs w:val="20"/>
              </w:rPr>
            </w:pPr>
            <w:r w:rsidRPr="00B627BB">
              <w:rPr>
                <w:rFonts w:asciiTheme="minorHAnsi" w:hAnsiTheme="minorHAnsi"/>
                <w:sz w:val="20"/>
                <w:szCs w:val="20"/>
              </w:rPr>
              <w:t>No.6</w:t>
            </w:r>
          </w:p>
        </w:tc>
      </w:tr>
      <w:tr w:rsidR="0056579F" w:rsidRPr="00532A5F" w:rsidTr="00755C7E">
        <w:tc>
          <w:tcPr>
            <w:tcW w:w="284" w:type="pct"/>
            <w:tcBorders>
              <w:top w:val="single" w:sz="2" w:space="0" w:color="auto"/>
              <w:bottom w:val="single" w:sz="2" w:space="0" w:color="auto"/>
              <w:right w:val="single" w:sz="2" w:space="0" w:color="BFBFBF" w:themeColor="background1" w:themeShade="BF"/>
            </w:tcBorders>
            <w:vAlign w:val="center"/>
          </w:tcPr>
          <w:p w:rsidR="00313DBE" w:rsidRPr="00B627BB" w:rsidRDefault="00313DBE" w:rsidP="00992A9E">
            <w:pPr>
              <w:pStyle w:val="NoSpacing"/>
              <w:ind w:left="-12" w:right="-94" w:hanging="130"/>
              <w:jc w:val="center"/>
              <w:rPr>
                <w:rFonts w:asciiTheme="minorHAnsi" w:hAnsiTheme="minorHAnsi"/>
                <w:sz w:val="20"/>
                <w:szCs w:val="20"/>
              </w:rPr>
            </w:pPr>
          </w:p>
        </w:tc>
        <w:tc>
          <w:tcPr>
            <w:tcW w:w="225" w:type="pct"/>
            <w:tcBorders>
              <w:top w:val="single" w:sz="2" w:space="0" w:color="auto"/>
              <w:left w:val="single" w:sz="2" w:space="0" w:color="BFBFBF" w:themeColor="background1" w:themeShade="BF"/>
              <w:bottom w:val="single" w:sz="2" w:space="0" w:color="auto"/>
            </w:tcBorders>
            <w:vAlign w:val="center"/>
          </w:tcPr>
          <w:p w:rsidR="00313DBE" w:rsidRPr="00B627BB" w:rsidRDefault="00313DBE" w:rsidP="00992A9E">
            <w:pPr>
              <w:pStyle w:val="NoSpacing"/>
              <w:ind w:left="-130" w:right="-96" w:hanging="6"/>
              <w:jc w:val="center"/>
              <w:rPr>
                <w:rFonts w:asciiTheme="minorHAnsi" w:hAnsiTheme="minorHAnsi"/>
                <w:sz w:val="20"/>
                <w:szCs w:val="20"/>
              </w:rPr>
            </w:pPr>
            <w:r w:rsidRPr="00B627BB">
              <w:rPr>
                <w:rFonts w:asciiTheme="minorHAnsi" w:hAnsiTheme="minorHAnsi"/>
                <w:sz w:val="20"/>
                <w:szCs w:val="20"/>
              </w:rPr>
              <w:t>L</w:t>
            </w:r>
          </w:p>
        </w:tc>
        <w:tc>
          <w:tcPr>
            <w:tcW w:w="308" w:type="pct"/>
            <w:tcBorders>
              <w:top w:val="single" w:sz="2" w:space="0" w:color="auto"/>
              <w:bottom w:val="single" w:sz="2" w:space="0" w:color="auto"/>
            </w:tcBorders>
            <w:vAlign w:val="center"/>
          </w:tcPr>
          <w:p w:rsidR="00313DBE" w:rsidRPr="00B627BB" w:rsidRDefault="00313DBE" w:rsidP="00992A9E">
            <w:pPr>
              <w:pStyle w:val="NoSpacing"/>
              <w:ind w:left="-130" w:right="-96" w:hanging="6"/>
              <w:jc w:val="center"/>
              <w:rPr>
                <w:rFonts w:asciiTheme="minorHAnsi" w:hAnsiTheme="minorHAnsi"/>
                <w:sz w:val="20"/>
                <w:szCs w:val="20"/>
              </w:rPr>
            </w:pPr>
            <w:r w:rsidRPr="00B627BB">
              <w:rPr>
                <w:rFonts w:asciiTheme="minorHAnsi" w:hAnsiTheme="minorHAnsi"/>
                <w:sz w:val="20"/>
                <w:szCs w:val="20"/>
              </w:rPr>
              <w:t>B</w:t>
            </w:r>
          </w:p>
        </w:tc>
        <w:tc>
          <w:tcPr>
            <w:tcW w:w="232" w:type="pct"/>
            <w:tcBorders>
              <w:top w:val="single" w:sz="2" w:space="0" w:color="auto"/>
              <w:bottom w:val="single" w:sz="2" w:space="0" w:color="auto"/>
              <w:right w:val="single" w:sz="2" w:space="0" w:color="BFBFBF" w:themeColor="background1" w:themeShade="BF"/>
            </w:tcBorders>
            <w:vAlign w:val="center"/>
          </w:tcPr>
          <w:p w:rsidR="00313DBE" w:rsidRPr="00B627BB" w:rsidRDefault="00313DBE" w:rsidP="00992A9E">
            <w:pPr>
              <w:pStyle w:val="NoSpacing"/>
              <w:ind w:left="-70" w:right="-94"/>
              <w:jc w:val="center"/>
              <w:rPr>
                <w:rFonts w:asciiTheme="minorHAnsi" w:hAnsiTheme="minorHAnsi"/>
                <w:sz w:val="20"/>
                <w:szCs w:val="20"/>
              </w:rPr>
            </w:pPr>
            <w:r w:rsidRPr="00B627BB">
              <w:rPr>
                <w:rFonts w:asciiTheme="minorHAnsi" w:hAnsiTheme="minorHAnsi"/>
                <w:sz w:val="20"/>
                <w:szCs w:val="20"/>
              </w:rPr>
              <w:t>O</w:t>
            </w:r>
          </w:p>
        </w:tc>
        <w:tc>
          <w:tcPr>
            <w:tcW w:w="250" w:type="pct"/>
            <w:tcBorders>
              <w:top w:val="single" w:sz="2" w:space="0" w:color="auto"/>
              <w:left w:val="single" w:sz="2" w:space="0" w:color="BFBFBF" w:themeColor="background1" w:themeShade="BF"/>
              <w:bottom w:val="single" w:sz="2" w:space="0" w:color="auto"/>
            </w:tcBorders>
            <w:vAlign w:val="center"/>
          </w:tcPr>
          <w:p w:rsidR="00313DBE" w:rsidRPr="00B627BB" w:rsidRDefault="00313DBE" w:rsidP="00992A9E">
            <w:pPr>
              <w:pStyle w:val="NoSpacing"/>
              <w:ind w:left="-46"/>
              <w:jc w:val="center"/>
              <w:rPr>
                <w:rFonts w:asciiTheme="minorHAnsi" w:hAnsiTheme="minorHAnsi"/>
                <w:sz w:val="20"/>
                <w:szCs w:val="20"/>
              </w:rPr>
            </w:pPr>
            <w:r w:rsidRPr="00B627BB">
              <w:rPr>
                <w:rFonts w:asciiTheme="minorHAnsi" w:hAnsiTheme="minorHAnsi"/>
                <w:sz w:val="20"/>
                <w:szCs w:val="20"/>
              </w:rPr>
              <w:t>L</w:t>
            </w:r>
          </w:p>
        </w:tc>
        <w:tc>
          <w:tcPr>
            <w:tcW w:w="301" w:type="pct"/>
            <w:tcBorders>
              <w:top w:val="single" w:sz="2" w:space="0" w:color="auto"/>
              <w:bottom w:val="single" w:sz="2" w:space="0" w:color="auto"/>
            </w:tcBorders>
            <w:vAlign w:val="center"/>
          </w:tcPr>
          <w:p w:rsidR="00313DBE" w:rsidRPr="00B627BB" w:rsidRDefault="00313DBE" w:rsidP="00992A9E">
            <w:pPr>
              <w:pStyle w:val="NoSpacing"/>
              <w:ind w:left="-46"/>
              <w:jc w:val="center"/>
              <w:rPr>
                <w:rFonts w:asciiTheme="minorHAnsi" w:hAnsiTheme="minorHAnsi"/>
                <w:sz w:val="20"/>
                <w:szCs w:val="20"/>
              </w:rPr>
            </w:pPr>
            <w:r w:rsidRPr="00B627BB">
              <w:rPr>
                <w:rFonts w:asciiTheme="minorHAnsi" w:hAnsiTheme="minorHAnsi"/>
                <w:sz w:val="20"/>
                <w:szCs w:val="20"/>
              </w:rPr>
              <w:t>B</w:t>
            </w:r>
          </w:p>
        </w:tc>
        <w:tc>
          <w:tcPr>
            <w:tcW w:w="252" w:type="pct"/>
            <w:tcBorders>
              <w:top w:val="single" w:sz="2" w:space="0" w:color="auto"/>
              <w:bottom w:val="single" w:sz="2" w:space="0" w:color="auto"/>
              <w:right w:val="single" w:sz="2" w:space="0" w:color="BFBFBF" w:themeColor="background1" w:themeShade="BF"/>
            </w:tcBorders>
            <w:vAlign w:val="center"/>
          </w:tcPr>
          <w:p w:rsidR="00313DBE" w:rsidRPr="00B627BB" w:rsidRDefault="00313DBE" w:rsidP="00992A9E">
            <w:pPr>
              <w:pStyle w:val="NoSpacing"/>
              <w:ind w:left="-46"/>
              <w:jc w:val="center"/>
              <w:rPr>
                <w:rFonts w:asciiTheme="minorHAnsi" w:hAnsiTheme="minorHAnsi"/>
                <w:sz w:val="20"/>
                <w:szCs w:val="20"/>
              </w:rPr>
            </w:pPr>
            <w:r w:rsidRPr="00B627BB">
              <w:rPr>
                <w:rFonts w:asciiTheme="minorHAnsi" w:hAnsiTheme="minorHAnsi"/>
                <w:sz w:val="20"/>
                <w:szCs w:val="20"/>
              </w:rPr>
              <w:t>O</w:t>
            </w:r>
          </w:p>
        </w:tc>
        <w:tc>
          <w:tcPr>
            <w:tcW w:w="258" w:type="pct"/>
            <w:tcBorders>
              <w:top w:val="single" w:sz="2" w:space="0" w:color="auto"/>
              <w:left w:val="single" w:sz="2" w:space="0" w:color="BFBFBF" w:themeColor="background1" w:themeShade="BF"/>
              <w:bottom w:val="single" w:sz="2" w:space="0" w:color="auto"/>
            </w:tcBorders>
            <w:vAlign w:val="center"/>
          </w:tcPr>
          <w:p w:rsidR="00313DBE" w:rsidRPr="00B627BB" w:rsidRDefault="00313DBE" w:rsidP="00992A9E">
            <w:pPr>
              <w:pStyle w:val="NoSpacing"/>
              <w:ind w:left="-55" w:right="-62" w:firstLine="12"/>
              <w:jc w:val="center"/>
              <w:rPr>
                <w:rFonts w:asciiTheme="minorHAnsi" w:hAnsiTheme="minorHAnsi"/>
                <w:sz w:val="20"/>
                <w:szCs w:val="20"/>
              </w:rPr>
            </w:pPr>
            <w:r w:rsidRPr="00B627BB">
              <w:rPr>
                <w:rFonts w:asciiTheme="minorHAnsi" w:hAnsiTheme="minorHAnsi"/>
                <w:sz w:val="20"/>
                <w:szCs w:val="20"/>
              </w:rPr>
              <w:t>L</w:t>
            </w:r>
          </w:p>
        </w:tc>
        <w:tc>
          <w:tcPr>
            <w:tcW w:w="227" w:type="pct"/>
            <w:tcBorders>
              <w:top w:val="single" w:sz="2" w:space="0" w:color="auto"/>
              <w:bottom w:val="single" w:sz="2" w:space="0" w:color="auto"/>
            </w:tcBorders>
            <w:vAlign w:val="center"/>
          </w:tcPr>
          <w:p w:rsidR="00313DBE" w:rsidRPr="00B627BB" w:rsidRDefault="00313DBE" w:rsidP="00992A9E">
            <w:pPr>
              <w:pStyle w:val="NoSpacing"/>
              <w:ind w:left="-55" w:right="-62" w:firstLine="12"/>
              <w:jc w:val="center"/>
              <w:rPr>
                <w:rFonts w:asciiTheme="minorHAnsi" w:hAnsiTheme="minorHAnsi"/>
                <w:sz w:val="20"/>
                <w:szCs w:val="20"/>
              </w:rPr>
            </w:pPr>
            <w:r w:rsidRPr="00B627BB">
              <w:rPr>
                <w:rFonts w:asciiTheme="minorHAnsi" w:hAnsiTheme="minorHAnsi"/>
                <w:sz w:val="20"/>
                <w:szCs w:val="20"/>
              </w:rPr>
              <w:t>B</w:t>
            </w:r>
          </w:p>
        </w:tc>
        <w:tc>
          <w:tcPr>
            <w:tcW w:w="305" w:type="pct"/>
            <w:tcBorders>
              <w:top w:val="single" w:sz="2" w:space="0" w:color="auto"/>
              <w:bottom w:val="single" w:sz="2" w:space="0" w:color="auto"/>
              <w:right w:val="single" w:sz="2" w:space="0" w:color="BFBFBF" w:themeColor="background1" w:themeShade="BF"/>
            </w:tcBorders>
            <w:vAlign w:val="center"/>
          </w:tcPr>
          <w:p w:rsidR="00313DBE" w:rsidRPr="00B627BB" w:rsidRDefault="00313DBE" w:rsidP="00992A9E">
            <w:pPr>
              <w:pStyle w:val="NoSpacing"/>
              <w:ind w:left="-55" w:right="-62" w:firstLine="12"/>
              <w:jc w:val="center"/>
              <w:rPr>
                <w:rFonts w:asciiTheme="minorHAnsi" w:hAnsiTheme="minorHAnsi"/>
                <w:sz w:val="20"/>
                <w:szCs w:val="20"/>
              </w:rPr>
            </w:pPr>
            <w:r w:rsidRPr="00B627BB">
              <w:rPr>
                <w:rFonts w:asciiTheme="minorHAnsi" w:hAnsiTheme="minorHAnsi"/>
                <w:sz w:val="20"/>
                <w:szCs w:val="20"/>
              </w:rPr>
              <w:t>O</w:t>
            </w:r>
          </w:p>
        </w:tc>
        <w:tc>
          <w:tcPr>
            <w:tcW w:w="312" w:type="pct"/>
            <w:gridSpan w:val="2"/>
            <w:tcBorders>
              <w:top w:val="single" w:sz="2" w:space="0" w:color="auto"/>
              <w:left w:val="single" w:sz="2" w:space="0" w:color="BFBFBF" w:themeColor="background1" w:themeShade="BF"/>
              <w:bottom w:val="single" w:sz="2" w:space="0" w:color="auto"/>
            </w:tcBorders>
            <w:vAlign w:val="center"/>
          </w:tcPr>
          <w:p w:rsidR="00313DBE" w:rsidRPr="00B627BB" w:rsidRDefault="00313DBE" w:rsidP="00992A9E">
            <w:pPr>
              <w:pStyle w:val="NoSpacing"/>
              <w:jc w:val="center"/>
              <w:rPr>
                <w:rFonts w:asciiTheme="minorHAnsi" w:hAnsiTheme="minorHAnsi"/>
                <w:sz w:val="20"/>
                <w:szCs w:val="20"/>
              </w:rPr>
            </w:pPr>
            <w:r w:rsidRPr="00B627BB">
              <w:rPr>
                <w:rFonts w:asciiTheme="minorHAnsi" w:hAnsiTheme="minorHAnsi"/>
                <w:sz w:val="20"/>
                <w:szCs w:val="20"/>
              </w:rPr>
              <w:t>L</w:t>
            </w:r>
          </w:p>
        </w:tc>
        <w:tc>
          <w:tcPr>
            <w:tcW w:w="249" w:type="pct"/>
            <w:tcBorders>
              <w:top w:val="single" w:sz="2" w:space="0" w:color="auto"/>
              <w:bottom w:val="single" w:sz="2" w:space="0" w:color="auto"/>
            </w:tcBorders>
            <w:vAlign w:val="center"/>
          </w:tcPr>
          <w:p w:rsidR="00313DBE" w:rsidRPr="00B627BB" w:rsidRDefault="00313DBE" w:rsidP="00992A9E">
            <w:pPr>
              <w:pStyle w:val="NoSpacing"/>
              <w:jc w:val="center"/>
              <w:rPr>
                <w:rFonts w:asciiTheme="minorHAnsi" w:hAnsiTheme="minorHAnsi"/>
                <w:sz w:val="20"/>
                <w:szCs w:val="20"/>
              </w:rPr>
            </w:pPr>
            <w:r w:rsidRPr="00B627BB">
              <w:rPr>
                <w:rFonts w:asciiTheme="minorHAnsi" w:hAnsiTheme="minorHAnsi"/>
                <w:sz w:val="20"/>
                <w:szCs w:val="20"/>
              </w:rPr>
              <w:t>B</w:t>
            </w:r>
          </w:p>
        </w:tc>
        <w:tc>
          <w:tcPr>
            <w:tcW w:w="254" w:type="pct"/>
            <w:tcBorders>
              <w:top w:val="single" w:sz="2" w:space="0" w:color="auto"/>
              <w:bottom w:val="single" w:sz="2" w:space="0" w:color="auto"/>
              <w:right w:val="single" w:sz="2" w:space="0" w:color="BFBFBF" w:themeColor="background1" w:themeShade="BF"/>
            </w:tcBorders>
            <w:vAlign w:val="center"/>
          </w:tcPr>
          <w:p w:rsidR="00313DBE" w:rsidRPr="00B627BB" w:rsidRDefault="00313DBE" w:rsidP="00992A9E">
            <w:pPr>
              <w:pStyle w:val="NoSpacing"/>
              <w:jc w:val="center"/>
              <w:rPr>
                <w:rFonts w:asciiTheme="minorHAnsi" w:hAnsiTheme="minorHAnsi"/>
                <w:sz w:val="20"/>
                <w:szCs w:val="20"/>
              </w:rPr>
            </w:pPr>
            <w:r w:rsidRPr="00B627BB">
              <w:rPr>
                <w:rFonts w:asciiTheme="minorHAnsi" w:hAnsiTheme="minorHAnsi"/>
                <w:sz w:val="20"/>
                <w:szCs w:val="20"/>
              </w:rPr>
              <w:t>O</w:t>
            </w:r>
          </w:p>
        </w:tc>
        <w:tc>
          <w:tcPr>
            <w:tcW w:w="235" w:type="pct"/>
            <w:gridSpan w:val="2"/>
            <w:tcBorders>
              <w:top w:val="single" w:sz="2" w:space="0" w:color="auto"/>
              <w:left w:val="single" w:sz="2" w:space="0" w:color="BFBFBF" w:themeColor="background1" w:themeShade="BF"/>
              <w:bottom w:val="single" w:sz="2" w:space="0" w:color="auto"/>
            </w:tcBorders>
            <w:vAlign w:val="center"/>
          </w:tcPr>
          <w:p w:rsidR="00313DBE" w:rsidRPr="00B627BB" w:rsidRDefault="00313DBE" w:rsidP="00992A9E">
            <w:pPr>
              <w:pStyle w:val="NoSpacing"/>
              <w:ind w:left="-116" w:right="-115"/>
              <w:jc w:val="center"/>
              <w:rPr>
                <w:rFonts w:asciiTheme="minorHAnsi" w:hAnsiTheme="minorHAnsi"/>
                <w:sz w:val="20"/>
                <w:szCs w:val="20"/>
              </w:rPr>
            </w:pPr>
            <w:r w:rsidRPr="00B627BB">
              <w:rPr>
                <w:rFonts w:asciiTheme="minorHAnsi" w:hAnsiTheme="minorHAnsi"/>
                <w:sz w:val="20"/>
                <w:szCs w:val="20"/>
              </w:rPr>
              <w:t>L</w:t>
            </w:r>
          </w:p>
        </w:tc>
        <w:tc>
          <w:tcPr>
            <w:tcW w:w="217" w:type="pct"/>
            <w:gridSpan w:val="2"/>
            <w:tcBorders>
              <w:top w:val="single" w:sz="2" w:space="0" w:color="auto"/>
              <w:bottom w:val="single" w:sz="2" w:space="0" w:color="auto"/>
            </w:tcBorders>
            <w:vAlign w:val="center"/>
          </w:tcPr>
          <w:p w:rsidR="00313DBE" w:rsidRPr="00B627BB" w:rsidRDefault="00313DBE" w:rsidP="00992A9E">
            <w:pPr>
              <w:pStyle w:val="NoSpacing"/>
              <w:ind w:left="-116" w:right="-115"/>
              <w:jc w:val="center"/>
              <w:rPr>
                <w:rFonts w:asciiTheme="minorHAnsi" w:hAnsiTheme="minorHAnsi"/>
                <w:sz w:val="20"/>
                <w:szCs w:val="20"/>
              </w:rPr>
            </w:pPr>
            <w:r w:rsidRPr="00B627BB">
              <w:rPr>
                <w:rFonts w:asciiTheme="minorHAnsi" w:hAnsiTheme="minorHAnsi"/>
                <w:sz w:val="20"/>
                <w:szCs w:val="20"/>
              </w:rPr>
              <w:t>B</w:t>
            </w:r>
          </w:p>
        </w:tc>
        <w:tc>
          <w:tcPr>
            <w:tcW w:w="305" w:type="pct"/>
            <w:tcBorders>
              <w:top w:val="single" w:sz="2" w:space="0" w:color="auto"/>
              <w:bottom w:val="single" w:sz="2" w:space="0" w:color="auto"/>
              <w:right w:val="single" w:sz="2" w:space="0" w:color="BFBFBF" w:themeColor="background1" w:themeShade="BF"/>
            </w:tcBorders>
            <w:vAlign w:val="center"/>
          </w:tcPr>
          <w:p w:rsidR="00313DBE" w:rsidRPr="00B627BB" w:rsidRDefault="00313DBE" w:rsidP="00992A9E">
            <w:pPr>
              <w:pStyle w:val="NoSpacing"/>
              <w:ind w:left="-116" w:right="-115"/>
              <w:jc w:val="center"/>
              <w:rPr>
                <w:rFonts w:asciiTheme="minorHAnsi" w:hAnsiTheme="minorHAnsi"/>
                <w:sz w:val="20"/>
                <w:szCs w:val="20"/>
              </w:rPr>
            </w:pPr>
            <w:r w:rsidRPr="00B627BB">
              <w:rPr>
                <w:rFonts w:asciiTheme="minorHAnsi" w:hAnsiTheme="minorHAnsi"/>
                <w:sz w:val="20"/>
                <w:szCs w:val="20"/>
              </w:rPr>
              <w:t>O</w:t>
            </w:r>
          </w:p>
        </w:tc>
        <w:tc>
          <w:tcPr>
            <w:tcW w:w="239" w:type="pct"/>
            <w:gridSpan w:val="2"/>
            <w:tcBorders>
              <w:top w:val="single" w:sz="2" w:space="0" w:color="auto"/>
              <w:left w:val="single" w:sz="2" w:space="0" w:color="BFBFBF" w:themeColor="background1" w:themeShade="BF"/>
              <w:bottom w:val="single" w:sz="2" w:space="0" w:color="auto"/>
            </w:tcBorders>
            <w:vAlign w:val="center"/>
          </w:tcPr>
          <w:p w:rsidR="00313DBE" w:rsidRPr="00B627BB" w:rsidRDefault="00313DBE" w:rsidP="00992A9E">
            <w:pPr>
              <w:pStyle w:val="NoSpacing"/>
              <w:ind w:left="-48" w:right="-98"/>
              <w:jc w:val="center"/>
              <w:rPr>
                <w:rFonts w:asciiTheme="minorHAnsi" w:hAnsiTheme="minorHAnsi"/>
                <w:sz w:val="20"/>
                <w:szCs w:val="20"/>
              </w:rPr>
            </w:pPr>
            <w:r w:rsidRPr="00B627BB">
              <w:rPr>
                <w:rFonts w:asciiTheme="minorHAnsi" w:hAnsiTheme="minorHAnsi"/>
                <w:sz w:val="20"/>
                <w:szCs w:val="20"/>
              </w:rPr>
              <w:t>L</w:t>
            </w:r>
          </w:p>
        </w:tc>
        <w:tc>
          <w:tcPr>
            <w:tcW w:w="298" w:type="pct"/>
            <w:gridSpan w:val="2"/>
            <w:tcBorders>
              <w:top w:val="single" w:sz="2" w:space="0" w:color="auto"/>
              <w:bottom w:val="single" w:sz="2" w:space="0" w:color="auto"/>
            </w:tcBorders>
            <w:vAlign w:val="center"/>
          </w:tcPr>
          <w:p w:rsidR="00313DBE" w:rsidRPr="00B627BB" w:rsidRDefault="00313DBE" w:rsidP="00992A9E">
            <w:pPr>
              <w:pStyle w:val="16TableText"/>
              <w:ind w:left="-48" w:right="-22" w:firstLine="0"/>
              <w:rPr>
                <w:rFonts w:asciiTheme="minorHAnsi" w:eastAsia="Arial Unicode MS" w:hAnsiTheme="minorHAnsi" w:cs="Arial Unicode MS"/>
                <w:sz w:val="20"/>
              </w:rPr>
            </w:pPr>
            <w:r w:rsidRPr="00B627BB">
              <w:rPr>
                <w:rFonts w:asciiTheme="minorHAnsi" w:eastAsia="Arial Unicode MS" w:hAnsiTheme="minorHAnsi" w:cs="Arial Unicode MS"/>
                <w:sz w:val="20"/>
              </w:rPr>
              <w:t>B</w:t>
            </w:r>
          </w:p>
        </w:tc>
        <w:tc>
          <w:tcPr>
            <w:tcW w:w="249" w:type="pct"/>
            <w:tcBorders>
              <w:top w:val="single" w:sz="2" w:space="0" w:color="auto"/>
              <w:bottom w:val="single" w:sz="2" w:space="0" w:color="auto"/>
            </w:tcBorders>
            <w:vAlign w:val="center"/>
          </w:tcPr>
          <w:p w:rsidR="00313DBE" w:rsidRPr="00B627BB" w:rsidRDefault="00313DBE" w:rsidP="00992A9E">
            <w:pPr>
              <w:pStyle w:val="16TableText"/>
              <w:ind w:left="-118" w:right="-87" w:firstLine="0"/>
              <w:rPr>
                <w:rFonts w:asciiTheme="minorHAnsi" w:eastAsia="Arial Unicode MS" w:hAnsiTheme="minorHAnsi" w:cs="Arial Unicode MS"/>
                <w:sz w:val="20"/>
              </w:rPr>
            </w:pPr>
            <w:r w:rsidRPr="00B627BB">
              <w:rPr>
                <w:rFonts w:asciiTheme="minorHAnsi" w:eastAsia="Arial Unicode MS" w:hAnsiTheme="minorHAnsi" w:cs="Arial Unicode MS"/>
                <w:sz w:val="20"/>
              </w:rPr>
              <w:t>O</w:t>
            </w:r>
          </w:p>
        </w:tc>
      </w:tr>
      <w:tr w:rsidR="00755C7E" w:rsidRPr="00532A5F" w:rsidTr="00755C7E">
        <w:tc>
          <w:tcPr>
            <w:tcW w:w="284" w:type="pct"/>
            <w:tcBorders>
              <w:top w:val="single" w:sz="2" w:space="0" w:color="auto"/>
              <w:right w:val="single" w:sz="2" w:space="0" w:color="BFBFBF" w:themeColor="background1" w:themeShade="BF"/>
            </w:tcBorders>
            <w:vAlign w:val="center"/>
          </w:tcPr>
          <w:p w:rsidR="00755C7E" w:rsidRPr="00B627BB" w:rsidRDefault="00755C7E" w:rsidP="00992A9E">
            <w:pPr>
              <w:pStyle w:val="NoSpacing"/>
              <w:ind w:left="-12" w:right="-94" w:hanging="130"/>
              <w:jc w:val="center"/>
              <w:rPr>
                <w:rFonts w:asciiTheme="minorHAnsi" w:hAnsiTheme="minorHAnsi"/>
                <w:sz w:val="20"/>
                <w:szCs w:val="20"/>
              </w:rPr>
            </w:pPr>
            <w:r w:rsidRPr="00B627BB">
              <w:rPr>
                <w:rFonts w:asciiTheme="minorHAnsi" w:hAnsiTheme="minorHAnsi"/>
                <w:sz w:val="20"/>
                <w:szCs w:val="20"/>
              </w:rPr>
              <w:t>Max</w:t>
            </w:r>
          </w:p>
        </w:tc>
        <w:tc>
          <w:tcPr>
            <w:tcW w:w="225" w:type="pct"/>
            <w:tcBorders>
              <w:top w:val="single" w:sz="2" w:space="0" w:color="auto"/>
              <w:left w:val="single" w:sz="2" w:space="0" w:color="BFBFBF" w:themeColor="background1" w:themeShade="BF"/>
            </w:tcBorders>
            <w:vAlign w:val="center"/>
          </w:tcPr>
          <w:p w:rsidR="00755C7E" w:rsidRPr="00B627BB" w:rsidRDefault="00755C7E" w:rsidP="00992A9E">
            <w:pPr>
              <w:pStyle w:val="NoSpacing"/>
              <w:ind w:left="-130" w:right="-96" w:hanging="6"/>
              <w:jc w:val="center"/>
              <w:rPr>
                <w:rFonts w:asciiTheme="minorHAnsi" w:hAnsiTheme="minorHAnsi"/>
                <w:sz w:val="20"/>
                <w:szCs w:val="20"/>
              </w:rPr>
            </w:pPr>
            <w:r>
              <w:rPr>
                <w:rFonts w:asciiTheme="minorHAnsi" w:hAnsiTheme="minorHAnsi"/>
                <w:sz w:val="20"/>
                <w:szCs w:val="20"/>
              </w:rPr>
              <w:t>24.0</w:t>
            </w:r>
          </w:p>
        </w:tc>
        <w:tc>
          <w:tcPr>
            <w:tcW w:w="308" w:type="pct"/>
            <w:tcBorders>
              <w:top w:val="single" w:sz="2" w:space="0" w:color="auto"/>
            </w:tcBorders>
            <w:vAlign w:val="center"/>
          </w:tcPr>
          <w:p w:rsidR="00755C7E" w:rsidRPr="00B627BB" w:rsidRDefault="00755C7E" w:rsidP="00992A9E">
            <w:pPr>
              <w:pStyle w:val="NoSpacing"/>
              <w:ind w:left="-130" w:right="-96" w:hanging="6"/>
              <w:jc w:val="center"/>
              <w:rPr>
                <w:rFonts w:asciiTheme="minorHAnsi" w:hAnsiTheme="minorHAnsi"/>
                <w:sz w:val="20"/>
                <w:szCs w:val="20"/>
              </w:rPr>
            </w:pPr>
            <w:r>
              <w:rPr>
                <w:rFonts w:asciiTheme="minorHAnsi" w:hAnsiTheme="minorHAnsi"/>
                <w:sz w:val="20"/>
                <w:szCs w:val="20"/>
              </w:rPr>
              <w:t>22.4</w:t>
            </w:r>
          </w:p>
        </w:tc>
        <w:tc>
          <w:tcPr>
            <w:tcW w:w="232" w:type="pct"/>
            <w:tcBorders>
              <w:top w:val="single" w:sz="2" w:space="0" w:color="auto"/>
              <w:right w:val="single" w:sz="2" w:space="0" w:color="BFBFBF" w:themeColor="background1" w:themeShade="BF"/>
            </w:tcBorders>
            <w:vAlign w:val="center"/>
          </w:tcPr>
          <w:p w:rsidR="00755C7E" w:rsidRPr="00B627BB" w:rsidRDefault="00755C7E" w:rsidP="00992A9E">
            <w:pPr>
              <w:pStyle w:val="NoSpacing"/>
              <w:ind w:left="-70" w:right="-94"/>
              <w:jc w:val="center"/>
              <w:rPr>
                <w:rFonts w:asciiTheme="minorHAnsi" w:hAnsiTheme="minorHAnsi"/>
                <w:sz w:val="20"/>
                <w:szCs w:val="20"/>
              </w:rPr>
            </w:pPr>
            <w:r>
              <w:rPr>
                <w:rFonts w:asciiTheme="minorHAnsi" w:hAnsiTheme="minorHAnsi"/>
                <w:sz w:val="20"/>
                <w:szCs w:val="20"/>
              </w:rPr>
              <w:t>17.9</w:t>
            </w:r>
          </w:p>
        </w:tc>
        <w:tc>
          <w:tcPr>
            <w:tcW w:w="250" w:type="pct"/>
            <w:tcBorders>
              <w:top w:val="single" w:sz="2" w:space="0" w:color="auto"/>
              <w:left w:val="single" w:sz="2" w:space="0" w:color="BFBFBF" w:themeColor="background1" w:themeShade="BF"/>
            </w:tcBorders>
            <w:vAlign w:val="center"/>
          </w:tcPr>
          <w:p w:rsidR="00755C7E" w:rsidRPr="00B627BB" w:rsidRDefault="00755C7E" w:rsidP="00992A9E">
            <w:pPr>
              <w:pStyle w:val="NoSpacing"/>
              <w:ind w:left="-73" w:right="-38"/>
              <w:jc w:val="center"/>
              <w:rPr>
                <w:rFonts w:asciiTheme="minorHAnsi" w:hAnsiTheme="minorHAnsi"/>
                <w:sz w:val="20"/>
                <w:szCs w:val="20"/>
              </w:rPr>
            </w:pPr>
            <w:r>
              <w:rPr>
                <w:rFonts w:asciiTheme="minorHAnsi" w:hAnsiTheme="minorHAnsi"/>
                <w:sz w:val="20"/>
                <w:szCs w:val="20"/>
              </w:rPr>
              <w:t>25.7</w:t>
            </w:r>
          </w:p>
        </w:tc>
        <w:tc>
          <w:tcPr>
            <w:tcW w:w="301" w:type="pct"/>
            <w:tcBorders>
              <w:top w:val="single" w:sz="2" w:space="0" w:color="auto"/>
            </w:tcBorders>
            <w:vAlign w:val="center"/>
          </w:tcPr>
          <w:p w:rsidR="00755C7E" w:rsidRPr="00B627BB" w:rsidRDefault="00755C7E" w:rsidP="00992A9E">
            <w:pPr>
              <w:pStyle w:val="NoSpacing"/>
              <w:ind w:left="-73" w:right="-38"/>
              <w:jc w:val="center"/>
              <w:rPr>
                <w:rFonts w:asciiTheme="minorHAnsi" w:hAnsiTheme="minorHAnsi"/>
                <w:sz w:val="20"/>
                <w:szCs w:val="20"/>
              </w:rPr>
            </w:pPr>
            <w:r>
              <w:rPr>
                <w:rFonts w:asciiTheme="minorHAnsi" w:hAnsiTheme="minorHAnsi"/>
                <w:sz w:val="20"/>
                <w:szCs w:val="20"/>
              </w:rPr>
              <w:t>27.6</w:t>
            </w:r>
          </w:p>
        </w:tc>
        <w:tc>
          <w:tcPr>
            <w:tcW w:w="252" w:type="pct"/>
            <w:tcBorders>
              <w:top w:val="single" w:sz="2" w:space="0" w:color="auto"/>
              <w:right w:val="single" w:sz="2" w:space="0" w:color="BFBFBF" w:themeColor="background1" w:themeShade="BF"/>
            </w:tcBorders>
            <w:vAlign w:val="center"/>
          </w:tcPr>
          <w:p w:rsidR="00755C7E" w:rsidRPr="00B627BB" w:rsidRDefault="00755C7E" w:rsidP="00992A9E">
            <w:pPr>
              <w:pStyle w:val="NoSpacing"/>
              <w:ind w:left="-73" w:right="-38"/>
              <w:jc w:val="center"/>
              <w:rPr>
                <w:rFonts w:asciiTheme="minorHAnsi" w:hAnsiTheme="minorHAnsi"/>
                <w:sz w:val="20"/>
                <w:szCs w:val="20"/>
              </w:rPr>
            </w:pPr>
            <w:r>
              <w:rPr>
                <w:rFonts w:asciiTheme="minorHAnsi" w:hAnsiTheme="minorHAnsi"/>
                <w:sz w:val="20"/>
                <w:szCs w:val="20"/>
              </w:rPr>
              <w:t>26.2</w:t>
            </w:r>
          </w:p>
        </w:tc>
        <w:tc>
          <w:tcPr>
            <w:tcW w:w="258" w:type="pct"/>
            <w:tcBorders>
              <w:top w:val="single" w:sz="2" w:space="0" w:color="auto"/>
              <w:left w:val="single" w:sz="2" w:space="0" w:color="BFBFBF" w:themeColor="background1" w:themeShade="BF"/>
            </w:tcBorders>
            <w:vAlign w:val="center"/>
          </w:tcPr>
          <w:p w:rsidR="00755C7E" w:rsidRPr="00B627BB" w:rsidRDefault="00755C7E" w:rsidP="00992A9E">
            <w:pPr>
              <w:pStyle w:val="NoSpacing"/>
              <w:ind w:left="-55" w:right="-108" w:firstLine="12"/>
              <w:jc w:val="center"/>
              <w:rPr>
                <w:rFonts w:asciiTheme="minorHAnsi" w:hAnsiTheme="minorHAnsi"/>
                <w:sz w:val="20"/>
                <w:szCs w:val="20"/>
              </w:rPr>
            </w:pPr>
            <w:r>
              <w:rPr>
                <w:rFonts w:asciiTheme="minorHAnsi" w:hAnsiTheme="minorHAnsi"/>
                <w:sz w:val="20"/>
                <w:szCs w:val="20"/>
              </w:rPr>
              <w:t>23.8</w:t>
            </w:r>
          </w:p>
        </w:tc>
        <w:tc>
          <w:tcPr>
            <w:tcW w:w="227" w:type="pct"/>
            <w:tcBorders>
              <w:top w:val="single" w:sz="2" w:space="0" w:color="auto"/>
            </w:tcBorders>
            <w:vAlign w:val="center"/>
          </w:tcPr>
          <w:p w:rsidR="00755C7E" w:rsidRPr="00B627BB" w:rsidRDefault="00755C7E" w:rsidP="00992A9E">
            <w:pPr>
              <w:pStyle w:val="NoSpacing"/>
              <w:ind w:left="-55" w:right="-108" w:firstLine="12"/>
              <w:jc w:val="center"/>
              <w:rPr>
                <w:rFonts w:asciiTheme="minorHAnsi" w:hAnsiTheme="minorHAnsi"/>
                <w:sz w:val="20"/>
                <w:szCs w:val="20"/>
              </w:rPr>
            </w:pPr>
            <w:r>
              <w:rPr>
                <w:rFonts w:asciiTheme="minorHAnsi" w:hAnsiTheme="minorHAnsi"/>
                <w:sz w:val="20"/>
                <w:szCs w:val="20"/>
              </w:rPr>
              <w:t>23.8</w:t>
            </w:r>
          </w:p>
        </w:tc>
        <w:tc>
          <w:tcPr>
            <w:tcW w:w="305" w:type="pct"/>
            <w:tcBorders>
              <w:top w:val="single" w:sz="2" w:space="0" w:color="auto"/>
              <w:right w:val="single" w:sz="2" w:space="0" w:color="BFBFBF" w:themeColor="background1" w:themeShade="BF"/>
            </w:tcBorders>
            <w:vAlign w:val="center"/>
          </w:tcPr>
          <w:p w:rsidR="00755C7E" w:rsidRPr="00B627BB" w:rsidRDefault="00755C7E" w:rsidP="00992A9E">
            <w:pPr>
              <w:pStyle w:val="NoSpacing"/>
              <w:ind w:left="-55" w:right="-108" w:firstLine="12"/>
              <w:jc w:val="center"/>
              <w:rPr>
                <w:rFonts w:asciiTheme="minorHAnsi" w:hAnsiTheme="minorHAnsi"/>
                <w:sz w:val="20"/>
                <w:szCs w:val="20"/>
              </w:rPr>
            </w:pPr>
            <w:r>
              <w:rPr>
                <w:rFonts w:asciiTheme="minorHAnsi" w:hAnsiTheme="minorHAnsi"/>
                <w:sz w:val="20"/>
                <w:szCs w:val="20"/>
              </w:rPr>
              <w:t>21.7</w:t>
            </w:r>
          </w:p>
        </w:tc>
        <w:tc>
          <w:tcPr>
            <w:tcW w:w="305" w:type="pct"/>
            <w:tcBorders>
              <w:top w:val="single" w:sz="2" w:space="0" w:color="auto"/>
              <w:left w:val="single" w:sz="2" w:space="0" w:color="BFBFBF" w:themeColor="background1" w:themeShade="BF"/>
            </w:tcBorders>
            <w:vAlign w:val="bottom"/>
          </w:tcPr>
          <w:p w:rsidR="00755C7E" w:rsidRPr="001C41F7" w:rsidRDefault="00755C7E" w:rsidP="00755C7E">
            <w:pPr>
              <w:ind w:right="-7"/>
              <w:jc w:val="center"/>
              <w:rPr>
                <w:rFonts w:ascii="Calibri" w:hAnsi="Calibri"/>
                <w:color w:val="000000"/>
                <w:szCs w:val="20"/>
              </w:rPr>
            </w:pPr>
            <w:r w:rsidRPr="001C41F7">
              <w:rPr>
                <w:rFonts w:ascii="Calibri" w:hAnsi="Calibri"/>
                <w:color w:val="000000"/>
                <w:szCs w:val="20"/>
              </w:rPr>
              <w:t>23.2</w:t>
            </w:r>
          </w:p>
        </w:tc>
        <w:tc>
          <w:tcPr>
            <w:tcW w:w="256" w:type="pct"/>
            <w:gridSpan w:val="2"/>
            <w:tcBorders>
              <w:top w:val="single" w:sz="2" w:space="0" w:color="auto"/>
            </w:tcBorders>
            <w:vAlign w:val="bottom"/>
          </w:tcPr>
          <w:p w:rsidR="00755C7E" w:rsidRPr="0056579F" w:rsidRDefault="00755C7E" w:rsidP="00755C7E">
            <w:pPr>
              <w:ind w:left="-51" w:right="-100" w:hanging="10"/>
              <w:jc w:val="center"/>
              <w:rPr>
                <w:rFonts w:ascii="Calibri" w:hAnsi="Calibri"/>
                <w:color w:val="000000"/>
                <w:szCs w:val="20"/>
              </w:rPr>
            </w:pPr>
            <w:r w:rsidRPr="0056579F">
              <w:rPr>
                <w:rFonts w:ascii="Calibri" w:hAnsi="Calibri"/>
                <w:color w:val="000000"/>
                <w:szCs w:val="20"/>
              </w:rPr>
              <w:t>22.9</w:t>
            </w:r>
          </w:p>
        </w:tc>
        <w:tc>
          <w:tcPr>
            <w:tcW w:w="254" w:type="pct"/>
            <w:tcBorders>
              <w:top w:val="single" w:sz="2" w:space="0" w:color="auto"/>
              <w:right w:val="single" w:sz="2" w:space="0" w:color="BFBFBF" w:themeColor="background1" w:themeShade="BF"/>
            </w:tcBorders>
            <w:vAlign w:val="bottom"/>
          </w:tcPr>
          <w:p w:rsidR="00755C7E" w:rsidRPr="00755C7E" w:rsidRDefault="00755C7E" w:rsidP="00755C7E">
            <w:pPr>
              <w:ind w:left="-60" w:right="-27" w:hanging="34"/>
              <w:jc w:val="center"/>
              <w:rPr>
                <w:rFonts w:ascii="Calibri" w:hAnsi="Calibri"/>
                <w:color w:val="000000"/>
                <w:szCs w:val="20"/>
              </w:rPr>
            </w:pPr>
            <w:r w:rsidRPr="00755C7E">
              <w:rPr>
                <w:rFonts w:ascii="Calibri" w:hAnsi="Calibri"/>
                <w:color w:val="000000"/>
                <w:szCs w:val="20"/>
              </w:rPr>
              <w:t>18.4</w:t>
            </w:r>
          </w:p>
        </w:tc>
        <w:tc>
          <w:tcPr>
            <w:tcW w:w="229" w:type="pct"/>
            <w:tcBorders>
              <w:top w:val="single" w:sz="2" w:space="0" w:color="auto"/>
              <w:left w:val="single" w:sz="2" w:space="0" w:color="BFBFBF" w:themeColor="background1" w:themeShade="BF"/>
            </w:tcBorders>
            <w:vAlign w:val="center"/>
          </w:tcPr>
          <w:p w:rsidR="00755C7E" w:rsidRPr="00B627BB" w:rsidRDefault="00755C7E" w:rsidP="00992A9E">
            <w:pPr>
              <w:pStyle w:val="NoSpacing"/>
              <w:ind w:left="-116" w:right="-115"/>
              <w:jc w:val="center"/>
              <w:rPr>
                <w:rFonts w:asciiTheme="minorHAnsi" w:hAnsiTheme="minorHAnsi"/>
                <w:sz w:val="20"/>
                <w:szCs w:val="20"/>
              </w:rPr>
            </w:pPr>
            <w:r>
              <w:rPr>
                <w:rFonts w:asciiTheme="minorHAnsi" w:hAnsiTheme="minorHAnsi"/>
                <w:sz w:val="20"/>
                <w:szCs w:val="20"/>
              </w:rPr>
              <w:t>28.2</w:t>
            </w:r>
          </w:p>
        </w:tc>
        <w:tc>
          <w:tcPr>
            <w:tcW w:w="219" w:type="pct"/>
            <w:gridSpan w:val="2"/>
            <w:tcBorders>
              <w:top w:val="single" w:sz="2" w:space="0" w:color="auto"/>
            </w:tcBorders>
            <w:vAlign w:val="center"/>
          </w:tcPr>
          <w:p w:rsidR="00755C7E" w:rsidRPr="00B627BB" w:rsidRDefault="00755C7E" w:rsidP="00992A9E">
            <w:pPr>
              <w:pStyle w:val="NoSpacing"/>
              <w:ind w:left="-116" w:right="-115"/>
              <w:jc w:val="center"/>
              <w:rPr>
                <w:rFonts w:asciiTheme="minorHAnsi" w:hAnsiTheme="minorHAnsi"/>
                <w:sz w:val="20"/>
                <w:szCs w:val="20"/>
              </w:rPr>
            </w:pPr>
            <w:r>
              <w:rPr>
                <w:rFonts w:asciiTheme="minorHAnsi" w:hAnsiTheme="minorHAnsi"/>
                <w:sz w:val="20"/>
                <w:szCs w:val="20"/>
              </w:rPr>
              <w:t>25.2</w:t>
            </w:r>
          </w:p>
        </w:tc>
        <w:tc>
          <w:tcPr>
            <w:tcW w:w="309" w:type="pct"/>
            <w:gridSpan w:val="2"/>
            <w:tcBorders>
              <w:top w:val="single" w:sz="2" w:space="0" w:color="auto"/>
              <w:right w:val="single" w:sz="2" w:space="0" w:color="BFBFBF" w:themeColor="background1" w:themeShade="BF"/>
            </w:tcBorders>
            <w:vAlign w:val="center"/>
          </w:tcPr>
          <w:p w:rsidR="00755C7E" w:rsidRPr="00B627BB" w:rsidRDefault="00755C7E" w:rsidP="00992A9E">
            <w:pPr>
              <w:pStyle w:val="NoSpacing"/>
              <w:ind w:left="-116" w:right="-115"/>
              <w:jc w:val="center"/>
              <w:rPr>
                <w:rFonts w:asciiTheme="minorHAnsi" w:hAnsiTheme="minorHAnsi"/>
                <w:sz w:val="20"/>
                <w:szCs w:val="20"/>
              </w:rPr>
            </w:pPr>
            <w:r>
              <w:rPr>
                <w:rFonts w:asciiTheme="minorHAnsi" w:hAnsiTheme="minorHAnsi"/>
                <w:sz w:val="20"/>
                <w:szCs w:val="20"/>
              </w:rPr>
              <w:t>21.8</w:t>
            </w:r>
          </w:p>
        </w:tc>
        <w:tc>
          <w:tcPr>
            <w:tcW w:w="233" w:type="pct"/>
            <w:tcBorders>
              <w:top w:val="single" w:sz="2" w:space="0" w:color="auto"/>
              <w:left w:val="single" w:sz="2" w:space="0" w:color="BFBFBF" w:themeColor="background1" w:themeShade="BF"/>
            </w:tcBorders>
            <w:vAlign w:val="center"/>
          </w:tcPr>
          <w:p w:rsidR="00755C7E" w:rsidRPr="00B627BB" w:rsidRDefault="00755C7E" w:rsidP="00992A9E">
            <w:pPr>
              <w:pStyle w:val="NoSpacing"/>
              <w:ind w:left="-48" w:right="-98"/>
              <w:jc w:val="center"/>
              <w:rPr>
                <w:rFonts w:asciiTheme="minorHAnsi" w:hAnsiTheme="minorHAnsi"/>
                <w:sz w:val="20"/>
                <w:szCs w:val="20"/>
              </w:rPr>
            </w:pPr>
            <w:r>
              <w:rPr>
                <w:rFonts w:asciiTheme="minorHAnsi" w:hAnsiTheme="minorHAnsi"/>
                <w:sz w:val="20"/>
                <w:szCs w:val="20"/>
              </w:rPr>
              <w:t>25.4</w:t>
            </w:r>
          </w:p>
        </w:tc>
        <w:tc>
          <w:tcPr>
            <w:tcW w:w="299" w:type="pct"/>
            <w:gridSpan w:val="2"/>
            <w:tcBorders>
              <w:top w:val="single" w:sz="2" w:space="0" w:color="auto"/>
            </w:tcBorders>
            <w:vAlign w:val="center"/>
          </w:tcPr>
          <w:p w:rsidR="00755C7E" w:rsidRPr="00B627BB" w:rsidRDefault="00755C7E" w:rsidP="00992A9E">
            <w:pPr>
              <w:pStyle w:val="16TableText"/>
              <w:ind w:left="-48" w:right="-22" w:firstLine="0"/>
              <w:rPr>
                <w:rFonts w:asciiTheme="minorHAnsi" w:eastAsia="Arial Unicode MS" w:hAnsiTheme="minorHAnsi" w:cs="Arial Unicode MS"/>
                <w:sz w:val="20"/>
              </w:rPr>
            </w:pPr>
            <w:r>
              <w:rPr>
                <w:rFonts w:asciiTheme="minorHAnsi" w:eastAsia="Arial Unicode MS" w:hAnsiTheme="minorHAnsi" w:cs="Arial Unicode MS"/>
                <w:sz w:val="20"/>
              </w:rPr>
              <w:t>23.6</w:t>
            </w:r>
          </w:p>
        </w:tc>
        <w:tc>
          <w:tcPr>
            <w:tcW w:w="254" w:type="pct"/>
            <w:gridSpan w:val="2"/>
            <w:tcBorders>
              <w:top w:val="single" w:sz="2" w:space="0" w:color="auto"/>
            </w:tcBorders>
            <w:vAlign w:val="center"/>
          </w:tcPr>
          <w:p w:rsidR="00755C7E" w:rsidRPr="00B627BB" w:rsidRDefault="00755C7E" w:rsidP="00992A9E">
            <w:pPr>
              <w:pStyle w:val="16TableText"/>
              <w:ind w:left="-118" w:right="-87" w:firstLine="0"/>
              <w:rPr>
                <w:rFonts w:asciiTheme="minorHAnsi" w:eastAsia="Arial Unicode MS" w:hAnsiTheme="minorHAnsi" w:cs="Arial Unicode MS"/>
                <w:sz w:val="20"/>
              </w:rPr>
            </w:pPr>
            <w:r>
              <w:rPr>
                <w:rFonts w:asciiTheme="minorHAnsi" w:eastAsia="Arial Unicode MS" w:hAnsiTheme="minorHAnsi" w:cs="Arial Unicode MS"/>
                <w:sz w:val="20"/>
              </w:rPr>
              <w:t>21.6</w:t>
            </w:r>
          </w:p>
        </w:tc>
      </w:tr>
      <w:tr w:rsidR="00755C7E" w:rsidRPr="00532A5F" w:rsidTr="00755C7E">
        <w:tc>
          <w:tcPr>
            <w:tcW w:w="284" w:type="pct"/>
            <w:tcBorders>
              <w:right w:val="single" w:sz="2" w:space="0" w:color="BFBFBF" w:themeColor="background1" w:themeShade="BF"/>
            </w:tcBorders>
            <w:vAlign w:val="center"/>
          </w:tcPr>
          <w:p w:rsidR="00755C7E" w:rsidRPr="00B627BB" w:rsidRDefault="00755C7E" w:rsidP="00992A9E">
            <w:pPr>
              <w:pStyle w:val="NoSpacing"/>
              <w:ind w:left="-12" w:right="-94" w:hanging="130"/>
              <w:jc w:val="center"/>
              <w:rPr>
                <w:rFonts w:asciiTheme="minorHAnsi" w:hAnsiTheme="minorHAnsi"/>
                <w:sz w:val="20"/>
                <w:szCs w:val="20"/>
              </w:rPr>
            </w:pPr>
            <w:r w:rsidRPr="00B627BB">
              <w:rPr>
                <w:rFonts w:asciiTheme="minorHAnsi" w:hAnsiTheme="minorHAnsi"/>
                <w:sz w:val="20"/>
                <w:szCs w:val="20"/>
              </w:rPr>
              <w:t>Min</w:t>
            </w:r>
          </w:p>
        </w:tc>
        <w:tc>
          <w:tcPr>
            <w:tcW w:w="225" w:type="pct"/>
            <w:tcBorders>
              <w:left w:val="single" w:sz="2" w:space="0" w:color="BFBFBF" w:themeColor="background1" w:themeShade="BF"/>
            </w:tcBorders>
            <w:vAlign w:val="center"/>
          </w:tcPr>
          <w:p w:rsidR="00755C7E" w:rsidRPr="00B627BB" w:rsidRDefault="00755C7E" w:rsidP="00992A9E">
            <w:pPr>
              <w:pStyle w:val="NoSpacing"/>
              <w:ind w:left="-130" w:right="-96" w:hanging="6"/>
              <w:jc w:val="center"/>
              <w:rPr>
                <w:rFonts w:asciiTheme="minorHAnsi" w:hAnsiTheme="minorHAnsi"/>
                <w:sz w:val="20"/>
                <w:szCs w:val="20"/>
              </w:rPr>
            </w:pPr>
            <w:r>
              <w:rPr>
                <w:rFonts w:asciiTheme="minorHAnsi" w:hAnsiTheme="minorHAnsi"/>
                <w:sz w:val="20"/>
                <w:szCs w:val="20"/>
              </w:rPr>
              <w:t>22.0</w:t>
            </w:r>
          </w:p>
        </w:tc>
        <w:tc>
          <w:tcPr>
            <w:tcW w:w="308" w:type="pct"/>
            <w:vAlign w:val="center"/>
          </w:tcPr>
          <w:p w:rsidR="00755C7E" w:rsidRPr="00B627BB" w:rsidRDefault="00755C7E" w:rsidP="00992A9E">
            <w:pPr>
              <w:pStyle w:val="NoSpacing"/>
              <w:ind w:left="-130" w:right="-96" w:hanging="6"/>
              <w:jc w:val="center"/>
              <w:rPr>
                <w:rFonts w:asciiTheme="minorHAnsi" w:hAnsiTheme="minorHAnsi"/>
                <w:sz w:val="20"/>
                <w:szCs w:val="20"/>
              </w:rPr>
            </w:pPr>
            <w:r>
              <w:rPr>
                <w:rFonts w:asciiTheme="minorHAnsi" w:hAnsiTheme="minorHAnsi"/>
                <w:sz w:val="20"/>
                <w:szCs w:val="20"/>
              </w:rPr>
              <w:t>21.0</w:t>
            </w:r>
          </w:p>
        </w:tc>
        <w:tc>
          <w:tcPr>
            <w:tcW w:w="232" w:type="pct"/>
            <w:tcBorders>
              <w:right w:val="single" w:sz="2" w:space="0" w:color="BFBFBF" w:themeColor="background1" w:themeShade="BF"/>
            </w:tcBorders>
            <w:vAlign w:val="center"/>
          </w:tcPr>
          <w:p w:rsidR="00755C7E" w:rsidRPr="00B627BB" w:rsidRDefault="00755C7E" w:rsidP="00992A9E">
            <w:pPr>
              <w:pStyle w:val="NoSpacing"/>
              <w:ind w:left="-70" w:right="-94"/>
              <w:jc w:val="center"/>
              <w:rPr>
                <w:rFonts w:asciiTheme="minorHAnsi" w:hAnsiTheme="minorHAnsi"/>
                <w:sz w:val="20"/>
                <w:szCs w:val="20"/>
              </w:rPr>
            </w:pPr>
            <w:r>
              <w:rPr>
                <w:rFonts w:asciiTheme="minorHAnsi" w:hAnsiTheme="minorHAnsi"/>
                <w:sz w:val="20"/>
                <w:szCs w:val="20"/>
              </w:rPr>
              <w:t>12.6</w:t>
            </w:r>
          </w:p>
        </w:tc>
        <w:tc>
          <w:tcPr>
            <w:tcW w:w="250" w:type="pct"/>
            <w:tcBorders>
              <w:left w:val="single" w:sz="2" w:space="0" w:color="BFBFBF" w:themeColor="background1" w:themeShade="BF"/>
            </w:tcBorders>
            <w:vAlign w:val="center"/>
          </w:tcPr>
          <w:p w:rsidR="00755C7E" w:rsidRPr="00B627BB" w:rsidRDefault="00755C7E" w:rsidP="00992A9E">
            <w:pPr>
              <w:pStyle w:val="NoSpacing"/>
              <w:ind w:left="-73" w:right="-38"/>
              <w:jc w:val="center"/>
              <w:rPr>
                <w:rFonts w:asciiTheme="minorHAnsi" w:hAnsiTheme="minorHAnsi"/>
                <w:sz w:val="20"/>
                <w:szCs w:val="20"/>
              </w:rPr>
            </w:pPr>
            <w:r>
              <w:rPr>
                <w:rFonts w:asciiTheme="minorHAnsi" w:hAnsiTheme="minorHAnsi"/>
                <w:sz w:val="20"/>
                <w:szCs w:val="20"/>
              </w:rPr>
              <w:t>23.7</w:t>
            </w:r>
          </w:p>
        </w:tc>
        <w:tc>
          <w:tcPr>
            <w:tcW w:w="301" w:type="pct"/>
            <w:vAlign w:val="center"/>
          </w:tcPr>
          <w:p w:rsidR="00755C7E" w:rsidRPr="00B627BB" w:rsidRDefault="00755C7E" w:rsidP="00992A9E">
            <w:pPr>
              <w:pStyle w:val="NoSpacing"/>
              <w:ind w:left="-73" w:right="-38"/>
              <w:jc w:val="center"/>
              <w:rPr>
                <w:rFonts w:asciiTheme="minorHAnsi" w:hAnsiTheme="minorHAnsi"/>
                <w:sz w:val="20"/>
                <w:szCs w:val="20"/>
              </w:rPr>
            </w:pPr>
            <w:r>
              <w:rPr>
                <w:rFonts w:asciiTheme="minorHAnsi" w:hAnsiTheme="minorHAnsi"/>
                <w:sz w:val="20"/>
                <w:szCs w:val="20"/>
              </w:rPr>
              <w:t>23.1</w:t>
            </w:r>
          </w:p>
        </w:tc>
        <w:tc>
          <w:tcPr>
            <w:tcW w:w="252" w:type="pct"/>
            <w:tcBorders>
              <w:right w:val="single" w:sz="2" w:space="0" w:color="BFBFBF" w:themeColor="background1" w:themeShade="BF"/>
            </w:tcBorders>
            <w:vAlign w:val="center"/>
          </w:tcPr>
          <w:p w:rsidR="00755C7E" w:rsidRPr="00B627BB" w:rsidRDefault="00755C7E" w:rsidP="00992A9E">
            <w:pPr>
              <w:pStyle w:val="NoSpacing"/>
              <w:ind w:left="-73" w:right="-38"/>
              <w:jc w:val="center"/>
              <w:rPr>
                <w:rFonts w:asciiTheme="minorHAnsi" w:hAnsiTheme="minorHAnsi"/>
                <w:sz w:val="20"/>
                <w:szCs w:val="20"/>
              </w:rPr>
            </w:pPr>
            <w:r>
              <w:rPr>
                <w:rFonts w:asciiTheme="minorHAnsi" w:hAnsiTheme="minorHAnsi"/>
                <w:sz w:val="20"/>
                <w:szCs w:val="20"/>
              </w:rPr>
              <w:t>13.0</w:t>
            </w:r>
          </w:p>
        </w:tc>
        <w:tc>
          <w:tcPr>
            <w:tcW w:w="258" w:type="pct"/>
            <w:tcBorders>
              <w:left w:val="single" w:sz="2" w:space="0" w:color="BFBFBF" w:themeColor="background1" w:themeShade="BF"/>
            </w:tcBorders>
            <w:vAlign w:val="center"/>
          </w:tcPr>
          <w:p w:rsidR="00755C7E" w:rsidRPr="00B627BB" w:rsidRDefault="00755C7E" w:rsidP="00992A9E">
            <w:pPr>
              <w:pStyle w:val="NoSpacing"/>
              <w:ind w:left="-55" w:right="-108" w:firstLine="12"/>
              <w:jc w:val="center"/>
              <w:rPr>
                <w:rFonts w:asciiTheme="minorHAnsi" w:hAnsiTheme="minorHAnsi"/>
                <w:sz w:val="20"/>
                <w:szCs w:val="20"/>
              </w:rPr>
            </w:pPr>
            <w:r>
              <w:rPr>
                <w:rFonts w:asciiTheme="minorHAnsi" w:hAnsiTheme="minorHAnsi"/>
                <w:sz w:val="20"/>
                <w:szCs w:val="20"/>
              </w:rPr>
              <w:t>22.8</w:t>
            </w:r>
          </w:p>
        </w:tc>
        <w:tc>
          <w:tcPr>
            <w:tcW w:w="227" w:type="pct"/>
            <w:vAlign w:val="center"/>
          </w:tcPr>
          <w:p w:rsidR="00755C7E" w:rsidRPr="00B627BB" w:rsidRDefault="00755C7E" w:rsidP="00992A9E">
            <w:pPr>
              <w:pStyle w:val="NoSpacing"/>
              <w:ind w:left="-55" w:right="-108" w:firstLine="12"/>
              <w:jc w:val="center"/>
              <w:rPr>
                <w:rFonts w:asciiTheme="minorHAnsi" w:hAnsiTheme="minorHAnsi"/>
                <w:sz w:val="20"/>
                <w:szCs w:val="20"/>
              </w:rPr>
            </w:pPr>
            <w:r>
              <w:rPr>
                <w:rFonts w:asciiTheme="minorHAnsi" w:hAnsiTheme="minorHAnsi"/>
                <w:sz w:val="20"/>
                <w:szCs w:val="20"/>
              </w:rPr>
              <w:t>22.7</w:t>
            </w:r>
          </w:p>
        </w:tc>
        <w:tc>
          <w:tcPr>
            <w:tcW w:w="305" w:type="pct"/>
            <w:tcBorders>
              <w:right w:val="single" w:sz="2" w:space="0" w:color="BFBFBF" w:themeColor="background1" w:themeShade="BF"/>
            </w:tcBorders>
            <w:vAlign w:val="center"/>
          </w:tcPr>
          <w:p w:rsidR="00755C7E" w:rsidRPr="00B627BB" w:rsidRDefault="00755C7E" w:rsidP="00992A9E">
            <w:pPr>
              <w:pStyle w:val="NoSpacing"/>
              <w:ind w:left="-55" w:right="-108" w:firstLine="12"/>
              <w:jc w:val="center"/>
              <w:rPr>
                <w:rFonts w:asciiTheme="minorHAnsi" w:hAnsiTheme="minorHAnsi"/>
                <w:sz w:val="20"/>
                <w:szCs w:val="20"/>
              </w:rPr>
            </w:pPr>
            <w:r>
              <w:rPr>
                <w:rFonts w:asciiTheme="minorHAnsi" w:hAnsiTheme="minorHAnsi"/>
                <w:sz w:val="20"/>
                <w:szCs w:val="20"/>
              </w:rPr>
              <w:t>16.6</w:t>
            </w:r>
          </w:p>
        </w:tc>
        <w:tc>
          <w:tcPr>
            <w:tcW w:w="305" w:type="pct"/>
            <w:tcBorders>
              <w:left w:val="single" w:sz="2" w:space="0" w:color="BFBFBF" w:themeColor="background1" w:themeShade="BF"/>
            </w:tcBorders>
            <w:vAlign w:val="bottom"/>
          </w:tcPr>
          <w:p w:rsidR="00755C7E" w:rsidRPr="001C41F7" w:rsidRDefault="00755C7E" w:rsidP="00755C7E">
            <w:pPr>
              <w:ind w:right="-7"/>
              <w:jc w:val="center"/>
              <w:rPr>
                <w:rFonts w:ascii="Calibri" w:hAnsi="Calibri"/>
                <w:color w:val="000000"/>
                <w:szCs w:val="20"/>
              </w:rPr>
            </w:pPr>
            <w:r w:rsidRPr="001C41F7">
              <w:rPr>
                <w:rFonts w:ascii="Calibri" w:hAnsi="Calibri"/>
                <w:color w:val="000000"/>
                <w:szCs w:val="20"/>
              </w:rPr>
              <w:t>21.8</w:t>
            </w:r>
          </w:p>
        </w:tc>
        <w:tc>
          <w:tcPr>
            <w:tcW w:w="256" w:type="pct"/>
            <w:gridSpan w:val="2"/>
            <w:vAlign w:val="bottom"/>
          </w:tcPr>
          <w:p w:rsidR="00755C7E" w:rsidRPr="0056579F" w:rsidRDefault="00755C7E" w:rsidP="00755C7E">
            <w:pPr>
              <w:ind w:left="-51" w:right="-100" w:hanging="10"/>
              <w:jc w:val="center"/>
              <w:rPr>
                <w:rFonts w:ascii="Calibri" w:hAnsi="Calibri"/>
                <w:color w:val="000000"/>
                <w:szCs w:val="20"/>
              </w:rPr>
            </w:pPr>
            <w:r w:rsidRPr="0056579F">
              <w:rPr>
                <w:rFonts w:ascii="Calibri" w:hAnsi="Calibri"/>
                <w:color w:val="000000"/>
                <w:szCs w:val="20"/>
              </w:rPr>
              <w:t>22.1</w:t>
            </w:r>
          </w:p>
        </w:tc>
        <w:tc>
          <w:tcPr>
            <w:tcW w:w="254" w:type="pct"/>
            <w:tcBorders>
              <w:right w:val="single" w:sz="2" w:space="0" w:color="BFBFBF" w:themeColor="background1" w:themeShade="BF"/>
            </w:tcBorders>
            <w:vAlign w:val="bottom"/>
          </w:tcPr>
          <w:p w:rsidR="00755C7E" w:rsidRPr="00755C7E" w:rsidRDefault="00755C7E" w:rsidP="00755C7E">
            <w:pPr>
              <w:ind w:left="-60" w:right="-27" w:hanging="34"/>
              <w:jc w:val="center"/>
              <w:rPr>
                <w:rFonts w:ascii="Calibri" w:hAnsi="Calibri"/>
                <w:color w:val="000000"/>
                <w:szCs w:val="20"/>
              </w:rPr>
            </w:pPr>
            <w:r w:rsidRPr="00755C7E">
              <w:rPr>
                <w:rFonts w:ascii="Calibri" w:hAnsi="Calibri"/>
                <w:color w:val="000000"/>
                <w:szCs w:val="20"/>
              </w:rPr>
              <w:t>8.9</w:t>
            </w:r>
          </w:p>
        </w:tc>
        <w:tc>
          <w:tcPr>
            <w:tcW w:w="229" w:type="pct"/>
            <w:tcBorders>
              <w:left w:val="single" w:sz="2" w:space="0" w:color="BFBFBF" w:themeColor="background1" w:themeShade="BF"/>
            </w:tcBorders>
            <w:vAlign w:val="center"/>
          </w:tcPr>
          <w:p w:rsidR="00755C7E" w:rsidRPr="00B627BB" w:rsidRDefault="00755C7E" w:rsidP="00992A9E">
            <w:pPr>
              <w:pStyle w:val="NoSpacing"/>
              <w:ind w:left="-116" w:right="-115"/>
              <w:jc w:val="center"/>
              <w:rPr>
                <w:rFonts w:asciiTheme="minorHAnsi" w:hAnsiTheme="minorHAnsi"/>
                <w:sz w:val="20"/>
                <w:szCs w:val="20"/>
              </w:rPr>
            </w:pPr>
            <w:r>
              <w:rPr>
                <w:rFonts w:asciiTheme="minorHAnsi" w:hAnsiTheme="minorHAnsi"/>
                <w:sz w:val="20"/>
                <w:szCs w:val="20"/>
              </w:rPr>
              <w:t>23.6</w:t>
            </w:r>
          </w:p>
        </w:tc>
        <w:tc>
          <w:tcPr>
            <w:tcW w:w="219" w:type="pct"/>
            <w:gridSpan w:val="2"/>
            <w:vAlign w:val="center"/>
          </w:tcPr>
          <w:p w:rsidR="00755C7E" w:rsidRPr="00B627BB" w:rsidRDefault="00755C7E" w:rsidP="00992A9E">
            <w:pPr>
              <w:pStyle w:val="NoSpacing"/>
              <w:ind w:left="-116" w:right="-115"/>
              <w:jc w:val="center"/>
              <w:rPr>
                <w:rFonts w:asciiTheme="minorHAnsi" w:hAnsiTheme="minorHAnsi"/>
                <w:sz w:val="20"/>
                <w:szCs w:val="20"/>
              </w:rPr>
            </w:pPr>
            <w:r>
              <w:rPr>
                <w:rFonts w:asciiTheme="minorHAnsi" w:hAnsiTheme="minorHAnsi"/>
                <w:sz w:val="20"/>
                <w:szCs w:val="20"/>
              </w:rPr>
              <w:t>23.9</w:t>
            </w:r>
          </w:p>
        </w:tc>
        <w:tc>
          <w:tcPr>
            <w:tcW w:w="309" w:type="pct"/>
            <w:gridSpan w:val="2"/>
            <w:tcBorders>
              <w:right w:val="single" w:sz="2" w:space="0" w:color="BFBFBF" w:themeColor="background1" w:themeShade="BF"/>
            </w:tcBorders>
            <w:vAlign w:val="center"/>
          </w:tcPr>
          <w:p w:rsidR="00755C7E" w:rsidRPr="00B627BB" w:rsidRDefault="00755C7E" w:rsidP="00992A9E">
            <w:pPr>
              <w:pStyle w:val="NoSpacing"/>
              <w:ind w:left="-116" w:right="-115"/>
              <w:jc w:val="center"/>
              <w:rPr>
                <w:rFonts w:asciiTheme="minorHAnsi" w:hAnsiTheme="minorHAnsi"/>
                <w:sz w:val="20"/>
                <w:szCs w:val="20"/>
              </w:rPr>
            </w:pPr>
            <w:r>
              <w:rPr>
                <w:rFonts w:asciiTheme="minorHAnsi" w:hAnsiTheme="minorHAnsi"/>
                <w:sz w:val="20"/>
                <w:szCs w:val="20"/>
              </w:rPr>
              <w:t>16.2</w:t>
            </w:r>
          </w:p>
        </w:tc>
        <w:tc>
          <w:tcPr>
            <w:tcW w:w="233" w:type="pct"/>
            <w:tcBorders>
              <w:left w:val="single" w:sz="2" w:space="0" w:color="BFBFBF" w:themeColor="background1" w:themeShade="BF"/>
            </w:tcBorders>
            <w:vAlign w:val="center"/>
          </w:tcPr>
          <w:p w:rsidR="00755C7E" w:rsidRPr="00B627BB" w:rsidRDefault="00755C7E" w:rsidP="00992A9E">
            <w:pPr>
              <w:pStyle w:val="NoSpacing"/>
              <w:ind w:left="-48" w:right="-98"/>
              <w:jc w:val="center"/>
              <w:rPr>
                <w:rFonts w:asciiTheme="minorHAnsi" w:hAnsiTheme="minorHAnsi"/>
                <w:sz w:val="20"/>
                <w:szCs w:val="20"/>
              </w:rPr>
            </w:pPr>
            <w:r>
              <w:rPr>
                <w:rFonts w:asciiTheme="minorHAnsi" w:hAnsiTheme="minorHAnsi"/>
                <w:sz w:val="20"/>
                <w:szCs w:val="20"/>
              </w:rPr>
              <w:t>23.2</w:t>
            </w:r>
          </w:p>
        </w:tc>
        <w:tc>
          <w:tcPr>
            <w:tcW w:w="299" w:type="pct"/>
            <w:gridSpan w:val="2"/>
            <w:vAlign w:val="center"/>
          </w:tcPr>
          <w:p w:rsidR="00755C7E" w:rsidRPr="00B627BB" w:rsidRDefault="00755C7E" w:rsidP="00992A9E">
            <w:pPr>
              <w:pStyle w:val="16TableText"/>
              <w:ind w:left="-48" w:right="-22" w:firstLine="0"/>
              <w:rPr>
                <w:rFonts w:asciiTheme="minorHAnsi" w:eastAsia="Arial Unicode MS" w:hAnsiTheme="minorHAnsi" w:cs="Arial Unicode MS"/>
                <w:sz w:val="20"/>
              </w:rPr>
            </w:pPr>
            <w:r>
              <w:rPr>
                <w:rFonts w:asciiTheme="minorHAnsi" w:eastAsia="Arial Unicode MS" w:hAnsiTheme="minorHAnsi" w:cs="Arial Unicode MS"/>
                <w:sz w:val="20"/>
              </w:rPr>
              <w:t>22.1</w:t>
            </w:r>
          </w:p>
        </w:tc>
        <w:tc>
          <w:tcPr>
            <w:tcW w:w="254" w:type="pct"/>
            <w:gridSpan w:val="2"/>
            <w:vAlign w:val="center"/>
          </w:tcPr>
          <w:p w:rsidR="00755C7E" w:rsidRPr="00B627BB" w:rsidRDefault="00755C7E" w:rsidP="00992A9E">
            <w:pPr>
              <w:pStyle w:val="16TableText"/>
              <w:ind w:left="-118" w:right="-87" w:firstLine="0"/>
              <w:rPr>
                <w:rFonts w:asciiTheme="minorHAnsi" w:eastAsia="Arial Unicode MS" w:hAnsiTheme="minorHAnsi" w:cs="Arial Unicode MS"/>
                <w:sz w:val="20"/>
              </w:rPr>
            </w:pPr>
            <w:r>
              <w:rPr>
                <w:rFonts w:asciiTheme="minorHAnsi" w:eastAsia="Arial Unicode MS" w:hAnsiTheme="minorHAnsi" w:cs="Arial Unicode MS"/>
                <w:sz w:val="20"/>
              </w:rPr>
              <w:t>12.3</w:t>
            </w:r>
          </w:p>
        </w:tc>
      </w:tr>
      <w:tr w:rsidR="00755C7E" w:rsidRPr="00532A5F" w:rsidTr="00755C7E">
        <w:tc>
          <w:tcPr>
            <w:tcW w:w="284" w:type="pct"/>
            <w:tcBorders>
              <w:right w:val="single" w:sz="2" w:space="0" w:color="BFBFBF" w:themeColor="background1" w:themeShade="BF"/>
            </w:tcBorders>
            <w:vAlign w:val="center"/>
          </w:tcPr>
          <w:p w:rsidR="00755C7E" w:rsidRPr="00B627BB" w:rsidRDefault="00755C7E" w:rsidP="00992A9E">
            <w:pPr>
              <w:pStyle w:val="NoSpacing"/>
              <w:ind w:left="-12" w:right="-94" w:hanging="130"/>
              <w:jc w:val="center"/>
              <w:rPr>
                <w:rFonts w:asciiTheme="minorHAnsi" w:hAnsiTheme="minorHAnsi"/>
                <w:sz w:val="20"/>
                <w:szCs w:val="20"/>
              </w:rPr>
            </w:pPr>
            <w:r w:rsidRPr="00B627BB">
              <w:rPr>
                <w:rFonts w:asciiTheme="minorHAnsi" w:hAnsiTheme="minorHAnsi"/>
                <w:sz w:val="20"/>
                <w:szCs w:val="20"/>
              </w:rPr>
              <w:t>SD</w:t>
            </w:r>
          </w:p>
        </w:tc>
        <w:tc>
          <w:tcPr>
            <w:tcW w:w="225" w:type="pct"/>
            <w:tcBorders>
              <w:left w:val="single" w:sz="2" w:space="0" w:color="BFBFBF" w:themeColor="background1" w:themeShade="BF"/>
            </w:tcBorders>
            <w:vAlign w:val="center"/>
          </w:tcPr>
          <w:p w:rsidR="00755C7E" w:rsidRPr="00B627BB" w:rsidRDefault="00755C7E" w:rsidP="00992A9E">
            <w:pPr>
              <w:pStyle w:val="NoSpacing"/>
              <w:ind w:left="-130" w:right="-96" w:hanging="6"/>
              <w:jc w:val="center"/>
              <w:rPr>
                <w:rFonts w:asciiTheme="minorHAnsi" w:hAnsiTheme="minorHAnsi"/>
                <w:sz w:val="20"/>
                <w:szCs w:val="20"/>
              </w:rPr>
            </w:pPr>
            <w:r>
              <w:rPr>
                <w:rFonts w:asciiTheme="minorHAnsi" w:hAnsiTheme="minorHAnsi"/>
                <w:sz w:val="20"/>
                <w:szCs w:val="20"/>
              </w:rPr>
              <w:t>0.4</w:t>
            </w:r>
          </w:p>
        </w:tc>
        <w:tc>
          <w:tcPr>
            <w:tcW w:w="308" w:type="pct"/>
            <w:vAlign w:val="center"/>
          </w:tcPr>
          <w:p w:rsidR="00755C7E" w:rsidRPr="00B627BB" w:rsidRDefault="00755C7E" w:rsidP="00992A9E">
            <w:pPr>
              <w:pStyle w:val="NoSpacing"/>
              <w:ind w:left="-130" w:right="-96" w:hanging="6"/>
              <w:jc w:val="center"/>
              <w:rPr>
                <w:rFonts w:asciiTheme="minorHAnsi" w:hAnsiTheme="minorHAnsi"/>
                <w:sz w:val="20"/>
                <w:szCs w:val="20"/>
              </w:rPr>
            </w:pPr>
            <w:r>
              <w:rPr>
                <w:rFonts w:asciiTheme="minorHAnsi" w:hAnsiTheme="minorHAnsi"/>
                <w:sz w:val="20"/>
                <w:szCs w:val="20"/>
              </w:rPr>
              <w:t>0.4</w:t>
            </w:r>
          </w:p>
        </w:tc>
        <w:tc>
          <w:tcPr>
            <w:tcW w:w="232" w:type="pct"/>
            <w:tcBorders>
              <w:right w:val="single" w:sz="2" w:space="0" w:color="BFBFBF" w:themeColor="background1" w:themeShade="BF"/>
            </w:tcBorders>
            <w:vAlign w:val="center"/>
          </w:tcPr>
          <w:p w:rsidR="00755C7E" w:rsidRPr="00B627BB" w:rsidRDefault="00755C7E" w:rsidP="00992A9E">
            <w:pPr>
              <w:pStyle w:val="NoSpacing"/>
              <w:ind w:left="-70" w:right="-94"/>
              <w:jc w:val="center"/>
              <w:rPr>
                <w:rFonts w:asciiTheme="minorHAnsi" w:hAnsiTheme="minorHAnsi"/>
                <w:sz w:val="20"/>
                <w:szCs w:val="20"/>
              </w:rPr>
            </w:pPr>
            <w:r>
              <w:rPr>
                <w:rFonts w:asciiTheme="minorHAnsi" w:hAnsiTheme="minorHAnsi"/>
                <w:sz w:val="20"/>
                <w:szCs w:val="20"/>
              </w:rPr>
              <w:t>1.7</w:t>
            </w:r>
          </w:p>
        </w:tc>
        <w:tc>
          <w:tcPr>
            <w:tcW w:w="250" w:type="pct"/>
            <w:tcBorders>
              <w:left w:val="single" w:sz="2" w:space="0" w:color="BFBFBF" w:themeColor="background1" w:themeShade="BF"/>
            </w:tcBorders>
            <w:vAlign w:val="center"/>
          </w:tcPr>
          <w:p w:rsidR="00755C7E" w:rsidRPr="00B627BB" w:rsidRDefault="00755C7E" w:rsidP="00992A9E">
            <w:pPr>
              <w:pStyle w:val="NoSpacing"/>
              <w:ind w:left="-73" w:right="-38"/>
              <w:jc w:val="center"/>
              <w:rPr>
                <w:rFonts w:asciiTheme="minorHAnsi" w:hAnsiTheme="minorHAnsi"/>
                <w:sz w:val="20"/>
                <w:szCs w:val="20"/>
              </w:rPr>
            </w:pPr>
            <w:r>
              <w:rPr>
                <w:rFonts w:asciiTheme="minorHAnsi" w:hAnsiTheme="minorHAnsi"/>
                <w:sz w:val="20"/>
                <w:szCs w:val="20"/>
              </w:rPr>
              <w:t>0.6</w:t>
            </w:r>
          </w:p>
        </w:tc>
        <w:tc>
          <w:tcPr>
            <w:tcW w:w="301" w:type="pct"/>
            <w:vAlign w:val="center"/>
          </w:tcPr>
          <w:p w:rsidR="00755C7E" w:rsidRPr="00B627BB" w:rsidRDefault="00755C7E" w:rsidP="00992A9E">
            <w:pPr>
              <w:pStyle w:val="NoSpacing"/>
              <w:ind w:left="-73" w:right="-38"/>
              <w:jc w:val="center"/>
              <w:rPr>
                <w:rFonts w:asciiTheme="minorHAnsi" w:hAnsiTheme="minorHAnsi"/>
                <w:sz w:val="20"/>
                <w:szCs w:val="20"/>
              </w:rPr>
            </w:pPr>
            <w:r>
              <w:rPr>
                <w:rFonts w:asciiTheme="minorHAnsi" w:hAnsiTheme="minorHAnsi"/>
                <w:sz w:val="20"/>
                <w:szCs w:val="20"/>
              </w:rPr>
              <w:t>1.2</w:t>
            </w:r>
          </w:p>
        </w:tc>
        <w:tc>
          <w:tcPr>
            <w:tcW w:w="252" w:type="pct"/>
            <w:tcBorders>
              <w:right w:val="single" w:sz="2" w:space="0" w:color="BFBFBF" w:themeColor="background1" w:themeShade="BF"/>
            </w:tcBorders>
            <w:vAlign w:val="center"/>
          </w:tcPr>
          <w:p w:rsidR="00755C7E" w:rsidRPr="00B627BB" w:rsidRDefault="00755C7E" w:rsidP="00992A9E">
            <w:pPr>
              <w:pStyle w:val="NoSpacing"/>
              <w:ind w:left="-73" w:right="-38"/>
              <w:jc w:val="center"/>
              <w:rPr>
                <w:rFonts w:asciiTheme="minorHAnsi" w:hAnsiTheme="minorHAnsi"/>
                <w:sz w:val="20"/>
                <w:szCs w:val="20"/>
              </w:rPr>
            </w:pPr>
            <w:r>
              <w:rPr>
                <w:rFonts w:asciiTheme="minorHAnsi" w:hAnsiTheme="minorHAnsi"/>
                <w:sz w:val="20"/>
                <w:szCs w:val="20"/>
              </w:rPr>
              <w:t>2.6</w:t>
            </w:r>
          </w:p>
        </w:tc>
        <w:tc>
          <w:tcPr>
            <w:tcW w:w="258" w:type="pct"/>
            <w:tcBorders>
              <w:left w:val="single" w:sz="2" w:space="0" w:color="BFBFBF" w:themeColor="background1" w:themeShade="BF"/>
            </w:tcBorders>
            <w:vAlign w:val="center"/>
          </w:tcPr>
          <w:p w:rsidR="00755C7E" w:rsidRPr="00B627BB" w:rsidRDefault="00755C7E" w:rsidP="00992A9E">
            <w:pPr>
              <w:pStyle w:val="NoSpacing"/>
              <w:ind w:left="-55" w:right="-108" w:firstLine="12"/>
              <w:jc w:val="center"/>
              <w:rPr>
                <w:rFonts w:asciiTheme="minorHAnsi" w:hAnsiTheme="minorHAnsi"/>
                <w:sz w:val="20"/>
                <w:szCs w:val="20"/>
              </w:rPr>
            </w:pPr>
            <w:r>
              <w:rPr>
                <w:rFonts w:asciiTheme="minorHAnsi" w:hAnsiTheme="minorHAnsi"/>
                <w:sz w:val="20"/>
                <w:szCs w:val="20"/>
              </w:rPr>
              <w:t>0.2</w:t>
            </w:r>
          </w:p>
        </w:tc>
        <w:tc>
          <w:tcPr>
            <w:tcW w:w="227" w:type="pct"/>
            <w:vAlign w:val="center"/>
          </w:tcPr>
          <w:p w:rsidR="00755C7E" w:rsidRPr="00B627BB" w:rsidRDefault="00755C7E" w:rsidP="00992A9E">
            <w:pPr>
              <w:pStyle w:val="NoSpacing"/>
              <w:ind w:left="-55" w:right="-108" w:firstLine="12"/>
              <w:jc w:val="center"/>
              <w:rPr>
                <w:rFonts w:asciiTheme="minorHAnsi" w:hAnsiTheme="minorHAnsi"/>
                <w:sz w:val="20"/>
                <w:szCs w:val="20"/>
              </w:rPr>
            </w:pPr>
            <w:r>
              <w:rPr>
                <w:rFonts w:asciiTheme="minorHAnsi" w:hAnsiTheme="minorHAnsi"/>
                <w:sz w:val="20"/>
                <w:szCs w:val="20"/>
              </w:rPr>
              <w:t>0.3</w:t>
            </w:r>
          </w:p>
        </w:tc>
        <w:tc>
          <w:tcPr>
            <w:tcW w:w="305" w:type="pct"/>
            <w:tcBorders>
              <w:right w:val="single" w:sz="2" w:space="0" w:color="BFBFBF" w:themeColor="background1" w:themeShade="BF"/>
            </w:tcBorders>
            <w:vAlign w:val="center"/>
          </w:tcPr>
          <w:p w:rsidR="00755C7E" w:rsidRPr="00B627BB" w:rsidRDefault="00755C7E" w:rsidP="00992A9E">
            <w:pPr>
              <w:pStyle w:val="NoSpacing"/>
              <w:ind w:left="-55" w:right="-108" w:firstLine="12"/>
              <w:jc w:val="center"/>
              <w:rPr>
                <w:rFonts w:asciiTheme="minorHAnsi" w:hAnsiTheme="minorHAnsi"/>
                <w:sz w:val="20"/>
                <w:szCs w:val="20"/>
              </w:rPr>
            </w:pPr>
            <w:r>
              <w:rPr>
                <w:rFonts w:asciiTheme="minorHAnsi" w:hAnsiTheme="minorHAnsi"/>
                <w:sz w:val="20"/>
                <w:szCs w:val="20"/>
              </w:rPr>
              <w:t>1.7</w:t>
            </w:r>
          </w:p>
        </w:tc>
        <w:tc>
          <w:tcPr>
            <w:tcW w:w="305" w:type="pct"/>
            <w:tcBorders>
              <w:left w:val="single" w:sz="2" w:space="0" w:color="BFBFBF" w:themeColor="background1" w:themeShade="BF"/>
            </w:tcBorders>
            <w:vAlign w:val="bottom"/>
          </w:tcPr>
          <w:p w:rsidR="00755C7E" w:rsidRPr="001C41F7" w:rsidRDefault="00755C7E" w:rsidP="00755C7E">
            <w:pPr>
              <w:ind w:right="-7"/>
              <w:jc w:val="center"/>
              <w:rPr>
                <w:rFonts w:ascii="Calibri" w:hAnsi="Calibri"/>
                <w:color w:val="000000"/>
                <w:szCs w:val="20"/>
              </w:rPr>
            </w:pPr>
            <w:r w:rsidRPr="001C41F7">
              <w:rPr>
                <w:rFonts w:ascii="Calibri" w:hAnsi="Calibri"/>
                <w:color w:val="000000"/>
                <w:szCs w:val="20"/>
              </w:rPr>
              <w:t>0.4</w:t>
            </w:r>
          </w:p>
        </w:tc>
        <w:tc>
          <w:tcPr>
            <w:tcW w:w="256" w:type="pct"/>
            <w:gridSpan w:val="2"/>
            <w:vAlign w:val="bottom"/>
          </w:tcPr>
          <w:p w:rsidR="00755C7E" w:rsidRPr="0056579F" w:rsidRDefault="00755C7E" w:rsidP="00755C7E">
            <w:pPr>
              <w:ind w:left="-51" w:right="-100" w:hanging="10"/>
              <w:jc w:val="center"/>
              <w:rPr>
                <w:rFonts w:ascii="Calibri" w:hAnsi="Calibri"/>
                <w:color w:val="000000"/>
                <w:szCs w:val="20"/>
              </w:rPr>
            </w:pPr>
            <w:r w:rsidRPr="0056579F">
              <w:rPr>
                <w:rFonts w:ascii="Calibri" w:hAnsi="Calibri"/>
                <w:color w:val="000000"/>
                <w:szCs w:val="20"/>
              </w:rPr>
              <w:t>0.2</w:t>
            </w:r>
          </w:p>
        </w:tc>
        <w:tc>
          <w:tcPr>
            <w:tcW w:w="254" w:type="pct"/>
            <w:tcBorders>
              <w:right w:val="single" w:sz="2" w:space="0" w:color="BFBFBF" w:themeColor="background1" w:themeShade="BF"/>
            </w:tcBorders>
            <w:vAlign w:val="bottom"/>
          </w:tcPr>
          <w:p w:rsidR="00755C7E" w:rsidRPr="00755C7E" w:rsidRDefault="00755C7E" w:rsidP="00755C7E">
            <w:pPr>
              <w:ind w:left="-60" w:right="-27" w:hanging="34"/>
              <w:jc w:val="center"/>
              <w:rPr>
                <w:rFonts w:ascii="Calibri" w:hAnsi="Calibri"/>
                <w:color w:val="000000"/>
                <w:szCs w:val="20"/>
              </w:rPr>
            </w:pPr>
            <w:r w:rsidRPr="00755C7E">
              <w:rPr>
                <w:rFonts w:ascii="Calibri" w:hAnsi="Calibri"/>
                <w:color w:val="000000"/>
                <w:szCs w:val="20"/>
              </w:rPr>
              <w:t>2.3</w:t>
            </w:r>
          </w:p>
        </w:tc>
        <w:tc>
          <w:tcPr>
            <w:tcW w:w="229" w:type="pct"/>
            <w:tcBorders>
              <w:left w:val="single" w:sz="2" w:space="0" w:color="BFBFBF" w:themeColor="background1" w:themeShade="BF"/>
            </w:tcBorders>
            <w:vAlign w:val="center"/>
          </w:tcPr>
          <w:p w:rsidR="00755C7E" w:rsidRPr="00B627BB" w:rsidRDefault="00755C7E" w:rsidP="00992A9E">
            <w:pPr>
              <w:pStyle w:val="NoSpacing"/>
              <w:ind w:left="-116" w:right="-115"/>
              <w:jc w:val="center"/>
              <w:rPr>
                <w:rFonts w:asciiTheme="minorHAnsi" w:hAnsiTheme="minorHAnsi"/>
                <w:sz w:val="20"/>
                <w:szCs w:val="20"/>
              </w:rPr>
            </w:pPr>
            <w:r>
              <w:rPr>
                <w:rFonts w:asciiTheme="minorHAnsi" w:hAnsiTheme="minorHAnsi"/>
                <w:sz w:val="20"/>
                <w:szCs w:val="20"/>
              </w:rPr>
              <w:t>0.9</w:t>
            </w:r>
          </w:p>
        </w:tc>
        <w:tc>
          <w:tcPr>
            <w:tcW w:w="219" w:type="pct"/>
            <w:gridSpan w:val="2"/>
            <w:vAlign w:val="center"/>
          </w:tcPr>
          <w:p w:rsidR="00755C7E" w:rsidRPr="00B627BB" w:rsidRDefault="00755C7E" w:rsidP="00992A9E">
            <w:pPr>
              <w:pStyle w:val="NoSpacing"/>
              <w:ind w:left="-116" w:right="-115"/>
              <w:jc w:val="center"/>
              <w:rPr>
                <w:rFonts w:asciiTheme="minorHAnsi" w:hAnsiTheme="minorHAnsi"/>
                <w:sz w:val="20"/>
                <w:szCs w:val="20"/>
              </w:rPr>
            </w:pPr>
            <w:r>
              <w:rPr>
                <w:rFonts w:asciiTheme="minorHAnsi" w:hAnsiTheme="minorHAnsi"/>
                <w:sz w:val="20"/>
                <w:szCs w:val="20"/>
              </w:rPr>
              <w:t>0.2</w:t>
            </w:r>
          </w:p>
        </w:tc>
        <w:tc>
          <w:tcPr>
            <w:tcW w:w="309" w:type="pct"/>
            <w:gridSpan w:val="2"/>
            <w:tcBorders>
              <w:right w:val="single" w:sz="2" w:space="0" w:color="BFBFBF" w:themeColor="background1" w:themeShade="BF"/>
            </w:tcBorders>
            <w:vAlign w:val="center"/>
          </w:tcPr>
          <w:p w:rsidR="00755C7E" w:rsidRPr="00B627BB" w:rsidRDefault="00755C7E" w:rsidP="00992A9E">
            <w:pPr>
              <w:pStyle w:val="NoSpacing"/>
              <w:ind w:left="-116" w:right="-115"/>
              <w:jc w:val="center"/>
              <w:rPr>
                <w:rFonts w:asciiTheme="minorHAnsi" w:hAnsiTheme="minorHAnsi"/>
                <w:sz w:val="20"/>
                <w:szCs w:val="20"/>
              </w:rPr>
            </w:pPr>
            <w:r>
              <w:rPr>
                <w:rFonts w:asciiTheme="minorHAnsi" w:hAnsiTheme="minorHAnsi"/>
                <w:sz w:val="20"/>
                <w:szCs w:val="20"/>
              </w:rPr>
              <w:t>2.0</w:t>
            </w:r>
          </w:p>
        </w:tc>
        <w:tc>
          <w:tcPr>
            <w:tcW w:w="233" w:type="pct"/>
            <w:tcBorders>
              <w:left w:val="single" w:sz="2" w:space="0" w:color="BFBFBF" w:themeColor="background1" w:themeShade="BF"/>
            </w:tcBorders>
            <w:vAlign w:val="center"/>
          </w:tcPr>
          <w:p w:rsidR="00755C7E" w:rsidRPr="00B627BB" w:rsidRDefault="00755C7E" w:rsidP="00992A9E">
            <w:pPr>
              <w:pStyle w:val="NoSpacing"/>
              <w:ind w:left="-48" w:right="-98"/>
              <w:jc w:val="center"/>
              <w:rPr>
                <w:rFonts w:asciiTheme="minorHAnsi" w:hAnsiTheme="minorHAnsi"/>
                <w:sz w:val="20"/>
                <w:szCs w:val="20"/>
              </w:rPr>
            </w:pPr>
            <w:r>
              <w:rPr>
                <w:rFonts w:asciiTheme="minorHAnsi" w:hAnsiTheme="minorHAnsi"/>
                <w:sz w:val="20"/>
                <w:szCs w:val="20"/>
              </w:rPr>
              <w:t>0.4</w:t>
            </w:r>
          </w:p>
        </w:tc>
        <w:tc>
          <w:tcPr>
            <w:tcW w:w="299" w:type="pct"/>
            <w:gridSpan w:val="2"/>
            <w:vAlign w:val="center"/>
          </w:tcPr>
          <w:p w:rsidR="00755C7E" w:rsidRPr="00B627BB" w:rsidRDefault="00755C7E" w:rsidP="00992A9E">
            <w:pPr>
              <w:pStyle w:val="16TableText"/>
              <w:ind w:left="-48" w:right="-22" w:firstLine="0"/>
              <w:rPr>
                <w:rFonts w:asciiTheme="minorHAnsi" w:eastAsia="Arial Unicode MS" w:hAnsiTheme="minorHAnsi" w:cs="Arial Unicode MS"/>
                <w:sz w:val="20"/>
              </w:rPr>
            </w:pPr>
            <w:r>
              <w:rPr>
                <w:rFonts w:asciiTheme="minorHAnsi" w:eastAsia="Arial Unicode MS" w:hAnsiTheme="minorHAnsi" w:cs="Arial Unicode MS"/>
                <w:sz w:val="20"/>
              </w:rPr>
              <w:t>0.4</w:t>
            </w:r>
          </w:p>
        </w:tc>
        <w:tc>
          <w:tcPr>
            <w:tcW w:w="254" w:type="pct"/>
            <w:gridSpan w:val="2"/>
            <w:vAlign w:val="center"/>
          </w:tcPr>
          <w:p w:rsidR="00755C7E" w:rsidRPr="00B627BB" w:rsidRDefault="00755C7E" w:rsidP="00992A9E">
            <w:pPr>
              <w:pStyle w:val="16TableText"/>
              <w:ind w:left="-118" w:right="-87" w:firstLine="0"/>
              <w:rPr>
                <w:rFonts w:asciiTheme="minorHAnsi" w:eastAsia="Arial Unicode MS" w:hAnsiTheme="minorHAnsi" w:cs="Arial Unicode MS"/>
                <w:sz w:val="20"/>
              </w:rPr>
            </w:pPr>
            <w:r>
              <w:rPr>
                <w:rFonts w:asciiTheme="minorHAnsi" w:eastAsia="Arial Unicode MS" w:hAnsiTheme="minorHAnsi" w:cs="Arial Unicode MS"/>
                <w:sz w:val="20"/>
              </w:rPr>
              <w:t>2.4</w:t>
            </w:r>
          </w:p>
        </w:tc>
      </w:tr>
      <w:tr w:rsidR="00755C7E" w:rsidRPr="00532A5F" w:rsidTr="00755C7E">
        <w:tc>
          <w:tcPr>
            <w:tcW w:w="284" w:type="pct"/>
            <w:tcBorders>
              <w:bottom w:val="single" w:sz="2" w:space="0" w:color="auto"/>
              <w:right w:val="single" w:sz="2" w:space="0" w:color="BFBFBF" w:themeColor="background1" w:themeShade="BF"/>
            </w:tcBorders>
            <w:vAlign w:val="center"/>
          </w:tcPr>
          <w:p w:rsidR="00755C7E" w:rsidRPr="00B627BB" w:rsidRDefault="00755C7E" w:rsidP="00992A9E">
            <w:pPr>
              <w:pStyle w:val="NoSpacing"/>
              <w:ind w:left="-12" w:right="-94" w:hanging="130"/>
              <w:jc w:val="center"/>
              <w:rPr>
                <w:rFonts w:asciiTheme="minorHAnsi" w:hAnsiTheme="minorHAnsi"/>
                <w:sz w:val="20"/>
                <w:szCs w:val="20"/>
              </w:rPr>
            </w:pPr>
            <w:r w:rsidRPr="00B627BB">
              <w:rPr>
                <w:rFonts w:asciiTheme="minorHAnsi" w:hAnsiTheme="minorHAnsi"/>
                <w:sz w:val="20"/>
                <w:szCs w:val="20"/>
              </w:rPr>
              <w:t>Mean</w:t>
            </w:r>
          </w:p>
        </w:tc>
        <w:tc>
          <w:tcPr>
            <w:tcW w:w="225" w:type="pct"/>
            <w:tcBorders>
              <w:left w:val="single" w:sz="2" w:space="0" w:color="BFBFBF" w:themeColor="background1" w:themeShade="BF"/>
              <w:bottom w:val="single" w:sz="2" w:space="0" w:color="auto"/>
            </w:tcBorders>
            <w:vAlign w:val="center"/>
          </w:tcPr>
          <w:p w:rsidR="00755C7E" w:rsidRPr="00B627BB" w:rsidRDefault="00755C7E" w:rsidP="00992A9E">
            <w:pPr>
              <w:pStyle w:val="NoSpacing"/>
              <w:ind w:left="-130" w:right="-96" w:hanging="6"/>
              <w:jc w:val="center"/>
              <w:rPr>
                <w:rFonts w:asciiTheme="minorHAnsi" w:hAnsiTheme="minorHAnsi"/>
                <w:sz w:val="20"/>
                <w:szCs w:val="20"/>
              </w:rPr>
            </w:pPr>
            <w:r>
              <w:rPr>
                <w:rFonts w:asciiTheme="minorHAnsi" w:hAnsiTheme="minorHAnsi"/>
                <w:sz w:val="20"/>
                <w:szCs w:val="20"/>
              </w:rPr>
              <w:t>22.7</w:t>
            </w:r>
          </w:p>
        </w:tc>
        <w:tc>
          <w:tcPr>
            <w:tcW w:w="308" w:type="pct"/>
            <w:tcBorders>
              <w:bottom w:val="single" w:sz="2" w:space="0" w:color="auto"/>
            </w:tcBorders>
            <w:vAlign w:val="center"/>
          </w:tcPr>
          <w:p w:rsidR="00755C7E" w:rsidRPr="00B627BB" w:rsidRDefault="00755C7E" w:rsidP="00992A9E">
            <w:pPr>
              <w:pStyle w:val="NoSpacing"/>
              <w:ind w:left="-130" w:right="-96" w:hanging="6"/>
              <w:jc w:val="center"/>
              <w:rPr>
                <w:rFonts w:asciiTheme="minorHAnsi" w:hAnsiTheme="minorHAnsi"/>
                <w:sz w:val="20"/>
                <w:szCs w:val="20"/>
              </w:rPr>
            </w:pPr>
            <w:r>
              <w:rPr>
                <w:rFonts w:asciiTheme="minorHAnsi" w:hAnsiTheme="minorHAnsi"/>
                <w:sz w:val="20"/>
                <w:szCs w:val="20"/>
              </w:rPr>
              <w:t>21.7</w:t>
            </w:r>
          </w:p>
        </w:tc>
        <w:tc>
          <w:tcPr>
            <w:tcW w:w="232" w:type="pct"/>
            <w:tcBorders>
              <w:bottom w:val="single" w:sz="2" w:space="0" w:color="auto"/>
              <w:right w:val="single" w:sz="2" w:space="0" w:color="BFBFBF" w:themeColor="background1" w:themeShade="BF"/>
            </w:tcBorders>
            <w:vAlign w:val="center"/>
          </w:tcPr>
          <w:p w:rsidR="00755C7E" w:rsidRPr="00B627BB" w:rsidRDefault="00755C7E" w:rsidP="00992A9E">
            <w:pPr>
              <w:pStyle w:val="NoSpacing"/>
              <w:ind w:left="-70" w:right="-94"/>
              <w:jc w:val="center"/>
              <w:rPr>
                <w:rFonts w:asciiTheme="minorHAnsi" w:hAnsiTheme="minorHAnsi"/>
                <w:sz w:val="20"/>
                <w:szCs w:val="20"/>
              </w:rPr>
            </w:pPr>
            <w:r>
              <w:rPr>
                <w:rFonts w:asciiTheme="minorHAnsi" w:hAnsiTheme="minorHAnsi"/>
                <w:sz w:val="20"/>
                <w:szCs w:val="20"/>
              </w:rPr>
              <w:t>14.2</w:t>
            </w:r>
          </w:p>
        </w:tc>
        <w:tc>
          <w:tcPr>
            <w:tcW w:w="250" w:type="pct"/>
            <w:tcBorders>
              <w:left w:val="single" w:sz="2" w:space="0" w:color="BFBFBF" w:themeColor="background1" w:themeShade="BF"/>
              <w:bottom w:val="single" w:sz="2" w:space="0" w:color="auto"/>
            </w:tcBorders>
            <w:vAlign w:val="center"/>
          </w:tcPr>
          <w:p w:rsidR="00755C7E" w:rsidRPr="00B627BB" w:rsidRDefault="00755C7E" w:rsidP="00992A9E">
            <w:pPr>
              <w:pStyle w:val="NoSpacing"/>
              <w:ind w:left="-73" w:right="-38"/>
              <w:jc w:val="center"/>
              <w:rPr>
                <w:rFonts w:asciiTheme="minorHAnsi" w:hAnsiTheme="minorHAnsi"/>
                <w:sz w:val="20"/>
                <w:szCs w:val="20"/>
              </w:rPr>
            </w:pPr>
            <w:r>
              <w:rPr>
                <w:rFonts w:asciiTheme="minorHAnsi" w:hAnsiTheme="minorHAnsi"/>
                <w:sz w:val="20"/>
                <w:szCs w:val="20"/>
              </w:rPr>
              <w:t>24.8</w:t>
            </w:r>
          </w:p>
        </w:tc>
        <w:tc>
          <w:tcPr>
            <w:tcW w:w="301" w:type="pct"/>
            <w:tcBorders>
              <w:bottom w:val="single" w:sz="2" w:space="0" w:color="auto"/>
            </w:tcBorders>
            <w:vAlign w:val="center"/>
          </w:tcPr>
          <w:p w:rsidR="00755C7E" w:rsidRPr="00B627BB" w:rsidRDefault="00755C7E" w:rsidP="00992A9E">
            <w:pPr>
              <w:pStyle w:val="NoSpacing"/>
              <w:ind w:left="-73" w:right="-38"/>
              <w:jc w:val="center"/>
              <w:rPr>
                <w:rFonts w:asciiTheme="minorHAnsi" w:hAnsiTheme="minorHAnsi"/>
                <w:sz w:val="20"/>
                <w:szCs w:val="20"/>
              </w:rPr>
            </w:pPr>
            <w:r>
              <w:rPr>
                <w:rFonts w:asciiTheme="minorHAnsi" w:hAnsiTheme="minorHAnsi"/>
                <w:sz w:val="20"/>
                <w:szCs w:val="20"/>
              </w:rPr>
              <w:t>24.8</w:t>
            </w:r>
          </w:p>
        </w:tc>
        <w:tc>
          <w:tcPr>
            <w:tcW w:w="252" w:type="pct"/>
            <w:tcBorders>
              <w:bottom w:val="single" w:sz="2" w:space="0" w:color="auto"/>
              <w:right w:val="single" w:sz="2" w:space="0" w:color="BFBFBF" w:themeColor="background1" w:themeShade="BF"/>
            </w:tcBorders>
            <w:vAlign w:val="center"/>
          </w:tcPr>
          <w:p w:rsidR="00755C7E" w:rsidRPr="00B627BB" w:rsidRDefault="00755C7E" w:rsidP="00992A9E">
            <w:pPr>
              <w:pStyle w:val="NoSpacing"/>
              <w:ind w:left="-73" w:right="-38"/>
              <w:jc w:val="center"/>
              <w:rPr>
                <w:rFonts w:asciiTheme="minorHAnsi" w:hAnsiTheme="minorHAnsi"/>
                <w:sz w:val="20"/>
                <w:szCs w:val="20"/>
              </w:rPr>
            </w:pPr>
            <w:r>
              <w:rPr>
                <w:rFonts w:asciiTheme="minorHAnsi" w:hAnsiTheme="minorHAnsi"/>
                <w:sz w:val="20"/>
                <w:szCs w:val="20"/>
              </w:rPr>
              <w:t>16.3</w:t>
            </w:r>
          </w:p>
        </w:tc>
        <w:tc>
          <w:tcPr>
            <w:tcW w:w="258" w:type="pct"/>
            <w:tcBorders>
              <w:left w:val="single" w:sz="2" w:space="0" w:color="BFBFBF" w:themeColor="background1" w:themeShade="BF"/>
              <w:bottom w:val="single" w:sz="2" w:space="0" w:color="auto"/>
            </w:tcBorders>
            <w:vAlign w:val="center"/>
          </w:tcPr>
          <w:p w:rsidR="00755C7E" w:rsidRPr="00B627BB" w:rsidRDefault="00755C7E" w:rsidP="00992A9E">
            <w:pPr>
              <w:pStyle w:val="NoSpacing"/>
              <w:ind w:left="-55" w:right="-108" w:firstLine="12"/>
              <w:jc w:val="center"/>
              <w:rPr>
                <w:rFonts w:asciiTheme="minorHAnsi" w:hAnsiTheme="minorHAnsi"/>
                <w:sz w:val="20"/>
                <w:szCs w:val="20"/>
              </w:rPr>
            </w:pPr>
            <w:r>
              <w:rPr>
                <w:rFonts w:asciiTheme="minorHAnsi" w:hAnsiTheme="minorHAnsi"/>
                <w:sz w:val="20"/>
                <w:szCs w:val="20"/>
              </w:rPr>
              <w:t>23.2</w:t>
            </w:r>
          </w:p>
        </w:tc>
        <w:tc>
          <w:tcPr>
            <w:tcW w:w="227" w:type="pct"/>
            <w:tcBorders>
              <w:bottom w:val="single" w:sz="2" w:space="0" w:color="auto"/>
            </w:tcBorders>
            <w:vAlign w:val="center"/>
          </w:tcPr>
          <w:p w:rsidR="00755C7E" w:rsidRPr="00B627BB" w:rsidRDefault="00755C7E" w:rsidP="00992A9E">
            <w:pPr>
              <w:pStyle w:val="NoSpacing"/>
              <w:ind w:left="-55" w:right="-108" w:firstLine="12"/>
              <w:jc w:val="center"/>
              <w:rPr>
                <w:rFonts w:asciiTheme="minorHAnsi" w:hAnsiTheme="minorHAnsi"/>
                <w:sz w:val="20"/>
                <w:szCs w:val="20"/>
              </w:rPr>
            </w:pPr>
            <w:r>
              <w:rPr>
                <w:rFonts w:asciiTheme="minorHAnsi" w:hAnsiTheme="minorHAnsi"/>
                <w:sz w:val="20"/>
                <w:szCs w:val="20"/>
              </w:rPr>
              <w:t>23.3</w:t>
            </w:r>
          </w:p>
        </w:tc>
        <w:tc>
          <w:tcPr>
            <w:tcW w:w="305" w:type="pct"/>
            <w:tcBorders>
              <w:bottom w:val="single" w:sz="2" w:space="0" w:color="auto"/>
              <w:right w:val="single" w:sz="2" w:space="0" w:color="BFBFBF" w:themeColor="background1" w:themeShade="BF"/>
            </w:tcBorders>
            <w:vAlign w:val="center"/>
          </w:tcPr>
          <w:p w:rsidR="00755C7E" w:rsidRPr="00B627BB" w:rsidRDefault="00755C7E" w:rsidP="00992A9E">
            <w:pPr>
              <w:pStyle w:val="NoSpacing"/>
              <w:ind w:left="-55" w:right="-108" w:firstLine="12"/>
              <w:jc w:val="center"/>
              <w:rPr>
                <w:rFonts w:asciiTheme="minorHAnsi" w:hAnsiTheme="minorHAnsi"/>
                <w:sz w:val="20"/>
                <w:szCs w:val="20"/>
              </w:rPr>
            </w:pPr>
            <w:r>
              <w:rPr>
                <w:rFonts w:asciiTheme="minorHAnsi" w:hAnsiTheme="minorHAnsi"/>
                <w:sz w:val="20"/>
                <w:szCs w:val="20"/>
              </w:rPr>
              <w:t>18.2</w:t>
            </w:r>
          </w:p>
        </w:tc>
        <w:tc>
          <w:tcPr>
            <w:tcW w:w="305" w:type="pct"/>
            <w:tcBorders>
              <w:left w:val="single" w:sz="2" w:space="0" w:color="BFBFBF" w:themeColor="background1" w:themeShade="BF"/>
              <w:bottom w:val="single" w:sz="2" w:space="0" w:color="auto"/>
            </w:tcBorders>
            <w:vAlign w:val="bottom"/>
          </w:tcPr>
          <w:p w:rsidR="00755C7E" w:rsidRPr="001C41F7" w:rsidRDefault="00755C7E" w:rsidP="00755C7E">
            <w:pPr>
              <w:ind w:right="-7"/>
              <w:jc w:val="center"/>
              <w:rPr>
                <w:rFonts w:ascii="Calibri" w:hAnsi="Calibri"/>
                <w:color w:val="000000"/>
                <w:szCs w:val="20"/>
              </w:rPr>
            </w:pPr>
            <w:r w:rsidRPr="001C41F7">
              <w:rPr>
                <w:rFonts w:ascii="Calibri" w:hAnsi="Calibri"/>
                <w:color w:val="000000"/>
                <w:szCs w:val="20"/>
              </w:rPr>
              <w:t>22.4</w:t>
            </w:r>
          </w:p>
        </w:tc>
        <w:tc>
          <w:tcPr>
            <w:tcW w:w="256" w:type="pct"/>
            <w:gridSpan w:val="2"/>
            <w:tcBorders>
              <w:bottom w:val="single" w:sz="2" w:space="0" w:color="auto"/>
            </w:tcBorders>
            <w:vAlign w:val="bottom"/>
          </w:tcPr>
          <w:p w:rsidR="00755C7E" w:rsidRPr="0056579F" w:rsidRDefault="00755C7E" w:rsidP="00755C7E">
            <w:pPr>
              <w:ind w:left="-51" w:right="-100" w:hanging="10"/>
              <w:jc w:val="center"/>
              <w:rPr>
                <w:rFonts w:ascii="Calibri" w:hAnsi="Calibri"/>
                <w:color w:val="000000"/>
                <w:szCs w:val="20"/>
              </w:rPr>
            </w:pPr>
            <w:r w:rsidRPr="0056579F">
              <w:rPr>
                <w:rFonts w:ascii="Calibri" w:hAnsi="Calibri"/>
                <w:color w:val="000000"/>
                <w:szCs w:val="20"/>
              </w:rPr>
              <w:t>22.4</w:t>
            </w:r>
          </w:p>
        </w:tc>
        <w:tc>
          <w:tcPr>
            <w:tcW w:w="254" w:type="pct"/>
            <w:tcBorders>
              <w:bottom w:val="single" w:sz="2" w:space="0" w:color="auto"/>
              <w:right w:val="single" w:sz="2" w:space="0" w:color="BFBFBF" w:themeColor="background1" w:themeShade="BF"/>
            </w:tcBorders>
            <w:vAlign w:val="bottom"/>
          </w:tcPr>
          <w:p w:rsidR="00755C7E" w:rsidRPr="00755C7E" w:rsidRDefault="00755C7E" w:rsidP="00755C7E">
            <w:pPr>
              <w:ind w:left="-60" w:right="-27" w:hanging="34"/>
              <w:jc w:val="center"/>
              <w:rPr>
                <w:rFonts w:ascii="Calibri" w:hAnsi="Calibri"/>
                <w:color w:val="000000"/>
                <w:szCs w:val="20"/>
              </w:rPr>
            </w:pPr>
            <w:r w:rsidRPr="00755C7E">
              <w:rPr>
                <w:rFonts w:ascii="Calibri" w:hAnsi="Calibri"/>
                <w:color w:val="000000"/>
                <w:szCs w:val="20"/>
              </w:rPr>
              <w:t>12.3</w:t>
            </w:r>
          </w:p>
        </w:tc>
        <w:tc>
          <w:tcPr>
            <w:tcW w:w="229" w:type="pct"/>
            <w:tcBorders>
              <w:left w:val="single" w:sz="2" w:space="0" w:color="BFBFBF" w:themeColor="background1" w:themeShade="BF"/>
              <w:bottom w:val="single" w:sz="2" w:space="0" w:color="auto"/>
            </w:tcBorders>
            <w:vAlign w:val="center"/>
          </w:tcPr>
          <w:p w:rsidR="00755C7E" w:rsidRPr="00B627BB" w:rsidRDefault="00755C7E" w:rsidP="00992A9E">
            <w:pPr>
              <w:pStyle w:val="NoSpacing"/>
              <w:ind w:left="-116" w:right="-115"/>
              <w:jc w:val="center"/>
              <w:rPr>
                <w:rFonts w:asciiTheme="minorHAnsi" w:hAnsiTheme="minorHAnsi"/>
                <w:sz w:val="20"/>
                <w:szCs w:val="20"/>
              </w:rPr>
            </w:pPr>
            <w:r>
              <w:rPr>
                <w:rFonts w:asciiTheme="minorHAnsi" w:hAnsiTheme="minorHAnsi"/>
                <w:sz w:val="20"/>
                <w:szCs w:val="20"/>
              </w:rPr>
              <w:t>26.1</w:t>
            </w:r>
          </w:p>
        </w:tc>
        <w:tc>
          <w:tcPr>
            <w:tcW w:w="219" w:type="pct"/>
            <w:gridSpan w:val="2"/>
            <w:tcBorders>
              <w:bottom w:val="single" w:sz="2" w:space="0" w:color="auto"/>
            </w:tcBorders>
            <w:vAlign w:val="center"/>
          </w:tcPr>
          <w:p w:rsidR="00755C7E" w:rsidRPr="00B627BB" w:rsidRDefault="00755C7E" w:rsidP="00992A9E">
            <w:pPr>
              <w:pStyle w:val="NoSpacing"/>
              <w:ind w:left="-116" w:right="-115"/>
              <w:jc w:val="center"/>
              <w:rPr>
                <w:rFonts w:asciiTheme="minorHAnsi" w:hAnsiTheme="minorHAnsi"/>
                <w:sz w:val="20"/>
                <w:szCs w:val="20"/>
              </w:rPr>
            </w:pPr>
            <w:r>
              <w:rPr>
                <w:rFonts w:asciiTheme="minorHAnsi" w:hAnsiTheme="minorHAnsi"/>
                <w:sz w:val="20"/>
                <w:szCs w:val="20"/>
              </w:rPr>
              <w:t>24.5</w:t>
            </w:r>
          </w:p>
        </w:tc>
        <w:tc>
          <w:tcPr>
            <w:tcW w:w="309" w:type="pct"/>
            <w:gridSpan w:val="2"/>
            <w:tcBorders>
              <w:bottom w:val="single" w:sz="2" w:space="0" w:color="auto"/>
              <w:right w:val="single" w:sz="2" w:space="0" w:color="BFBFBF" w:themeColor="background1" w:themeShade="BF"/>
            </w:tcBorders>
            <w:vAlign w:val="center"/>
          </w:tcPr>
          <w:p w:rsidR="00755C7E" w:rsidRPr="00B627BB" w:rsidRDefault="00755C7E" w:rsidP="00992A9E">
            <w:pPr>
              <w:pStyle w:val="NoSpacing"/>
              <w:ind w:left="-116" w:right="-115"/>
              <w:jc w:val="center"/>
              <w:rPr>
                <w:rFonts w:asciiTheme="minorHAnsi" w:hAnsiTheme="minorHAnsi"/>
                <w:sz w:val="20"/>
                <w:szCs w:val="20"/>
              </w:rPr>
            </w:pPr>
            <w:r>
              <w:rPr>
                <w:rFonts w:asciiTheme="minorHAnsi" w:hAnsiTheme="minorHAnsi"/>
                <w:sz w:val="20"/>
                <w:szCs w:val="20"/>
              </w:rPr>
              <w:t>18.4</w:t>
            </w:r>
          </w:p>
        </w:tc>
        <w:tc>
          <w:tcPr>
            <w:tcW w:w="233" w:type="pct"/>
            <w:tcBorders>
              <w:left w:val="single" w:sz="2" w:space="0" w:color="BFBFBF" w:themeColor="background1" w:themeShade="BF"/>
              <w:bottom w:val="single" w:sz="2" w:space="0" w:color="auto"/>
            </w:tcBorders>
            <w:vAlign w:val="center"/>
          </w:tcPr>
          <w:p w:rsidR="00755C7E" w:rsidRPr="00B627BB" w:rsidRDefault="00755C7E" w:rsidP="00992A9E">
            <w:pPr>
              <w:pStyle w:val="NoSpacing"/>
              <w:ind w:left="-48" w:right="-98"/>
              <w:jc w:val="center"/>
              <w:rPr>
                <w:rFonts w:asciiTheme="minorHAnsi" w:hAnsiTheme="minorHAnsi"/>
                <w:sz w:val="20"/>
                <w:szCs w:val="20"/>
              </w:rPr>
            </w:pPr>
            <w:r>
              <w:rPr>
                <w:rFonts w:asciiTheme="minorHAnsi" w:hAnsiTheme="minorHAnsi"/>
                <w:sz w:val="20"/>
                <w:szCs w:val="20"/>
              </w:rPr>
              <w:t>24.4</w:t>
            </w:r>
          </w:p>
        </w:tc>
        <w:tc>
          <w:tcPr>
            <w:tcW w:w="299" w:type="pct"/>
            <w:gridSpan w:val="2"/>
            <w:tcBorders>
              <w:bottom w:val="single" w:sz="2" w:space="0" w:color="auto"/>
            </w:tcBorders>
            <w:vAlign w:val="center"/>
          </w:tcPr>
          <w:p w:rsidR="00755C7E" w:rsidRPr="00B627BB" w:rsidRDefault="00755C7E" w:rsidP="00992A9E">
            <w:pPr>
              <w:pStyle w:val="16TableText"/>
              <w:ind w:left="-48" w:right="-22" w:firstLine="0"/>
              <w:rPr>
                <w:rFonts w:asciiTheme="minorHAnsi" w:eastAsia="Arial Unicode MS" w:hAnsiTheme="minorHAnsi" w:cs="Arial Unicode MS"/>
                <w:sz w:val="20"/>
              </w:rPr>
            </w:pPr>
            <w:r>
              <w:rPr>
                <w:rFonts w:asciiTheme="minorHAnsi" w:eastAsia="Arial Unicode MS" w:hAnsiTheme="minorHAnsi" w:cs="Arial Unicode MS"/>
                <w:sz w:val="20"/>
              </w:rPr>
              <w:t>22.9</w:t>
            </w:r>
          </w:p>
        </w:tc>
        <w:tc>
          <w:tcPr>
            <w:tcW w:w="254" w:type="pct"/>
            <w:gridSpan w:val="2"/>
            <w:tcBorders>
              <w:bottom w:val="single" w:sz="2" w:space="0" w:color="auto"/>
            </w:tcBorders>
            <w:vAlign w:val="center"/>
          </w:tcPr>
          <w:p w:rsidR="00755C7E" w:rsidRPr="00B627BB" w:rsidRDefault="00755C7E" w:rsidP="00992A9E">
            <w:pPr>
              <w:pStyle w:val="16TableText"/>
              <w:ind w:left="-118" w:right="-87" w:firstLine="0"/>
              <w:rPr>
                <w:rFonts w:asciiTheme="minorHAnsi" w:eastAsia="Arial Unicode MS" w:hAnsiTheme="minorHAnsi" w:cs="Arial Unicode MS"/>
                <w:sz w:val="20"/>
              </w:rPr>
            </w:pPr>
            <w:r>
              <w:rPr>
                <w:rFonts w:asciiTheme="minorHAnsi" w:eastAsia="Arial Unicode MS" w:hAnsiTheme="minorHAnsi" w:cs="Arial Unicode MS"/>
                <w:sz w:val="20"/>
              </w:rPr>
              <w:t>16.6</w:t>
            </w:r>
          </w:p>
        </w:tc>
      </w:tr>
    </w:tbl>
    <w:p w:rsidR="00E9104D" w:rsidRDefault="00E9104D" w:rsidP="009F718A">
      <w:pPr>
        <w:rPr>
          <w:rFonts w:eastAsia="Arial Unicode MS"/>
        </w:rPr>
      </w:pPr>
    </w:p>
    <w:p w:rsidR="001210EB" w:rsidRPr="009F718A" w:rsidRDefault="00D94700" w:rsidP="000C60F4">
      <w:pPr>
        <w:jc w:val="both"/>
        <w:rPr>
          <w:rFonts w:eastAsia="Arial Unicode MS"/>
        </w:rPr>
      </w:pPr>
      <w:r>
        <w:rPr>
          <w:rFonts w:eastAsia="Arial Unicode MS"/>
        </w:rPr>
        <w:t>Durin</w:t>
      </w:r>
      <w:r w:rsidR="00401F54">
        <w:rPr>
          <w:rFonts w:eastAsia="Arial Unicode MS"/>
        </w:rPr>
        <w:t>g the summer measurements, over</w:t>
      </w:r>
      <w:r>
        <w:rPr>
          <w:rFonts w:eastAsia="Arial Unicode MS"/>
        </w:rPr>
        <w:t>heating was evident in two homes with peak temperatures of 27.6</w:t>
      </w:r>
      <w:r w:rsidRPr="000E0FA4">
        <w:rPr>
          <w:rFonts w:eastAsia="Arial Unicode MS" w:hint="eastAsia"/>
        </w:rPr>
        <w:t>°</w:t>
      </w:r>
      <w:r w:rsidRPr="000E0FA4">
        <w:rPr>
          <w:rFonts w:eastAsia="Arial Unicode MS"/>
        </w:rPr>
        <w:t>C</w:t>
      </w:r>
      <w:r>
        <w:rPr>
          <w:rFonts w:eastAsia="Arial Unicode MS"/>
        </w:rPr>
        <w:t xml:space="preserve"> in the bedroom of No.2 and 28.2</w:t>
      </w:r>
      <w:r w:rsidRPr="000E0FA4">
        <w:rPr>
          <w:rFonts w:eastAsia="Arial Unicode MS" w:hint="eastAsia"/>
        </w:rPr>
        <w:t>°</w:t>
      </w:r>
      <w:r w:rsidRPr="000E0FA4">
        <w:rPr>
          <w:rFonts w:eastAsia="Arial Unicode MS"/>
        </w:rPr>
        <w:t>C</w:t>
      </w:r>
      <w:r>
        <w:rPr>
          <w:rFonts w:eastAsia="Arial Unicode MS"/>
        </w:rPr>
        <w:t xml:space="preserve"> in the living room of No</w:t>
      </w:r>
      <w:r w:rsidR="00C40390">
        <w:rPr>
          <w:rFonts w:eastAsia="Arial Unicode MS"/>
        </w:rPr>
        <w:t xml:space="preserve">.5. Average temperatures in the living room of three out of five dwellings </w:t>
      </w:r>
      <w:r>
        <w:rPr>
          <w:rFonts w:eastAsia="Arial Unicode MS"/>
        </w:rPr>
        <w:t>were higher than recom</w:t>
      </w:r>
      <w:r w:rsidR="00C40390">
        <w:rPr>
          <w:rFonts w:eastAsia="Arial Unicode MS"/>
        </w:rPr>
        <w:t>mended levels for comfort (18-24</w:t>
      </w:r>
      <w:r w:rsidRPr="000E0FA4">
        <w:rPr>
          <w:rFonts w:eastAsia="Arial Unicode MS" w:hint="eastAsia"/>
        </w:rPr>
        <w:t>°</w:t>
      </w:r>
      <w:r w:rsidRPr="000E0FA4">
        <w:rPr>
          <w:rFonts w:eastAsia="Arial Unicode MS"/>
        </w:rPr>
        <w:t>C</w:t>
      </w:r>
      <w:r>
        <w:rPr>
          <w:rFonts w:eastAsia="Arial Unicode MS"/>
        </w:rPr>
        <w:t xml:space="preserve">). </w:t>
      </w:r>
    </w:p>
    <w:p w:rsidR="00342EFE" w:rsidRDefault="00342EFE" w:rsidP="00633EBF">
      <w:pPr>
        <w:pStyle w:val="Heading20"/>
        <w:numPr>
          <w:ilvl w:val="1"/>
          <w:numId w:val="12"/>
        </w:numPr>
        <w:rPr>
          <w:rFonts w:eastAsia="Arial Unicode MS" w:cs="Arial"/>
        </w:rPr>
      </w:pPr>
      <w:r>
        <w:rPr>
          <w:rFonts w:eastAsia="Arial Unicode MS" w:cs="Arial"/>
        </w:rPr>
        <w:t>Formaldehyde levels in summer</w:t>
      </w:r>
    </w:p>
    <w:p w:rsidR="002F4515" w:rsidRDefault="002F4515" w:rsidP="000C60F4">
      <w:pPr>
        <w:jc w:val="both"/>
        <w:rPr>
          <w:rFonts w:eastAsia="Arial Unicode MS"/>
        </w:rPr>
      </w:pPr>
      <w:r>
        <w:rPr>
          <w:rFonts w:eastAsia="Arial Unicode MS"/>
        </w:rPr>
        <w:t xml:space="preserve">Levels of formaldehyde peaked above the recommended limit of 0.08ppm in three of the </w:t>
      </w:r>
      <w:r w:rsidR="001C2DBA">
        <w:rPr>
          <w:rFonts w:eastAsia="Arial Unicode MS"/>
        </w:rPr>
        <w:t>six</w:t>
      </w:r>
      <w:r>
        <w:rPr>
          <w:rFonts w:eastAsia="Arial Unicode MS"/>
        </w:rPr>
        <w:t xml:space="preserve"> households monit</w:t>
      </w:r>
      <w:r w:rsidR="003713CC">
        <w:rPr>
          <w:rFonts w:eastAsia="Arial Unicode MS"/>
        </w:rPr>
        <w:t>ored during the summer months. Significantly high a</w:t>
      </w:r>
      <w:r>
        <w:rPr>
          <w:rFonts w:eastAsia="Arial Unicode MS"/>
        </w:rPr>
        <w:t>verage levels of 0.23ppm and 0.21ppm w</w:t>
      </w:r>
      <w:r w:rsidR="001C2DBA">
        <w:rPr>
          <w:rFonts w:eastAsia="Arial Unicode MS"/>
        </w:rPr>
        <w:t>ere recorded in No.1 and No.6. The d</w:t>
      </w:r>
      <w:r>
        <w:rPr>
          <w:rFonts w:eastAsia="Arial Unicode MS"/>
        </w:rPr>
        <w:t>ata obtained from the occupant diary do</w:t>
      </w:r>
      <w:r w:rsidR="001C2DBA">
        <w:rPr>
          <w:rFonts w:eastAsia="Arial Unicode MS"/>
        </w:rPr>
        <w:t>es</w:t>
      </w:r>
      <w:r>
        <w:rPr>
          <w:rFonts w:eastAsia="Arial Unicode MS"/>
        </w:rPr>
        <w:t xml:space="preserve"> not provide a reasonable exp</w:t>
      </w:r>
      <w:r w:rsidR="003713CC">
        <w:rPr>
          <w:rFonts w:eastAsia="Arial Unicode MS"/>
        </w:rPr>
        <w:t xml:space="preserve">lanation for these high levels. </w:t>
      </w:r>
      <w:r w:rsidR="005D2483">
        <w:rPr>
          <w:rFonts w:eastAsia="Arial Unicode MS"/>
        </w:rPr>
        <w:t xml:space="preserve">Figure 5 presents the levels of formaldehyde in No.1 over the 24 hour monitoring period. </w:t>
      </w:r>
    </w:p>
    <w:p w:rsidR="002F4515" w:rsidRPr="002F4515" w:rsidRDefault="002F4515" w:rsidP="002F4515">
      <w:pPr>
        <w:rPr>
          <w:rFonts w:eastAsia="Arial Unicode MS"/>
        </w:rPr>
      </w:pPr>
    </w:p>
    <w:p w:rsidR="000E0FA4" w:rsidRPr="000E0FA4" w:rsidRDefault="00CB4E25" w:rsidP="00342EFE">
      <w:pPr>
        <w:pStyle w:val="15TableTitle"/>
        <w:ind w:left="0" w:firstLine="0"/>
        <w:jc w:val="left"/>
        <w:rPr>
          <w:rFonts w:ascii="Arial Unicode MS" w:eastAsia="Arial Unicode MS" w:hAnsi="Arial Unicode MS" w:cs="Arial Unicode MS"/>
          <w:b w:val="0"/>
        </w:rPr>
      </w:pPr>
      <w:r>
        <w:rPr>
          <w:rFonts w:ascii="Arial Unicode MS" w:eastAsia="Arial Unicode MS" w:hAnsi="Arial Unicode MS" w:cs="Arial Unicode MS"/>
          <w:b w:val="0"/>
        </w:rPr>
        <w:t>Table 10</w:t>
      </w:r>
      <w:r w:rsidR="00342EFE" w:rsidRPr="000E0FA4">
        <w:rPr>
          <w:rFonts w:ascii="Arial Unicode MS" w:eastAsia="Arial Unicode MS" w:hAnsi="Arial Unicode MS" w:cs="Arial Unicode MS"/>
          <w:b w:val="0"/>
        </w:rPr>
        <w:t>.   Summer formaldehyde levels (ppm) in living room</w:t>
      </w:r>
    </w:p>
    <w:tbl>
      <w:tblPr>
        <w:tblW w:w="4903" w:type="pct"/>
        <w:jc w:val="center"/>
        <w:tblBorders>
          <w:top w:val="single" w:sz="18" w:space="0" w:color="auto"/>
          <w:bottom w:val="single" w:sz="18" w:space="0" w:color="auto"/>
        </w:tblBorders>
        <w:tblLook w:val="04A0" w:firstRow="1" w:lastRow="0" w:firstColumn="1" w:lastColumn="0" w:noHBand="0" w:noVBand="1"/>
      </w:tblPr>
      <w:tblGrid>
        <w:gridCol w:w="3369"/>
        <w:gridCol w:w="890"/>
        <w:gridCol w:w="912"/>
        <w:gridCol w:w="939"/>
        <w:gridCol w:w="1006"/>
        <w:gridCol w:w="972"/>
        <w:gridCol w:w="975"/>
      </w:tblGrid>
      <w:tr w:rsidR="00FF34A1" w:rsidRPr="00532A5F" w:rsidTr="00FF34A1">
        <w:trPr>
          <w:jc w:val="center"/>
        </w:trPr>
        <w:tc>
          <w:tcPr>
            <w:tcW w:w="1859" w:type="pct"/>
            <w:tcBorders>
              <w:top w:val="single" w:sz="2" w:space="0" w:color="auto"/>
              <w:bottom w:val="single" w:sz="2" w:space="0" w:color="auto"/>
            </w:tcBorders>
            <w:vAlign w:val="center"/>
          </w:tcPr>
          <w:p w:rsidR="00342EFE" w:rsidRPr="00532A5F" w:rsidRDefault="00342EFE" w:rsidP="000E0FA4">
            <w:pPr>
              <w:pStyle w:val="NoSpacing"/>
            </w:pPr>
          </w:p>
        </w:tc>
        <w:tc>
          <w:tcPr>
            <w:tcW w:w="491" w:type="pct"/>
            <w:tcBorders>
              <w:top w:val="single" w:sz="2" w:space="0" w:color="auto"/>
              <w:bottom w:val="single" w:sz="2" w:space="0" w:color="auto"/>
            </w:tcBorders>
            <w:vAlign w:val="center"/>
          </w:tcPr>
          <w:p w:rsidR="00342EFE" w:rsidRPr="00532A5F" w:rsidRDefault="00342EFE" w:rsidP="000E0FA4">
            <w:pPr>
              <w:pStyle w:val="NoSpacing"/>
            </w:pPr>
            <w:r w:rsidRPr="00532A5F">
              <w:t>No.1</w:t>
            </w:r>
          </w:p>
        </w:tc>
        <w:tc>
          <w:tcPr>
            <w:tcW w:w="503" w:type="pct"/>
            <w:tcBorders>
              <w:top w:val="single" w:sz="2" w:space="0" w:color="auto"/>
              <w:bottom w:val="single" w:sz="2" w:space="0" w:color="auto"/>
            </w:tcBorders>
            <w:vAlign w:val="center"/>
          </w:tcPr>
          <w:p w:rsidR="00342EFE" w:rsidRPr="00532A5F" w:rsidRDefault="00342EFE" w:rsidP="000E0FA4">
            <w:pPr>
              <w:pStyle w:val="NoSpacing"/>
            </w:pPr>
            <w:r w:rsidRPr="00532A5F">
              <w:t>No.2</w:t>
            </w:r>
          </w:p>
        </w:tc>
        <w:tc>
          <w:tcPr>
            <w:tcW w:w="518" w:type="pct"/>
            <w:tcBorders>
              <w:top w:val="single" w:sz="2" w:space="0" w:color="auto"/>
              <w:bottom w:val="single" w:sz="2" w:space="0" w:color="auto"/>
            </w:tcBorders>
            <w:vAlign w:val="center"/>
          </w:tcPr>
          <w:p w:rsidR="00342EFE" w:rsidRPr="00532A5F" w:rsidRDefault="00342EFE" w:rsidP="000E0FA4">
            <w:pPr>
              <w:pStyle w:val="NoSpacing"/>
            </w:pPr>
            <w:r w:rsidRPr="00532A5F">
              <w:t>No.3</w:t>
            </w:r>
          </w:p>
        </w:tc>
        <w:tc>
          <w:tcPr>
            <w:tcW w:w="555" w:type="pct"/>
            <w:tcBorders>
              <w:top w:val="single" w:sz="2" w:space="0" w:color="auto"/>
              <w:bottom w:val="single" w:sz="2" w:space="0" w:color="auto"/>
            </w:tcBorders>
            <w:vAlign w:val="center"/>
          </w:tcPr>
          <w:p w:rsidR="00342EFE" w:rsidRPr="00532A5F" w:rsidRDefault="00342EFE" w:rsidP="000E0FA4">
            <w:pPr>
              <w:pStyle w:val="NoSpacing"/>
            </w:pPr>
            <w:r w:rsidRPr="00532A5F">
              <w:t>No.4</w:t>
            </w:r>
          </w:p>
        </w:tc>
        <w:tc>
          <w:tcPr>
            <w:tcW w:w="536" w:type="pct"/>
            <w:tcBorders>
              <w:top w:val="single" w:sz="2" w:space="0" w:color="auto"/>
              <w:bottom w:val="single" w:sz="2" w:space="0" w:color="auto"/>
            </w:tcBorders>
            <w:vAlign w:val="center"/>
          </w:tcPr>
          <w:p w:rsidR="00342EFE" w:rsidRPr="00532A5F" w:rsidRDefault="00342EFE" w:rsidP="000E0FA4">
            <w:pPr>
              <w:pStyle w:val="NoSpacing"/>
            </w:pPr>
            <w:r w:rsidRPr="00532A5F">
              <w:t>No.5</w:t>
            </w:r>
          </w:p>
        </w:tc>
        <w:tc>
          <w:tcPr>
            <w:tcW w:w="538" w:type="pct"/>
            <w:tcBorders>
              <w:top w:val="single" w:sz="2" w:space="0" w:color="auto"/>
              <w:bottom w:val="single" w:sz="2" w:space="0" w:color="auto"/>
            </w:tcBorders>
            <w:vAlign w:val="center"/>
          </w:tcPr>
          <w:p w:rsidR="00342EFE" w:rsidRPr="00532A5F" w:rsidRDefault="00342EFE" w:rsidP="000E0FA4">
            <w:pPr>
              <w:pStyle w:val="NoSpacing"/>
            </w:pPr>
            <w:r w:rsidRPr="00532A5F">
              <w:t>No.6</w:t>
            </w:r>
          </w:p>
        </w:tc>
      </w:tr>
      <w:tr w:rsidR="001C41F7" w:rsidRPr="00532A5F" w:rsidTr="00FF5CF9">
        <w:trPr>
          <w:jc w:val="center"/>
        </w:trPr>
        <w:tc>
          <w:tcPr>
            <w:tcW w:w="1859" w:type="pct"/>
            <w:tcBorders>
              <w:top w:val="single" w:sz="2" w:space="0" w:color="auto"/>
            </w:tcBorders>
            <w:vAlign w:val="center"/>
          </w:tcPr>
          <w:p w:rsidR="001C41F7" w:rsidRPr="00532A5F" w:rsidRDefault="001C41F7" w:rsidP="000E0FA4">
            <w:pPr>
              <w:pStyle w:val="NoSpacing"/>
              <w:rPr>
                <w:sz w:val="20"/>
              </w:rPr>
            </w:pPr>
            <w:r w:rsidRPr="00532A5F">
              <w:rPr>
                <w:sz w:val="20"/>
              </w:rPr>
              <w:t>Maximum</w:t>
            </w:r>
          </w:p>
        </w:tc>
        <w:tc>
          <w:tcPr>
            <w:tcW w:w="491" w:type="pct"/>
            <w:tcBorders>
              <w:top w:val="single" w:sz="2" w:space="0" w:color="auto"/>
            </w:tcBorders>
            <w:vAlign w:val="center"/>
          </w:tcPr>
          <w:p w:rsidR="001C41F7" w:rsidRPr="00532A5F" w:rsidRDefault="001C41F7" w:rsidP="000E0FA4">
            <w:pPr>
              <w:pStyle w:val="NoSpacing"/>
              <w:rPr>
                <w:sz w:val="20"/>
              </w:rPr>
            </w:pPr>
            <w:r>
              <w:rPr>
                <w:sz w:val="20"/>
              </w:rPr>
              <w:t>0.76</w:t>
            </w:r>
          </w:p>
        </w:tc>
        <w:tc>
          <w:tcPr>
            <w:tcW w:w="503" w:type="pct"/>
            <w:tcBorders>
              <w:top w:val="single" w:sz="2" w:space="0" w:color="auto"/>
            </w:tcBorders>
            <w:vAlign w:val="center"/>
          </w:tcPr>
          <w:p w:rsidR="001C41F7" w:rsidRPr="00532A5F" w:rsidRDefault="001C41F7" w:rsidP="000E0FA4">
            <w:pPr>
              <w:pStyle w:val="NoSpacing"/>
              <w:rPr>
                <w:sz w:val="20"/>
              </w:rPr>
            </w:pPr>
            <w:r>
              <w:rPr>
                <w:sz w:val="20"/>
              </w:rPr>
              <w:t>0.38</w:t>
            </w:r>
          </w:p>
        </w:tc>
        <w:tc>
          <w:tcPr>
            <w:tcW w:w="518" w:type="pct"/>
            <w:tcBorders>
              <w:top w:val="single" w:sz="2" w:space="0" w:color="auto"/>
            </w:tcBorders>
            <w:vAlign w:val="center"/>
          </w:tcPr>
          <w:p w:rsidR="001C41F7" w:rsidRPr="00532A5F" w:rsidRDefault="001C41F7" w:rsidP="000E0FA4">
            <w:pPr>
              <w:pStyle w:val="NoSpacing"/>
              <w:rPr>
                <w:sz w:val="20"/>
              </w:rPr>
            </w:pPr>
            <w:r>
              <w:rPr>
                <w:sz w:val="20"/>
              </w:rPr>
              <w:t>0.03</w:t>
            </w:r>
          </w:p>
        </w:tc>
        <w:tc>
          <w:tcPr>
            <w:tcW w:w="555" w:type="pct"/>
            <w:tcBorders>
              <w:top w:val="single" w:sz="2" w:space="0" w:color="auto"/>
            </w:tcBorders>
            <w:vAlign w:val="bottom"/>
          </w:tcPr>
          <w:p w:rsidR="001C41F7" w:rsidRPr="001C41F7" w:rsidRDefault="001C41F7" w:rsidP="001C41F7">
            <w:pPr>
              <w:rPr>
                <w:rFonts w:ascii="Calibri" w:hAnsi="Calibri"/>
                <w:color w:val="000000"/>
                <w:szCs w:val="20"/>
              </w:rPr>
            </w:pPr>
            <w:r w:rsidRPr="001C41F7">
              <w:rPr>
                <w:rFonts w:ascii="Calibri" w:hAnsi="Calibri"/>
                <w:color w:val="000000"/>
                <w:szCs w:val="20"/>
              </w:rPr>
              <w:t>0.06</w:t>
            </w:r>
          </w:p>
        </w:tc>
        <w:tc>
          <w:tcPr>
            <w:tcW w:w="536" w:type="pct"/>
            <w:tcBorders>
              <w:top w:val="single" w:sz="2" w:space="0" w:color="auto"/>
            </w:tcBorders>
            <w:vAlign w:val="center"/>
          </w:tcPr>
          <w:p w:rsidR="001C41F7" w:rsidRPr="00532A5F" w:rsidRDefault="001C41F7" w:rsidP="000E0FA4">
            <w:pPr>
              <w:pStyle w:val="NoSpacing"/>
              <w:rPr>
                <w:sz w:val="20"/>
              </w:rPr>
            </w:pPr>
            <w:r>
              <w:rPr>
                <w:sz w:val="20"/>
              </w:rPr>
              <w:t>0.06</w:t>
            </w:r>
          </w:p>
        </w:tc>
        <w:tc>
          <w:tcPr>
            <w:tcW w:w="538" w:type="pct"/>
            <w:tcBorders>
              <w:top w:val="single" w:sz="2" w:space="0" w:color="auto"/>
            </w:tcBorders>
            <w:vAlign w:val="center"/>
          </w:tcPr>
          <w:p w:rsidR="001C41F7" w:rsidRPr="00532A5F" w:rsidRDefault="001C41F7" w:rsidP="000E0FA4">
            <w:pPr>
              <w:pStyle w:val="NoSpacing"/>
              <w:rPr>
                <w:sz w:val="20"/>
              </w:rPr>
            </w:pPr>
            <w:r>
              <w:rPr>
                <w:sz w:val="20"/>
              </w:rPr>
              <w:t>0.88</w:t>
            </w:r>
          </w:p>
        </w:tc>
      </w:tr>
      <w:tr w:rsidR="001C41F7" w:rsidRPr="00532A5F" w:rsidTr="00FF5CF9">
        <w:trPr>
          <w:jc w:val="center"/>
        </w:trPr>
        <w:tc>
          <w:tcPr>
            <w:tcW w:w="1859" w:type="pct"/>
            <w:vAlign w:val="center"/>
          </w:tcPr>
          <w:p w:rsidR="001C41F7" w:rsidRPr="00532A5F" w:rsidRDefault="001C41F7" w:rsidP="000E0FA4">
            <w:pPr>
              <w:pStyle w:val="NoSpacing"/>
              <w:rPr>
                <w:sz w:val="20"/>
              </w:rPr>
            </w:pPr>
            <w:r w:rsidRPr="00532A5F">
              <w:rPr>
                <w:sz w:val="20"/>
              </w:rPr>
              <w:t>Minimum</w:t>
            </w:r>
          </w:p>
        </w:tc>
        <w:tc>
          <w:tcPr>
            <w:tcW w:w="491" w:type="pct"/>
            <w:vAlign w:val="center"/>
          </w:tcPr>
          <w:p w:rsidR="001C41F7" w:rsidRPr="00532A5F" w:rsidRDefault="001C41F7" w:rsidP="000E0FA4">
            <w:pPr>
              <w:pStyle w:val="NoSpacing"/>
              <w:rPr>
                <w:sz w:val="20"/>
              </w:rPr>
            </w:pPr>
            <w:r>
              <w:rPr>
                <w:sz w:val="20"/>
              </w:rPr>
              <w:t>0.04</w:t>
            </w:r>
          </w:p>
        </w:tc>
        <w:tc>
          <w:tcPr>
            <w:tcW w:w="503" w:type="pct"/>
            <w:vAlign w:val="center"/>
          </w:tcPr>
          <w:p w:rsidR="001C41F7" w:rsidRPr="00532A5F" w:rsidRDefault="001C41F7" w:rsidP="000E0FA4">
            <w:pPr>
              <w:pStyle w:val="NoSpacing"/>
              <w:rPr>
                <w:sz w:val="20"/>
              </w:rPr>
            </w:pPr>
            <w:r>
              <w:rPr>
                <w:sz w:val="20"/>
              </w:rPr>
              <w:t>0.00</w:t>
            </w:r>
          </w:p>
        </w:tc>
        <w:tc>
          <w:tcPr>
            <w:tcW w:w="518" w:type="pct"/>
            <w:vAlign w:val="center"/>
          </w:tcPr>
          <w:p w:rsidR="001C41F7" w:rsidRPr="00532A5F" w:rsidRDefault="001C41F7" w:rsidP="000E0FA4">
            <w:pPr>
              <w:pStyle w:val="NoSpacing"/>
              <w:rPr>
                <w:sz w:val="20"/>
              </w:rPr>
            </w:pPr>
            <w:r>
              <w:rPr>
                <w:sz w:val="20"/>
              </w:rPr>
              <w:t>0.00</w:t>
            </w:r>
          </w:p>
        </w:tc>
        <w:tc>
          <w:tcPr>
            <w:tcW w:w="555" w:type="pct"/>
            <w:vAlign w:val="bottom"/>
          </w:tcPr>
          <w:p w:rsidR="001C41F7" w:rsidRPr="001C41F7" w:rsidRDefault="001C41F7" w:rsidP="001C41F7">
            <w:pPr>
              <w:rPr>
                <w:rFonts w:ascii="Calibri" w:hAnsi="Calibri"/>
                <w:color w:val="000000"/>
                <w:szCs w:val="20"/>
              </w:rPr>
            </w:pPr>
            <w:r w:rsidRPr="001C41F7">
              <w:rPr>
                <w:rFonts w:ascii="Calibri" w:hAnsi="Calibri"/>
                <w:color w:val="000000"/>
                <w:szCs w:val="20"/>
              </w:rPr>
              <w:t>0.00</w:t>
            </w:r>
          </w:p>
        </w:tc>
        <w:tc>
          <w:tcPr>
            <w:tcW w:w="536" w:type="pct"/>
            <w:vAlign w:val="center"/>
          </w:tcPr>
          <w:p w:rsidR="001C41F7" w:rsidRPr="00532A5F" w:rsidRDefault="001C41F7" w:rsidP="000E0FA4">
            <w:pPr>
              <w:pStyle w:val="NoSpacing"/>
              <w:rPr>
                <w:sz w:val="20"/>
              </w:rPr>
            </w:pPr>
            <w:r>
              <w:rPr>
                <w:sz w:val="20"/>
              </w:rPr>
              <w:t>0.00</w:t>
            </w:r>
          </w:p>
        </w:tc>
        <w:tc>
          <w:tcPr>
            <w:tcW w:w="538" w:type="pct"/>
            <w:vAlign w:val="center"/>
          </w:tcPr>
          <w:p w:rsidR="001C41F7" w:rsidRPr="00532A5F" w:rsidRDefault="001C41F7" w:rsidP="000E0FA4">
            <w:pPr>
              <w:pStyle w:val="NoSpacing"/>
              <w:rPr>
                <w:sz w:val="20"/>
              </w:rPr>
            </w:pPr>
            <w:r>
              <w:rPr>
                <w:sz w:val="20"/>
              </w:rPr>
              <w:t>0.00</w:t>
            </w:r>
          </w:p>
        </w:tc>
      </w:tr>
      <w:tr w:rsidR="001C41F7" w:rsidRPr="00532A5F" w:rsidTr="00FF5CF9">
        <w:trPr>
          <w:jc w:val="center"/>
        </w:trPr>
        <w:tc>
          <w:tcPr>
            <w:tcW w:w="1859" w:type="pct"/>
            <w:vAlign w:val="center"/>
          </w:tcPr>
          <w:p w:rsidR="001C41F7" w:rsidRPr="00532A5F" w:rsidRDefault="001C41F7" w:rsidP="000E0FA4">
            <w:pPr>
              <w:pStyle w:val="NoSpacing"/>
              <w:rPr>
                <w:sz w:val="20"/>
              </w:rPr>
            </w:pPr>
            <w:r w:rsidRPr="00532A5F">
              <w:rPr>
                <w:sz w:val="20"/>
              </w:rPr>
              <w:t>Standard deviation</w:t>
            </w:r>
          </w:p>
        </w:tc>
        <w:tc>
          <w:tcPr>
            <w:tcW w:w="491" w:type="pct"/>
            <w:vAlign w:val="center"/>
          </w:tcPr>
          <w:p w:rsidR="001C41F7" w:rsidRPr="00532A5F" w:rsidRDefault="001C41F7" w:rsidP="000E0FA4">
            <w:pPr>
              <w:pStyle w:val="NoSpacing"/>
              <w:rPr>
                <w:sz w:val="20"/>
              </w:rPr>
            </w:pPr>
            <w:r>
              <w:rPr>
                <w:sz w:val="20"/>
              </w:rPr>
              <w:t>0.14</w:t>
            </w:r>
          </w:p>
        </w:tc>
        <w:tc>
          <w:tcPr>
            <w:tcW w:w="503" w:type="pct"/>
            <w:vAlign w:val="center"/>
          </w:tcPr>
          <w:p w:rsidR="001C41F7" w:rsidRPr="00532A5F" w:rsidRDefault="001C41F7" w:rsidP="000E0FA4">
            <w:pPr>
              <w:pStyle w:val="NoSpacing"/>
              <w:rPr>
                <w:sz w:val="20"/>
              </w:rPr>
            </w:pPr>
            <w:r>
              <w:rPr>
                <w:sz w:val="20"/>
              </w:rPr>
              <w:t>0.05</w:t>
            </w:r>
          </w:p>
        </w:tc>
        <w:tc>
          <w:tcPr>
            <w:tcW w:w="518" w:type="pct"/>
            <w:vAlign w:val="center"/>
          </w:tcPr>
          <w:p w:rsidR="001C41F7" w:rsidRPr="00532A5F" w:rsidRDefault="001C41F7" w:rsidP="000E0FA4">
            <w:pPr>
              <w:pStyle w:val="NoSpacing"/>
              <w:rPr>
                <w:sz w:val="20"/>
              </w:rPr>
            </w:pPr>
            <w:r>
              <w:rPr>
                <w:sz w:val="20"/>
              </w:rPr>
              <w:t>0.00</w:t>
            </w:r>
          </w:p>
        </w:tc>
        <w:tc>
          <w:tcPr>
            <w:tcW w:w="555" w:type="pct"/>
            <w:vAlign w:val="bottom"/>
          </w:tcPr>
          <w:p w:rsidR="001C41F7" w:rsidRPr="001C41F7" w:rsidRDefault="001C41F7" w:rsidP="001C41F7">
            <w:pPr>
              <w:rPr>
                <w:rFonts w:ascii="Calibri" w:hAnsi="Calibri"/>
                <w:color w:val="000000"/>
                <w:szCs w:val="20"/>
              </w:rPr>
            </w:pPr>
            <w:r w:rsidRPr="001C41F7">
              <w:rPr>
                <w:rFonts w:ascii="Calibri" w:hAnsi="Calibri"/>
                <w:color w:val="000000"/>
                <w:szCs w:val="20"/>
              </w:rPr>
              <w:t>0.01</w:t>
            </w:r>
          </w:p>
        </w:tc>
        <w:tc>
          <w:tcPr>
            <w:tcW w:w="536" w:type="pct"/>
            <w:vAlign w:val="center"/>
          </w:tcPr>
          <w:p w:rsidR="001C41F7" w:rsidRPr="00532A5F" w:rsidRDefault="001C41F7" w:rsidP="000E0FA4">
            <w:pPr>
              <w:pStyle w:val="NoSpacing"/>
              <w:rPr>
                <w:sz w:val="20"/>
              </w:rPr>
            </w:pPr>
            <w:r>
              <w:rPr>
                <w:sz w:val="20"/>
              </w:rPr>
              <w:t>0.01</w:t>
            </w:r>
          </w:p>
        </w:tc>
        <w:tc>
          <w:tcPr>
            <w:tcW w:w="538" w:type="pct"/>
            <w:vAlign w:val="center"/>
          </w:tcPr>
          <w:p w:rsidR="001C41F7" w:rsidRPr="00532A5F" w:rsidRDefault="001C41F7" w:rsidP="000E0FA4">
            <w:pPr>
              <w:pStyle w:val="NoSpacing"/>
              <w:rPr>
                <w:sz w:val="20"/>
              </w:rPr>
            </w:pPr>
            <w:r>
              <w:rPr>
                <w:sz w:val="20"/>
              </w:rPr>
              <w:t>0.19</w:t>
            </w:r>
          </w:p>
        </w:tc>
      </w:tr>
      <w:tr w:rsidR="001C41F7" w:rsidRPr="00532A5F" w:rsidTr="00FF5CF9">
        <w:trPr>
          <w:jc w:val="center"/>
        </w:trPr>
        <w:tc>
          <w:tcPr>
            <w:tcW w:w="1859" w:type="pct"/>
            <w:tcBorders>
              <w:bottom w:val="single" w:sz="2" w:space="0" w:color="auto"/>
            </w:tcBorders>
            <w:vAlign w:val="center"/>
          </w:tcPr>
          <w:p w:rsidR="001C41F7" w:rsidRPr="00532A5F" w:rsidRDefault="001C41F7" w:rsidP="000E0FA4">
            <w:pPr>
              <w:pStyle w:val="NoSpacing"/>
              <w:rPr>
                <w:sz w:val="20"/>
              </w:rPr>
            </w:pPr>
            <w:r w:rsidRPr="00532A5F">
              <w:rPr>
                <w:sz w:val="20"/>
              </w:rPr>
              <w:t>Average</w:t>
            </w:r>
          </w:p>
        </w:tc>
        <w:tc>
          <w:tcPr>
            <w:tcW w:w="491" w:type="pct"/>
            <w:tcBorders>
              <w:bottom w:val="single" w:sz="2" w:space="0" w:color="auto"/>
            </w:tcBorders>
            <w:vAlign w:val="center"/>
          </w:tcPr>
          <w:p w:rsidR="001C41F7" w:rsidRPr="00532A5F" w:rsidRDefault="001C41F7" w:rsidP="000E0FA4">
            <w:pPr>
              <w:pStyle w:val="NoSpacing"/>
              <w:rPr>
                <w:sz w:val="20"/>
              </w:rPr>
            </w:pPr>
            <w:r>
              <w:rPr>
                <w:sz w:val="20"/>
              </w:rPr>
              <w:t>0.23</w:t>
            </w:r>
          </w:p>
        </w:tc>
        <w:tc>
          <w:tcPr>
            <w:tcW w:w="503" w:type="pct"/>
            <w:tcBorders>
              <w:bottom w:val="single" w:sz="2" w:space="0" w:color="auto"/>
            </w:tcBorders>
            <w:vAlign w:val="center"/>
          </w:tcPr>
          <w:p w:rsidR="001C41F7" w:rsidRPr="00532A5F" w:rsidRDefault="001C41F7" w:rsidP="000E0FA4">
            <w:pPr>
              <w:pStyle w:val="NoSpacing"/>
              <w:rPr>
                <w:sz w:val="20"/>
              </w:rPr>
            </w:pPr>
            <w:r>
              <w:rPr>
                <w:sz w:val="20"/>
              </w:rPr>
              <w:t>0.02</w:t>
            </w:r>
          </w:p>
        </w:tc>
        <w:tc>
          <w:tcPr>
            <w:tcW w:w="518" w:type="pct"/>
            <w:tcBorders>
              <w:bottom w:val="single" w:sz="2" w:space="0" w:color="auto"/>
            </w:tcBorders>
            <w:vAlign w:val="center"/>
          </w:tcPr>
          <w:p w:rsidR="001C41F7" w:rsidRPr="00532A5F" w:rsidRDefault="001C41F7" w:rsidP="000E0FA4">
            <w:pPr>
              <w:pStyle w:val="NoSpacing"/>
              <w:rPr>
                <w:sz w:val="20"/>
              </w:rPr>
            </w:pPr>
            <w:r>
              <w:rPr>
                <w:sz w:val="20"/>
              </w:rPr>
              <w:t>0.00</w:t>
            </w:r>
          </w:p>
        </w:tc>
        <w:tc>
          <w:tcPr>
            <w:tcW w:w="555" w:type="pct"/>
            <w:tcBorders>
              <w:bottom w:val="single" w:sz="2" w:space="0" w:color="auto"/>
            </w:tcBorders>
            <w:vAlign w:val="bottom"/>
          </w:tcPr>
          <w:p w:rsidR="001C41F7" w:rsidRPr="001C41F7" w:rsidRDefault="001C41F7" w:rsidP="001C41F7">
            <w:pPr>
              <w:rPr>
                <w:rFonts w:ascii="Calibri" w:hAnsi="Calibri"/>
                <w:color w:val="000000"/>
                <w:szCs w:val="20"/>
              </w:rPr>
            </w:pPr>
            <w:r w:rsidRPr="001C41F7">
              <w:rPr>
                <w:rFonts w:ascii="Calibri" w:hAnsi="Calibri"/>
                <w:color w:val="000000"/>
                <w:szCs w:val="20"/>
              </w:rPr>
              <w:t>0.00</w:t>
            </w:r>
          </w:p>
        </w:tc>
        <w:tc>
          <w:tcPr>
            <w:tcW w:w="536" w:type="pct"/>
            <w:tcBorders>
              <w:bottom w:val="single" w:sz="2" w:space="0" w:color="auto"/>
            </w:tcBorders>
            <w:vAlign w:val="center"/>
          </w:tcPr>
          <w:p w:rsidR="001C41F7" w:rsidRPr="00532A5F" w:rsidRDefault="001C41F7" w:rsidP="000E0FA4">
            <w:pPr>
              <w:pStyle w:val="NoSpacing"/>
              <w:rPr>
                <w:sz w:val="20"/>
              </w:rPr>
            </w:pPr>
            <w:r>
              <w:rPr>
                <w:sz w:val="20"/>
              </w:rPr>
              <w:t>0.00</w:t>
            </w:r>
          </w:p>
        </w:tc>
        <w:tc>
          <w:tcPr>
            <w:tcW w:w="538" w:type="pct"/>
            <w:tcBorders>
              <w:bottom w:val="single" w:sz="2" w:space="0" w:color="auto"/>
            </w:tcBorders>
            <w:vAlign w:val="center"/>
          </w:tcPr>
          <w:p w:rsidR="001C41F7" w:rsidRPr="00532A5F" w:rsidRDefault="001C41F7" w:rsidP="000E0FA4">
            <w:pPr>
              <w:pStyle w:val="NoSpacing"/>
              <w:rPr>
                <w:sz w:val="20"/>
              </w:rPr>
            </w:pPr>
            <w:r>
              <w:rPr>
                <w:sz w:val="20"/>
              </w:rPr>
              <w:t>0.21</w:t>
            </w:r>
          </w:p>
        </w:tc>
      </w:tr>
      <w:tr w:rsidR="00FF34A1" w:rsidRPr="00532A5F" w:rsidTr="00FF34A1">
        <w:trPr>
          <w:jc w:val="center"/>
        </w:trPr>
        <w:tc>
          <w:tcPr>
            <w:tcW w:w="1859" w:type="pct"/>
            <w:tcBorders>
              <w:top w:val="single" w:sz="2" w:space="0" w:color="auto"/>
              <w:bottom w:val="nil"/>
            </w:tcBorders>
            <w:vAlign w:val="center"/>
          </w:tcPr>
          <w:p w:rsidR="00FF34A1" w:rsidRPr="00532A5F" w:rsidRDefault="00FF34A1" w:rsidP="000E0FA4">
            <w:pPr>
              <w:pStyle w:val="NoSpacing"/>
              <w:rPr>
                <w:sz w:val="20"/>
              </w:rPr>
            </w:pPr>
            <w:r>
              <w:rPr>
                <w:sz w:val="20"/>
              </w:rPr>
              <w:t>Use of air fresheners</w:t>
            </w:r>
          </w:p>
        </w:tc>
        <w:tc>
          <w:tcPr>
            <w:tcW w:w="491" w:type="pct"/>
            <w:tcBorders>
              <w:top w:val="single" w:sz="2" w:space="0" w:color="auto"/>
              <w:bottom w:val="nil"/>
            </w:tcBorders>
            <w:vAlign w:val="center"/>
          </w:tcPr>
          <w:p w:rsidR="00FF34A1" w:rsidRDefault="00FF34A1" w:rsidP="000E0FA4">
            <w:pPr>
              <w:pStyle w:val="NoSpacing"/>
              <w:rPr>
                <w:sz w:val="20"/>
              </w:rPr>
            </w:pPr>
            <w:r>
              <w:rPr>
                <w:sz w:val="20"/>
              </w:rPr>
              <w:t>No</w:t>
            </w:r>
          </w:p>
        </w:tc>
        <w:tc>
          <w:tcPr>
            <w:tcW w:w="503" w:type="pct"/>
            <w:tcBorders>
              <w:top w:val="single" w:sz="2" w:space="0" w:color="auto"/>
              <w:bottom w:val="nil"/>
            </w:tcBorders>
            <w:vAlign w:val="center"/>
          </w:tcPr>
          <w:p w:rsidR="00FF34A1" w:rsidRDefault="00FF34A1" w:rsidP="000E0FA4">
            <w:pPr>
              <w:pStyle w:val="NoSpacing"/>
              <w:rPr>
                <w:sz w:val="20"/>
              </w:rPr>
            </w:pPr>
            <w:r>
              <w:rPr>
                <w:sz w:val="20"/>
              </w:rPr>
              <w:t>No</w:t>
            </w:r>
          </w:p>
        </w:tc>
        <w:tc>
          <w:tcPr>
            <w:tcW w:w="518" w:type="pct"/>
            <w:tcBorders>
              <w:top w:val="single" w:sz="2" w:space="0" w:color="auto"/>
              <w:bottom w:val="nil"/>
            </w:tcBorders>
            <w:vAlign w:val="center"/>
          </w:tcPr>
          <w:p w:rsidR="00FF34A1" w:rsidRDefault="00FF34A1" w:rsidP="000E0FA4">
            <w:pPr>
              <w:pStyle w:val="NoSpacing"/>
              <w:rPr>
                <w:sz w:val="20"/>
              </w:rPr>
            </w:pPr>
            <w:r>
              <w:rPr>
                <w:sz w:val="20"/>
              </w:rPr>
              <w:t>No</w:t>
            </w:r>
          </w:p>
        </w:tc>
        <w:tc>
          <w:tcPr>
            <w:tcW w:w="555" w:type="pct"/>
            <w:tcBorders>
              <w:top w:val="single" w:sz="2" w:space="0" w:color="auto"/>
              <w:bottom w:val="nil"/>
            </w:tcBorders>
            <w:vAlign w:val="center"/>
          </w:tcPr>
          <w:p w:rsidR="00FF34A1" w:rsidRDefault="003D06FF" w:rsidP="000E0FA4">
            <w:pPr>
              <w:pStyle w:val="NoSpacing"/>
              <w:rPr>
                <w:sz w:val="20"/>
              </w:rPr>
            </w:pPr>
            <w:r>
              <w:rPr>
                <w:sz w:val="20"/>
              </w:rPr>
              <w:t>Yes</w:t>
            </w:r>
          </w:p>
        </w:tc>
        <w:tc>
          <w:tcPr>
            <w:tcW w:w="536" w:type="pct"/>
            <w:tcBorders>
              <w:top w:val="single" w:sz="2" w:space="0" w:color="auto"/>
              <w:bottom w:val="nil"/>
            </w:tcBorders>
            <w:vAlign w:val="center"/>
          </w:tcPr>
          <w:p w:rsidR="00FF34A1" w:rsidRDefault="00FF34A1" w:rsidP="000E0FA4">
            <w:pPr>
              <w:pStyle w:val="NoSpacing"/>
              <w:rPr>
                <w:sz w:val="20"/>
              </w:rPr>
            </w:pPr>
            <w:r>
              <w:rPr>
                <w:sz w:val="20"/>
              </w:rPr>
              <w:t>Yes</w:t>
            </w:r>
          </w:p>
        </w:tc>
        <w:tc>
          <w:tcPr>
            <w:tcW w:w="538" w:type="pct"/>
            <w:tcBorders>
              <w:top w:val="single" w:sz="2" w:space="0" w:color="auto"/>
              <w:bottom w:val="nil"/>
            </w:tcBorders>
            <w:vAlign w:val="center"/>
          </w:tcPr>
          <w:p w:rsidR="00FF34A1" w:rsidRDefault="00FF34A1" w:rsidP="000E0FA4">
            <w:pPr>
              <w:pStyle w:val="NoSpacing"/>
              <w:rPr>
                <w:sz w:val="20"/>
              </w:rPr>
            </w:pPr>
            <w:r>
              <w:rPr>
                <w:sz w:val="20"/>
              </w:rPr>
              <w:t>Yes</w:t>
            </w:r>
          </w:p>
        </w:tc>
      </w:tr>
      <w:tr w:rsidR="00FF34A1" w:rsidRPr="00532A5F" w:rsidTr="00FF34A1">
        <w:trPr>
          <w:jc w:val="center"/>
        </w:trPr>
        <w:tc>
          <w:tcPr>
            <w:tcW w:w="1859" w:type="pct"/>
            <w:tcBorders>
              <w:top w:val="nil"/>
              <w:bottom w:val="nil"/>
            </w:tcBorders>
            <w:vAlign w:val="center"/>
          </w:tcPr>
          <w:p w:rsidR="00FF34A1" w:rsidRPr="00532A5F" w:rsidRDefault="00FF34A1" w:rsidP="000E0FA4">
            <w:pPr>
              <w:pStyle w:val="NoSpacing"/>
              <w:rPr>
                <w:sz w:val="20"/>
              </w:rPr>
            </w:pPr>
            <w:r>
              <w:rPr>
                <w:sz w:val="20"/>
              </w:rPr>
              <w:t>Use of scented candles or incense</w:t>
            </w:r>
          </w:p>
        </w:tc>
        <w:tc>
          <w:tcPr>
            <w:tcW w:w="491" w:type="pct"/>
            <w:tcBorders>
              <w:top w:val="nil"/>
              <w:bottom w:val="nil"/>
            </w:tcBorders>
            <w:vAlign w:val="center"/>
          </w:tcPr>
          <w:p w:rsidR="00FF34A1" w:rsidRDefault="00FF34A1" w:rsidP="000E0FA4">
            <w:pPr>
              <w:pStyle w:val="NoSpacing"/>
              <w:rPr>
                <w:sz w:val="20"/>
              </w:rPr>
            </w:pPr>
            <w:r>
              <w:rPr>
                <w:sz w:val="20"/>
              </w:rPr>
              <w:t>No</w:t>
            </w:r>
          </w:p>
        </w:tc>
        <w:tc>
          <w:tcPr>
            <w:tcW w:w="503" w:type="pct"/>
            <w:tcBorders>
              <w:top w:val="nil"/>
              <w:bottom w:val="nil"/>
            </w:tcBorders>
            <w:vAlign w:val="center"/>
          </w:tcPr>
          <w:p w:rsidR="00FF34A1" w:rsidRDefault="00FF34A1" w:rsidP="000E0FA4">
            <w:pPr>
              <w:pStyle w:val="NoSpacing"/>
              <w:rPr>
                <w:sz w:val="20"/>
              </w:rPr>
            </w:pPr>
            <w:r>
              <w:rPr>
                <w:sz w:val="20"/>
              </w:rPr>
              <w:t>No</w:t>
            </w:r>
          </w:p>
        </w:tc>
        <w:tc>
          <w:tcPr>
            <w:tcW w:w="518" w:type="pct"/>
            <w:tcBorders>
              <w:top w:val="nil"/>
              <w:bottom w:val="nil"/>
            </w:tcBorders>
            <w:vAlign w:val="center"/>
          </w:tcPr>
          <w:p w:rsidR="00FF34A1" w:rsidRDefault="00FF34A1" w:rsidP="000E0FA4">
            <w:pPr>
              <w:pStyle w:val="NoSpacing"/>
              <w:rPr>
                <w:sz w:val="20"/>
              </w:rPr>
            </w:pPr>
            <w:r>
              <w:rPr>
                <w:sz w:val="20"/>
              </w:rPr>
              <w:t>No</w:t>
            </w:r>
          </w:p>
        </w:tc>
        <w:tc>
          <w:tcPr>
            <w:tcW w:w="555" w:type="pct"/>
            <w:tcBorders>
              <w:top w:val="nil"/>
              <w:bottom w:val="nil"/>
            </w:tcBorders>
            <w:vAlign w:val="center"/>
          </w:tcPr>
          <w:p w:rsidR="00FF34A1" w:rsidRDefault="003D06FF" w:rsidP="000E0FA4">
            <w:pPr>
              <w:pStyle w:val="NoSpacing"/>
              <w:rPr>
                <w:sz w:val="20"/>
              </w:rPr>
            </w:pPr>
            <w:r>
              <w:rPr>
                <w:sz w:val="20"/>
              </w:rPr>
              <w:t>Yes</w:t>
            </w:r>
          </w:p>
        </w:tc>
        <w:tc>
          <w:tcPr>
            <w:tcW w:w="536" w:type="pct"/>
            <w:tcBorders>
              <w:top w:val="nil"/>
              <w:bottom w:val="nil"/>
            </w:tcBorders>
            <w:vAlign w:val="center"/>
          </w:tcPr>
          <w:p w:rsidR="00FF34A1" w:rsidRDefault="00FF34A1" w:rsidP="000E0FA4">
            <w:pPr>
              <w:pStyle w:val="NoSpacing"/>
              <w:rPr>
                <w:sz w:val="20"/>
              </w:rPr>
            </w:pPr>
            <w:r>
              <w:rPr>
                <w:sz w:val="20"/>
              </w:rPr>
              <w:t>Yes</w:t>
            </w:r>
          </w:p>
        </w:tc>
        <w:tc>
          <w:tcPr>
            <w:tcW w:w="538" w:type="pct"/>
            <w:tcBorders>
              <w:top w:val="nil"/>
              <w:bottom w:val="nil"/>
            </w:tcBorders>
            <w:vAlign w:val="center"/>
          </w:tcPr>
          <w:p w:rsidR="00FF34A1" w:rsidRDefault="00FF34A1" w:rsidP="000E0FA4">
            <w:pPr>
              <w:pStyle w:val="NoSpacing"/>
              <w:rPr>
                <w:sz w:val="20"/>
              </w:rPr>
            </w:pPr>
            <w:r>
              <w:rPr>
                <w:sz w:val="20"/>
              </w:rPr>
              <w:t>No</w:t>
            </w:r>
          </w:p>
        </w:tc>
      </w:tr>
      <w:tr w:rsidR="00FF34A1" w:rsidRPr="00532A5F" w:rsidTr="00FF34A1">
        <w:trPr>
          <w:jc w:val="center"/>
        </w:trPr>
        <w:tc>
          <w:tcPr>
            <w:tcW w:w="1859" w:type="pct"/>
            <w:tcBorders>
              <w:top w:val="nil"/>
              <w:bottom w:val="nil"/>
            </w:tcBorders>
            <w:vAlign w:val="center"/>
          </w:tcPr>
          <w:p w:rsidR="00FF34A1" w:rsidRPr="00532A5F" w:rsidRDefault="00FF34A1" w:rsidP="000E0FA4">
            <w:pPr>
              <w:pStyle w:val="NoSpacing"/>
              <w:rPr>
                <w:sz w:val="20"/>
              </w:rPr>
            </w:pPr>
            <w:r>
              <w:rPr>
                <w:sz w:val="20"/>
              </w:rPr>
              <w:t>Smoking indoors</w:t>
            </w:r>
          </w:p>
        </w:tc>
        <w:tc>
          <w:tcPr>
            <w:tcW w:w="491" w:type="pct"/>
            <w:tcBorders>
              <w:top w:val="nil"/>
              <w:bottom w:val="nil"/>
            </w:tcBorders>
            <w:vAlign w:val="center"/>
          </w:tcPr>
          <w:p w:rsidR="00FF34A1" w:rsidRDefault="00FF34A1" w:rsidP="000E0FA4">
            <w:pPr>
              <w:pStyle w:val="NoSpacing"/>
              <w:rPr>
                <w:sz w:val="20"/>
              </w:rPr>
            </w:pPr>
            <w:r>
              <w:rPr>
                <w:sz w:val="20"/>
              </w:rPr>
              <w:t>No</w:t>
            </w:r>
          </w:p>
        </w:tc>
        <w:tc>
          <w:tcPr>
            <w:tcW w:w="503" w:type="pct"/>
            <w:tcBorders>
              <w:top w:val="nil"/>
              <w:bottom w:val="nil"/>
            </w:tcBorders>
            <w:vAlign w:val="center"/>
          </w:tcPr>
          <w:p w:rsidR="00FF34A1" w:rsidRDefault="00FF34A1" w:rsidP="000E0FA4">
            <w:pPr>
              <w:pStyle w:val="NoSpacing"/>
              <w:rPr>
                <w:sz w:val="20"/>
              </w:rPr>
            </w:pPr>
            <w:r>
              <w:rPr>
                <w:sz w:val="20"/>
              </w:rPr>
              <w:t>No</w:t>
            </w:r>
          </w:p>
        </w:tc>
        <w:tc>
          <w:tcPr>
            <w:tcW w:w="518" w:type="pct"/>
            <w:tcBorders>
              <w:top w:val="nil"/>
              <w:bottom w:val="nil"/>
            </w:tcBorders>
            <w:vAlign w:val="center"/>
          </w:tcPr>
          <w:p w:rsidR="00FF34A1" w:rsidRDefault="00FF34A1" w:rsidP="000E0FA4">
            <w:pPr>
              <w:pStyle w:val="NoSpacing"/>
              <w:rPr>
                <w:sz w:val="20"/>
              </w:rPr>
            </w:pPr>
            <w:r>
              <w:rPr>
                <w:sz w:val="20"/>
              </w:rPr>
              <w:t>No</w:t>
            </w:r>
          </w:p>
        </w:tc>
        <w:tc>
          <w:tcPr>
            <w:tcW w:w="555" w:type="pct"/>
            <w:tcBorders>
              <w:top w:val="nil"/>
              <w:bottom w:val="nil"/>
            </w:tcBorders>
            <w:vAlign w:val="center"/>
          </w:tcPr>
          <w:p w:rsidR="00FF34A1" w:rsidRDefault="003D06FF" w:rsidP="003D06FF">
            <w:pPr>
              <w:pStyle w:val="NoSpacing"/>
              <w:rPr>
                <w:sz w:val="20"/>
              </w:rPr>
            </w:pPr>
            <w:r>
              <w:rPr>
                <w:sz w:val="20"/>
              </w:rPr>
              <w:t>Yes</w:t>
            </w:r>
          </w:p>
        </w:tc>
        <w:tc>
          <w:tcPr>
            <w:tcW w:w="536" w:type="pct"/>
            <w:tcBorders>
              <w:top w:val="nil"/>
              <w:bottom w:val="nil"/>
            </w:tcBorders>
            <w:vAlign w:val="center"/>
          </w:tcPr>
          <w:p w:rsidR="00FF34A1" w:rsidRDefault="00FF34A1" w:rsidP="000E0FA4">
            <w:pPr>
              <w:pStyle w:val="NoSpacing"/>
              <w:rPr>
                <w:sz w:val="20"/>
              </w:rPr>
            </w:pPr>
            <w:r>
              <w:rPr>
                <w:sz w:val="20"/>
              </w:rPr>
              <w:t>No</w:t>
            </w:r>
          </w:p>
        </w:tc>
        <w:tc>
          <w:tcPr>
            <w:tcW w:w="538" w:type="pct"/>
            <w:tcBorders>
              <w:top w:val="nil"/>
              <w:bottom w:val="nil"/>
            </w:tcBorders>
            <w:vAlign w:val="center"/>
          </w:tcPr>
          <w:p w:rsidR="00FF34A1" w:rsidRDefault="00FF34A1" w:rsidP="000E0FA4">
            <w:pPr>
              <w:pStyle w:val="NoSpacing"/>
              <w:rPr>
                <w:sz w:val="20"/>
              </w:rPr>
            </w:pPr>
            <w:r>
              <w:rPr>
                <w:sz w:val="20"/>
              </w:rPr>
              <w:t>No</w:t>
            </w:r>
          </w:p>
        </w:tc>
      </w:tr>
      <w:tr w:rsidR="00FF34A1" w:rsidRPr="00532A5F" w:rsidTr="00FF34A1">
        <w:trPr>
          <w:jc w:val="center"/>
        </w:trPr>
        <w:tc>
          <w:tcPr>
            <w:tcW w:w="1859" w:type="pct"/>
            <w:tcBorders>
              <w:top w:val="nil"/>
              <w:bottom w:val="single" w:sz="2" w:space="0" w:color="auto"/>
            </w:tcBorders>
            <w:vAlign w:val="center"/>
          </w:tcPr>
          <w:p w:rsidR="00FF34A1" w:rsidRDefault="00FF34A1" w:rsidP="000E0FA4">
            <w:pPr>
              <w:pStyle w:val="NoSpacing"/>
              <w:rPr>
                <w:sz w:val="20"/>
              </w:rPr>
            </w:pPr>
            <w:r>
              <w:rPr>
                <w:sz w:val="20"/>
              </w:rPr>
              <w:t>Drying clothes naturally indoors</w:t>
            </w:r>
          </w:p>
        </w:tc>
        <w:tc>
          <w:tcPr>
            <w:tcW w:w="491" w:type="pct"/>
            <w:tcBorders>
              <w:top w:val="nil"/>
              <w:bottom w:val="single" w:sz="2" w:space="0" w:color="auto"/>
            </w:tcBorders>
            <w:vAlign w:val="center"/>
          </w:tcPr>
          <w:p w:rsidR="00FF34A1" w:rsidRDefault="00FF34A1" w:rsidP="000E0FA4">
            <w:pPr>
              <w:pStyle w:val="NoSpacing"/>
              <w:rPr>
                <w:sz w:val="20"/>
              </w:rPr>
            </w:pPr>
            <w:r>
              <w:rPr>
                <w:sz w:val="20"/>
              </w:rPr>
              <w:t>No</w:t>
            </w:r>
          </w:p>
        </w:tc>
        <w:tc>
          <w:tcPr>
            <w:tcW w:w="503" w:type="pct"/>
            <w:tcBorders>
              <w:top w:val="nil"/>
              <w:bottom w:val="single" w:sz="2" w:space="0" w:color="auto"/>
            </w:tcBorders>
            <w:vAlign w:val="center"/>
          </w:tcPr>
          <w:p w:rsidR="00FF34A1" w:rsidRDefault="00FF34A1" w:rsidP="000E0FA4">
            <w:pPr>
              <w:pStyle w:val="NoSpacing"/>
              <w:rPr>
                <w:sz w:val="20"/>
              </w:rPr>
            </w:pPr>
            <w:r>
              <w:rPr>
                <w:sz w:val="20"/>
              </w:rPr>
              <w:t>No</w:t>
            </w:r>
          </w:p>
        </w:tc>
        <w:tc>
          <w:tcPr>
            <w:tcW w:w="518" w:type="pct"/>
            <w:tcBorders>
              <w:top w:val="nil"/>
              <w:bottom w:val="single" w:sz="2" w:space="0" w:color="auto"/>
            </w:tcBorders>
            <w:vAlign w:val="center"/>
          </w:tcPr>
          <w:p w:rsidR="00FF34A1" w:rsidRDefault="00FF34A1" w:rsidP="000E0FA4">
            <w:pPr>
              <w:pStyle w:val="NoSpacing"/>
              <w:rPr>
                <w:sz w:val="20"/>
              </w:rPr>
            </w:pPr>
            <w:r>
              <w:rPr>
                <w:sz w:val="20"/>
              </w:rPr>
              <w:t>Yes</w:t>
            </w:r>
          </w:p>
        </w:tc>
        <w:tc>
          <w:tcPr>
            <w:tcW w:w="555" w:type="pct"/>
            <w:tcBorders>
              <w:top w:val="nil"/>
              <w:bottom w:val="single" w:sz="2" w:space="0" w:color="auto"/>
            </w:tcBorders>
            <w:vAlign w:val="center"/>
          </w:tcPr>
          <w:p w:rsidR="00FF34A1" w:rsidRDefault="003D06FF" w:rsidP="000E0FA4">
            <w:pPr>
              <w:pStyle w:val="NoSpacing"/>
              <w:rPr>
                <w:sz w:val="20"/>
              </w:rPr>
            </w:pPr>
            <w:r>
              <w:rPr>
                <w:sz w:val="20"/>
              </w:rPr>
              <w:t>Yes</w:t>
            </w:r>
          </w:p>
        </w:tc>
        <w:tc>
          <w:tcPr>
            <w:tcW w:w="536" w:type="pct"/>
            <w:tcBorders>
              <w:top w:val="nil"/>
              <w:bottom w:val="single" w:sz="2" w:space="0" w:color="auto"/>
            </w:tcBorders>
            <w:vAlign w:val="center"/>
          </w:tcPr>
          <w:p w:rsidR="00FF34A1" w:rsidRDefault="00FF34A1" w:rsidP="000E0FA4">
            <w:pPr>
              <w:pStyle w:val="NoSpacing"/>
              <w:rPr>
                <w:sz w:val="20"/>
              </w:rPr>
            </w:pPr>
            <w:r>
              <w:rPr>
                <w:sz w:val="20"/>
              </w:rPr>
              <w:t>Yes</w:t>
            </w:r>
          </w:p>
        </w:tc>
        <w:tc>
          <w:tcPr>
            <w:tcW w:w="538" w:type="pct"/>
            <w:tcBorders>
              <w:top w:val="nil"/>
              <w:bottom w:val="single" w:sz="2" w:space="0" w:color="auto"/>
            </w:tcBorders>
            <w:vAlign w:val="center"/>
          </w:tcPr>
          <w:p w:rsidR="00FF34A1" w:rsidRDefault="00FF34A1" w:rsidP="000E0FA4">
            <w:pPr>
              <w:pStyle w:val="NoSpacing"/>
              <w:rPr>
                <w:sz w:val="20"/>
              </w:rPr>
            </w:pPr>
            <w:r>
              <w:rPr>
                <w:sz w:val="20"/>
              </w:rPr>
              <w:t>No</w:t>
            </w:r>
          </w:p>
        </w:tc>
      </w:tr>
    </w:tbl>
    <w:p w:rsidR="001A2FAA" w:rsidRDefault="001A2FAA" w:rsidP="000E0FA4">
      <w:pPr>
        <w:rPr>
          <w:rFonts w:eastAsia="Arial Unicode MS"/>
        </w:rPr>
      </w:pPr>
    </w:p>
    <w:p w:rsidR="00DD4A10" w:rsidRDefault="00DD4A10" w:rsidP="000E0FA4">
      <w:pPr>
        <w:rPr>
          <w:rFonts w:eastAsia="Arial Unicode MS"/>
        </w:rPr>
      </w:pPr>
    </w:p>
    <w:p w:rsidR="00DD4A10" w:rsidRDefault="00DD4A10" w:rsidP="000E0FA4">
      <w:pPr>
        <w:rPr>
          <w:rFonts w:eastAsia="Arial Unicode MS"/>
        </w:rPr>
      </w:pPr>
    </w:p>
    <w:p w:rsidR="000E0FA4" w:rsidRDefault="000E0FA4" w:rsidP="000E0FA4">
      <w:pPr>
        <w:rPr>
          <w:rFonts w:eastAsia="Arial Unicode MS"/>
        </w:rPr>
      </w:pPr>
      <w:r>
        <w:rPr>
          <w:noProof/>
        </w:rPr>
        <w:drawing>
          <wp:inline distT="0" distB="0" distL="0" distR="0">
            <wp:extent cx="5837530" cy="2275027"/>
            <wp:effectExtent l="0" t="0" r="1143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9F6CD5">
        <w:rPr>
          <w:rFonts w:eastAsia="Arial Unicode MS"/>
        </w:rPr>
        <w:t>Figure 5</w:t>
      </w:r>
      <w:r w:rsidRPr="00532A5F">
        <w:rPr>
          <w:rFonts w:eastAsia="Arial Unicode MS"/>
        </w:rPr>
        <w:t>.</w:t>
      </w:r>
      <w:r>
        <w:rPr>
          <w:rFonts w:eastAsia="Arial Unicode MS"/>
        </w:rPr>
        <w:t xml:space="preserve"> </w:t>
      </w:r>
      <w:r w:rsidR="002F4515">
        <w:rPr>
          <w:rFonts w:eastAsia="Arial Unicode MS"/>
        </w:rPr>
        <w:t>Summer formaldehyde levels in No.1</w:t>
      </w:r>
    </w:p>
    <w:p w:rsidR="00DD4A10" w:rsidRDefault="00DD4A10" w:rsidP="000E0FA4">
      <w:pPr>
        <w:rPr>
          <w:rFonts w:eastAsia="Arial Unicode MS"/>
        </w:rPr>
      </w:pPr>
    </w:p>
    <w:p w:rsidR="00DD4A10" w:rsidRPr="00CB4E25" w:rsidRDefault="00DD4A10" w:rsidP="000E0FA4">
      <w:pPr>
        <w:rPr>
          <w:rFonts w:ascii="Arial" w:eastAsia="Arial Unicode MS" w:hAnsi="Arial" w:cs="Arial"/>
        </w:rPr>
      </w:pPr>
    </w:p>
    <w:p w:rsidR="00F16D36" w:rsidRDefault="00F16D36" w:rsidP="00633EBF">
      <w:pPr>
        <w:pStyle w:val="Heading20"/>
        <w:numPr>
          <w:ilvl w:val="1"/>
          <w:numId w:val="12"/>
        </w:numPr>
        <w:rPr>
          <w:rFonts w:eastAsia="Arial Unicode MS" w:cs="Arial"/>
        </w:rPr>
      </w:pPr>
      <w:r>
        <w:rPr>
          <w:rFonts w:eastAsia="Arial Unicode MS" w:cs="Arial"/>
        </w:rPr>
        <w:t>Occupant perception of the interior environment</w:t>
      </w:r>
    </w:p>
    <w:tbl>
      <w:tblPr>
        <w:tblW w:w="4920" w:type="pct"/>
        <w:jc w:val="center"/>
        <w:tblBorders>
          <w:top w:val="single" w:sz="18" w:space="0" w:color="auto"/>
          <w:bottom w:val="single" w:sz="18" w:space="0" w:color="auto"/>
        </w:tblBorders>
        <w:tblLayout w:type="fixed"/>
        <w:tblLook w:val="04A0" w:firstRow="1" w:lastRow="0" w:firstColumn="1" w:lastColumn="0" w:noHBand="0" w:noVBand="1"/>
      </w:tblPr>
      <w:tblGrid>
        <w:gridCol w:w="4093"/>
        <w:gridCol w:w="706"/>
        <w:gridCol w:w="718"/>
        <w:gridCol w:w="1117"/>
        <w:gridCol w:w="1000"/>
        <w:gridCol w:w="657"/>
        <w:gridCol w:w="688"/>
        <w:gridCol w:w="115"/>
      </w:tblGrid>
      <w:tr w:rsidR="00E9104D" w:rsidRPr="00F16D36" w:rsidTr="00342EFE">
        <w:trPr>
          <w:gridAfter w:val="1"/>
          <w:wAfter w:w="63" w:type="pct"/>
          <w:jc w:val="center"/>
        </w:trPr>
        <w:tc>
          <w:tcPr>
            <w:tcW w:w="4937" w:type="pct"/>
            <w:gridSpan w:val="7"/>
            <w:tcBorders>
              <w:top w:val="nil"/>
              <w:bottom w:val="single" w:sz="2" w:space="0" w:color="auto"/>
            </w:tcBorders>
            <w:vAlign w:val="center"/>
          </w:tcPr>
          <w:p w:rsidR="00F16D36" w:rsidRPr="00F16D36" w:rsidRDefault="00CB4E25" w:rsidP="00CB4E25">
            <w:pPr>
              <w:rPr>
                <w:rFonts w:eastAsia="Arial Unicode MS"/>
              </w:rPr>
            </w:pPr>
            <w:r>
              <w:rPr>
                <w:rFonts w:eastAsia="Arial Unicode MS"/>
              </w:rPr>
              <w:t>Table 11</w:t>
            </w:r>
            <w:r w:rsidR="00F16D36" w:rsidRPr="00F16D36">
              <w:rPr>
                <w:rFonts w:eastAsia="Arial Unicode MS"/>
              </w:rPr>
              <w:t>.   Perceived thermal comfort (all households)*</w:t>
            </w:r>
          </w:p>
        </w:tc>
      </w:tr>
      <w:tr w:rsidR="00342EFE" w:rsidRPr="00F16D36" w:rsidTr="00342EFE">
        <w:trPr>
          <w:jc w:val="center"/>
        </w:trPr>
        <w:tc>
          <w:tcPr>
            <w:tcW w:w="2251" w:type="pct"/>
            <w:tcBorders>
              <w:top w:val="single" w:sz="2" w:space="0" w:color="auto"/>
              <w:bottom w:val="single" w:sz="2" w:space="0" w:color="auto"/>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Thermal quality factors</w:t>
            </w:r>
          </w:p>
        </w:tc>
        <w:tc>
          <w:tcPr>
            <w:tcW w:w="388" w:type="pct"/>
            <w:tcBorders>
              <w:top w:val="single" w:sz="2" w:space="0" w:color="auto"/>
              <w:bottom w:val="single" w:sz="2" w:space="0" w:color="auto"/>
            </w:tcBorders>
            <w:vAlign w:val="center"/>
          </w:tcPr>
          <w:p w:rsidR="00F16D36" w:rsidRPr="00992A9E" w:rsidRDefault="00F16D36" w:rsidP="00342EFE">
            <w:pPr>
              <w:pStyle w:val="NoSpacing"/>
              <w:ind w:left="-86" w:right="-88"/>
              <w:rPr>
                <w:rFonts w:asciiTheme="minorHAnsi" w:hAnsiTheme="minorHAnsi"/>
                <w:sz w:val="20"/>
                <w:szCs w:val="20"/>
              </w:rPr>
            </w:pPr>
            <w:r w:rsidRPr="00992A9E">
              <w:rPr>
                <w:rFonts w:asciiTheme="minorHAnsi" w:hAnsiTheme="minorHAnsi"/>
                <w:sz w:val="20"/>
                <w:szCs w:val="20"/>
              </w:rPr>
              <w:t>Mean</w:t>
            </w:r>
          </w:p>
        </w:tc>
        <w:tc>
          <w:tcPr>
            <w:tcW w:w="395" w:type="pct"/>
            <w:tcBorders>
              <w:top w:val="single" w:sz="2" w:space="0" w:color="auto"/>
              <w:bottom w:val="single" w:sz="2" w:space="0" w:color="auto"/>
            </w:tcBorders>
            <w:vAlign w:val="center"/>
          </w:tcPr>
          <w:p w:rsidR="00F16D36" w:rsidRPr="00992A9E" w:rsidRDefault="00E9104D" w:rsidP="00342EFE">
            <w:pPr>
              <w:pStyle w:val="NoSpacing"/>
              <w:ind w:right="-88"/>
              <w:rPr>
                <w:rFonts w:asciiTheme="minorHAnsi" w:hAnsiTheme="minorHAnsi"/>
                <w:sz w:val="20"/>
                <w:szCs w:val="20"/>
              </w:rPr>
            </w:pPr>
            <w:r w:rsidRPr="00992A9E">
              <w:rPr>
                <w:rFonts w:asciiTheme="minorHAnsi" w:hAnsiTheme="minorHAnsi"/>
                <w:sz w:val="20"/>
                <w:szCs w:val="20"/>
              </w:rPr>
              <w:t>SD</w:t>
            </w:r>
          </w:p>
        </w:tc>
        <w:tc>
          <w:tcPr>
            <w:tcW w:w="614" w:type="pct"/>
            <w:tcBorders>
              <w:top w:val="single" w:sz="2" w:space="0" w:color="auto"/>
              <w:bottom w:val="single" w:sz="2" w:space="0" w:color="auto"/>
            </w:tcBorders>
            <w:vAlign w:val="center"/>
          </w:tcPr>
          <w:p w:rsidR="00F16D36" w:rsidRPr="00992A9E" w:rsidRDefault="00342EFE" w:rsidP="00342EFE">
            <w:pPr>
              <w:pStyle w:val="NoSpacing"/>
              <w:ind w:left="-66" w:right="-88"/>
              <w:rPr>
                <w:rFonts w:asciiTheme="minorHAnsi" w:hAnsiTheme="minorHAnsi"/>
                <w:sz w:val="20"/>
                <w:szCs w:val="20"/>
              </w:rPr>
            </w:pPr>
            <w:r>
              <w:rPr>
                <w:rFonts w:asciiTheme="minorHAnsi" w:hAnsiTheme="minorHAnsi"/>
                <w:sz w:val="20"/>
                <w:szCs w:val="20"/>
              </w:rPr>
              <w:t>Mean +</w:t>
            </w:r>
            <w:r w:rsidR="00E9104D" w:rsidRPr="00992A9E">
              <w:rPr>
                <w:rFonts w:asciiTheme="minorHAnsi" w:hAnsiTheme="minorHAnsi"/>
                <w:sz w:val="20"/>
                <w:szCs w:val="20"/>
              </w:rPr>
              <w:t>SD</w:t>
            </w:r>
          </w:p>
        </w:tc>
        <w:tc>
          <w:tcPr>
            <w:tcW w:w="550" w:type="pct"/>
            <w:tcBorders>
              <w:top w:val="single" w:sz="2" w:space="0" w:color="auto"/>
              <w:bottom w:val="single" w:sz="2" w:space="0" w:color="auto"/>
            </w:tcBorders>
            <w:vAlign w:val="center"/>
          </w:tcPr>
          <w:p w:rsidR="00F16D36" w:rsidRPr="00992A9E" w:rsidRDefault="00342EFE" w:rsidP="00342EFE">
            <w:pPr>
              <w:pStyle w:val="NoSpacing"/>
              <w:ind w:left="-78" w:right="-88"/>
              <w:rPr>
                <w:rFonts w:asciiTheme="minorHAnsi" w:hAnsiTheme="minorHAnsi"/>
                <w:sz w:val="20"/>
                <w:szCs w:val="20"/>
              </w:rPr>
            </w:pPr>
            <w:r>
              <w:rPr>
                <w:rFonts w:asciiTheme="minorHAnsi" w:hAnsiTheme="minorHAnsi"/>
                <w:sz w:val="20"/>
                <w:szCs w:val="20"/>
              </w:rPr>
              <w:t>Mean -</w:t>
            </w:r>
            <w:r w:rsidR="00E9104D" w:rsidRPr="00992A9E">
              <w:rPr>
                <w:rFonts w:asciiTheme="minorHAnsi" w:hAnsiTheme="minorHAnsi"/>
                <w:sz w:val="20"/>
                <w:szCs w:val="20"/>
              </w:rPr>
              <w:t>SD</w:t>
            </w:r>
          </w:p>
        </w:tc>
        <w:tc>
          <w:tcPr>
            <w:tcW w:w="361" w:type="pct"/>
            <w:tcBorders>
              <w:top w:val="single" w:sz="2" w:space="0" w:color="auto"/>
              <w:bottom w:val="single" w:sz="2" w:space="0" w:color="auto"/>
            </w:tcBorders>
            <w:vAlign w:val="center"/>
          </w:tcPr>
          <w:p w:rsidR="00F16D36" w:rsidRPr="00992A9E" w:rsidRDefault="00F16D36" w:rsidP="00342EFE">
            <w:pPr>
              <w:pStyle w:val="NoSpacing"/>
              <w:ind w:right="-88"/>
              <w:rPr>
                <w:rFonts w:asciiTheme="minorHAnsi" w:hAnsiTheme="minorHAnsi"/>
                <w:sz w:val="20"/>
                <w:szCs w:val="20"/>
              </w:rPr>
            </w:pPr>
            <w:r w:rsidRPr="00992A9E">
              <w:rPr>
                <w:rFonts w:asciiTheme="minorHAnsi" w:hAnsiTheme="minorHAnsi"/>
                <w:sz w:val="20"/>
                <w:szCs w:val="20"/>
              </w:rPr>
              <w:t>Max</w:t>
            </w:r>
          </w:p>
        </w:tc>
        <w:tc>
          <w:tcPr>
            <w:tcW w:w="441" w:type="pct"/>
            <w:gridSpan w:val="2"/>
            <w:tcBorders>
              <w:top w:val="single" w:sz="2" w:space="0" w:color="auto"/>
              <w:bottom w:val="single" w:sz="2" w:space="0" w:color="auto"/>
            </w:tcBorders>
            <w:vAlign w:val="center"/>
          </w:tcPr>
          <w:p w:rsidR="00F16D36" w:rsidRPr="00992A9E" w:rsidRDefault="00F16D36" w:rsidP="00342EFE">
            <w:pPr>
              <w:pStyle w:val="NoSpacing"/>
              <w:ind w:right="-88"/>
              <w:rPr>
                <w:rFonts w:asciiTheme="minorHAnsi" w:hAnsiTheme="minorHAnsi"/>
                <w:sz w:val="20"/>
                <w:szCs w:val="20"/>
              </w:rPr>
            </w:pPr>
            <w:r w:rsidRPr="00992A9E">
              <w:rPr>
                <w:rFonts w:asciiTheme="minorHAnsi" w:hAnsiTheme="minorHAnsi"/>
                <w:sz w:val="20"/>
                <w:szCs w:val="20"/>
              </w:rPr>
              <w:t>Min</w:t>
            </w:r>
          </w:p>
        </w:tc>
      </w:tr>
      <w:tr w:rsidR="00342EFE" w:rsidRPr="00F16D36" w:rsidTr="00342EFE">
        <w:trPr>
          <w:jc w:val="center"/>
        </w:trPr>
        <w:tc>
          <w:tcPr>
            <w:tcW w:w="2251" w:type="pct"/>
            <w:tcBorders>
              <w:top w:val="single" w:sz="2" w:space="0" w:color="auto"/>
              <w:bottom w:val="nil"/>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WINTER</w:t>
            </w:r>
          </w:p>
        </w:tc>
        <w:tc>
          <w:tcPr>
            <w:tcW w:w="388" w:type="pct"/>
            <w:tcBorders>
              <w:top w:val="single" w:sz="2" w:space="0" w:color="auto"/>
              <w:bottom w:val="nil"/>
            </w:tcBorders>
            <w:vAlign w:val="center"/>
          </w:tcPr>
          <w:p w:rsidR="00F16D36" w:rsidRPr="00992A9E" w:rsidRDefault="00F16D36" w:rsidP="00342EFE">
            <w:pPr>
              <w:pStyle w:val="NoSpacing"/>
              <w:ind w:right="-88"/>
              <w:rPr>
                <w:rFonts w:asciiTheme="minorHAnsi" w:hAnsiTheme="minorHAnsi"/>
                <w:sz w:val="20"/>
                <w:szCs w:val="20"/>
              </w:rPr>
            </w:pPr>
          </w:p>
        </w:tc>
        <w:tc>
          <w:tcPr>
            <w:tcW w:w="395" w:type="pct"/>
            <w:tcBorders>
              <w:top w:val="single" w:sz="2" w:space="0" w:color="auto"/>
              <w:bottom w:val="nil"/>
            </w:tcBorders>
            <w:vAlign w:val="center"/>
          </w:tcPr>
          <w:p w:rsidR="00F16D36" w:rsidRPr="00992A9E" w:rsidRDefault="00F16D36" w:rsidP="00342EFE">
            <w:pPr>
              <w:pStyle w:val="NoSpacing"/>
              <w:ind w:right="-88"/>
              <w:rPr>
                <w:rFonts w:asciiTheme="minorHAnsi" w:hAnsiTheme="minorHAnsi"/>
                <w:sz w:val="20"/>
                <w:szCs w:val="20"/>
              </w:rPr>
            </w:pPr>
          </w:p>
        </w:tc>
        <w:tc>
          <w:tcPr>
            <w:tcW w:w="614" w:type="pct"/>
            <w:tcBorders>
              <w:top w:val="single" w:sz="2" w:space="0" w:color="auto"/>
              <w:bottom w:val="nil"/>
            </w:tcBorders>
            <w:vAlign w:val="center"/>
          </w:tcPr>
          <w:p w:rsidR="00F16D36" w:rsidRPr="00992A9E" w:rsidRDefault="00F16D36" w:rsidP="00342EFE">
            <w:pPr>
              <w:pStyle w:val="NoSpacing"/>
              <w:ind w:left="-66" w:right="-88"/>
              <w:rPr>
                <w:rFonts w:asciiTheme="minorHAnsi" w:hAnsiTheme="minorHAnsi"/>
                <w:sz w:val="20"/>
                <w:szCs w:val="20"/>
              </w:rPr>
            </w:pPr>
          </w:p>
        </w:tc>
        <w:tc>
          <w:tcPr>
            <w:tcW w:w="550" w:type="pct"/>
            <w:tcBorders>
              <w:top w:val="single" w:sz="2" w:space="0" w:color="auto"/>
              <w:bottom w:val="nil"/>
            </w:tcBorders>
            <w:vAlign w:val="center"/>
          </w:tcPr>
          <w:p w:rsidR="00F16D36" w:rsidRPr="00992A9E" w:rsidRDefault="00F16D36" w:rsidP="00342EFE">
            <w:pPr>
              <w:pStyle w:val="NoSpacing"/>
              <w:ind w:left="-78" w:right="-88"/>
              <w:rPr>
                <w:rFonts w:asciiTheme="minorHAnsi" w:hAnsiTheme="minorHAnsi"/>
                <w:sz w:val="20"/>
                <w:szCs w:val="20"/>
              </w:rPr>
            </w:pPr>
          </w:p>
        </w:tc>
        <w:tc>
          <w:tcPr>
            <w:tcW w:w="361" w:type="pct"/>
            <w:tcBorders>
              <w:top w:val="single" w:sz="2" w:space="0" w:color="auto"/>
              <w:bottom w:val="nil"/>
            </w:tcBorders>
            <w:vAlign w:val="center"/>
          </w:tcPr>
          <w:p w:rsidR="00F16D36" w:rsidRPr="00992A9E" w:rsidRDefault="00F16D36" w:rsidP="00342EFE">
            <w:pPr>
              <w:pStyle w:val="NoSpacing"/>
              <w:ind w:right="-88"/>
              <w:rPr>
                <w:rFonts w:asciiTheme="minorHAnsi" w:hAnsiTheme="minorHAnsi"/>
                <w:sz w:val="20"/>
                <w:szCs w:val="20"/>
              </w:rPr>
            </w:pPr>
          </w:p>
        </w:tc>
        <w:tc>
          <w:tcPr>
            <w:tcW w:w="441" w:type="pct"/>
            <w:gridSpan w:val="2"/>
            <w:tcBorders>
              <w:top w:val="single" w:sz="2" w:space="0" w:color="auto"/>
              <w:bottom w:val="nil"/>
            </w:tcBorders>
            <w:vAlign w:val="center"/>
          </w:tcPr>
          <w:p w:rsidR="00F16D36" w:rsidRPr="00992A9E" w:rsidRDefault="00F16D36" w:rsidP="00342EFE">
            <w:pPr>
              <w:pStyle w:val="NoSpacing"/>
              <w:ind w:right="-88"/>
              <w:rPr>
                <w:rFonts w:asciiTheme="minorHAnsi" w:hAnsiTheme="minorHAnsi"/>
                <w:sz w:val="20"/>
                <w:szCs w:val="20"/>
              </w:rPr>
            </w:pPr>
          </w:p>
        </w:tc>
      </w:tr>
      <w:tr w:rsidR="00342EFE" w:rsidRPr="00F16D36" w:rsidTr="00342EFE">
        <w:trPr>
          <w:jc w:val="center"/>
        </w:trPr>
        <w:tc>
          <w:tcPr>
            <w:tcW w:w="2251" w:type="pct"/>
            <w:tcBorders>
              <w:top w:val="nil"/>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Comfortable(1)- uncomfortable(7)</w:t>
            </w:r>
          </w:p>
        </w:tc>
        <w:tc>
          <w:tcPr>
            <w:tcW w:w="388" w:type="pct"/>
            <w:tcBorders>
              <w:top w:val="nil"/>
            </w:tcBorders>
            <w:vAlign w:val="center"/>
          </w:tcPr>
          <w:p w:rsidR="00F16D36" w:rsidRPr="00992A9E" w:rsidRDefault="00F16D36" w:rsidP="00342EFE">
            <w:pPr>
              <w:pStyle w:val="NoSpacing"/>
              <w:ind w:right="-88"/>
              <w:rPr>
                <w:rFonts w:asciiTheme="minorHAnsi" w:hAnsiTheme="minorHAnsi"/>
                <w:sz w:val="20"/>
                <w:szCs w:val="20"/>
              </w:rPr>
            </w:pPr>
            <w:r w:rsidRPr="00992A9E">
              <w:rPr>
                <w:rFonts w:asciiTheme="minorHAnsi" w:hAnsiTheme="minorHAnsi"/>
                <w:sz w:val="20"/>
                <w:szCs w:val="20"/>
              </w:rPr>
              <w:t>3.5</w:t>
            </w:r>
          </w:p>
        </w:tc>
        <w:tc>
          <w:tcPr>
            <w:tcW w:w="395" w:type="pct"/>
            <w:tcBorders>
              <w:top w:val="nil"/>
            </w:tcBorders>
            <w:vAlign w:val="center"/>
          </w:tcPr>
          <w:p w:rsidR="00F16D36" w:rsidRPr="00992A9E" w:rsidRDefault="00F16D36" w:rsidP="00342EFE">
            <w:pPr>
              <w:pStyle w:val="NoSpacing"/>
              <w:ind w:right="-88"/>
              <w:rPr>
                <w:rFonts w:asciiTheme="minorHAnsi" w:hAnsiTheme="minorHAnsi"/>
                <w:sz w:val="20"/>
                <w:szCs w:val="20"/>
              </w:rPr>
            </w:pPr>
            <w:r w:rsidRPr="00992A9E">
              <w:rPr>
                <w:rFonts w:asciiTheme="minorHAnsi" w:hAnsiTheme="minorHAnsi"/>
                <w:sz w:val="20"/>
                <w:szCs w:val="20"/>
              </w:rPr>
              <w:t>1.2</w:t>
            </w:r>
          </w:p>
        </w:tc>
        <w:tc>
          <w:tcPr>
            <w:tcW w:w="614" w:type="pct"/>
            <w:tcBorders>
              <w:top w:val="nil"/>
            </w:tcBorders>
            <w:vAlign w:val="center"/>
          </w:tcPr>
          <w:p w:rsidR="00F16D36" w:rsidRPr="00992A9E" w:rsidRDefault="00F16D36" w:rsidP="00342EFE">
            <w:pPr>
              <w:pStyle w:val="NoSpacing"/>
              <w:ind w:left="-66" w:right="-88"/>
              <w:rPr>
                <w:rFonts w:asciiTheme="minorHAnsi" w:hAnsiTheme="minorHAnsi"/>
                <w:sz w:val="20"/>
                <w:szCs w:val="20"/>
              </w:rPr>
            </w:pPr>
            <w:r w:rsidRPr="00992A9E">
              <w:rPr>
                <w:rFonts w:asciiTheme="minorHAnsi" w:hAnsiTheme="minorHAnsi"/>
                <w:sz w:val="20"/>
                <w:szCs w:val="20"/>
              </w:rPr>
              <w:t>4.8</w:t>
            </w:r>
          </w:p>
        </w:tc>
        <w:tc>
          <w:tcPr>
            <w:tcW w:w="550" w:type="pct"/>
            <w:tcBorders>
              <w:top w:val="nil"/>
            </w:tcBorders>
            <w:vAlign w:val="center"/>
          </w:tcPr>
          <w:p w:rsidR="00F16D36" w:rsidRPr="00992A9E" w:rsidRDefault="00F16D36" w:rsidP="00342EFE">
            <w:pPr>
              <w:pStyle w:val="NoSpacing"/>
              <w:ind w:left="-78" w:right="-88"/>
              <w:rPr>
                <w:rFonts w:asciiTheme="minorHAnsi" w:hAnsiTheme="minorHAnsi"/>
                <w:sz w:val="20"/>
                <w:szCs w:val="20"/>
              </w:rPr>
            </w:pPr>
            <w:r w:rsidRPr="00992A9E">
              <w:rPr>
                <w:rFonts w:asciiTheme="minorHAnsi" w:hAnsiTheme="minorHAnsi"/>
                <w:sz w:val="20"/>
                <w:szCs w:val="20"/>
              </w:rPr>
              <w:t>2.3</w:t>
            </w:r>
          </w:p>
        </w:tc>
        <w:tc>
          <w:tcPr>
            <w:tcW w:w="361" w:type="pct"/>
            <w:tcBorders>
              <w:top w:val="nil"/>
            </w:tcBorders>
            <w:vAlign w:val="center"/>
          </w:tcPr>
          <w:p w:rsidR="00F16D36" w:rsidRPr="00992A9E" w:rsidRDefault="00F16D36" w:rsidP="00342EFE">
            <w:pPr>
              <w:pStyle w:val="NoSpacing"/>
              <w:ind w:right="-88"/>
              <w:rPr>
                <w:rFonts w:asciiTheme="minorHAnsi" w:hAnsiTheme="minorHAnsi"/>
                <w:sz w:val="20"/>
                <w:szCs w:val="20"/>
              </w:rPr>
            </w:pPr>
            <w:r w:rsidRPr="00992A9E">
              <w:rPr>
                <w:rFonts w:asciiTheme="minorHAnsi" w:hAnsiTheme="minorHAnsi"/>
                <w:sz w:val="20"/>
                <w:szCs w:val="20"/>
              </w:rPr>
              <w:t>6</w:t>
            </w:r>
          </w:p>
        </w:tc>
        <w:tc>
          <w:tcPr>
            <w:tcW w:w="441" w:type="pct"/>
            <w:gridSpan w:val="2"/>
            <w:tcBorders>
              <w:top w:val="nil"/>
            </w:tcBorders>
            <w:vAlign w:val="center"/>
          </w:tcPr>
          <w:p w:rsidR="00F16D36" w:rsidRPr="00992A9E" w:rsidRDefault="00F16D36" w:rsidP="00342EFE">
            <w:pPr>
              <w:pStyle w:val="NoSpacing"/>
              <w:ind w:right="-88"/>
              <w:rPr>
                <w:rFonts w:asciiTheme="minorHAnsi" w:hAnsiTheme="minorHAnsi"/>
                <w:sz w:val="20"/>
                <w:szCs w:val="20"/>
              </w:rPr>
            </w:pPr>
            <w:r w:rsidRPr="00992A9E">
              <w:rPr>
                <w:rFonts w:asciiTheme="minorHAnsi" w:hAnsiTheme="minorHAnsi"/>
                <w:sz w:val="20"/>
                <w:szCs w:val="20"/>
              </w:rPr>
              <w:t>2</w:t>
            </w:r>
          </w:p>
        </w:tc>
      </w:tr>
      <w:tr w:rsidR="00342EFE" w:rsidRPr="00F16D36" w:rsidTr="00342EFE">
        <w:trPr>
          <w:jc w:val="center"/>
        </w:trPr>
        <w:tc>
          <w:tcPr>
            <w:tcW w:w="2251"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Too hot(1) -too cold(7)</w:t>
            </w:r>
          </w:p>
        </w:tc>
        <w:tc>
          <w:tcPr>
            <w:tcW w:w="388" w:type="pct"/>
            <w:vAlign w:val="center"/>
          </w:tcPr>
          <w:p w:rsidR="00F16D36" w:rsidRPr="00992A9E" w:rsidRDefault="00F16D36" w:rsidP="00342EFE">
            <w:pPr>
              <w:pStyle w:val="NoSpacing"/>
              <w:ind w:right="-88"/>
              <w:rPr>
                <w:rFonts w:asciiTheme="minorHAnsi" w:hAnsiTheme="minorHAnsi"/>
                <w:sz w:val="20"/>
                <w:szCs w:val="20"/>
              </w:rPr>
            </w:pPr>
            <w:r w:rsidRPr="00992A9E">
              <w:rPr>
                <w:rFonts w:asciiTheme="minorHAnsi" w:hAnsiTheme="minorHAnsi"/>
                <w:sz w:val="20"/>
                <w:szCs w:val="20"/>
              </w:rPr>
              <w:t>4.4</w:t>
            </w:r>
          </w:p>
        </w:tc>
        <w:tc>
          <w:tcPr>
            <w:tcW w:w="395" w:type="pct"/>
            <w:vAlign w:val="center"/>
          </w:tcPr>
          <w:p w:rsidR="00F16D36" w:rsidRPr="00992A9E" w:rsidRDefault="00F16D36" w:rsidP="00342EFE">
            <w:pPr>
              <w:pStyle w:val="NoSpacing"/>
              <w:ind w:right="-88"/>
              <w:rPr>
                <w:rFonts w:asciiTheme="minorHAnsi" w:hAnsiTheme="minorHAnsi"/>
                <w:sz w:val="20"/>
                <w:szCs w:val="20"/>
              </w:rPr>
            </w:pPr>
            <w:r w:rsidRPr="00992A9E">
              <w:rPr>
                <w:rFonts w:asciiTheme="minorHAnsi" w:hAnsiTheme="minorHAnsi"/>
                <w:sz w:val="20"/>
                <w:szCs w:val="20"/>
              </w:rPr>
              <w:t>1.1</w:t>
            </w:r>
          </w:p>
        </w:tc>
        <w:tc>
          <w:tcPr>
            <w:tcW w:w="614" w:type="pct"/>
            <w:vAlign w:val="center"/>
          </w:tcPr>
          <w:p w:rsidR="00F16D36" w:rsidRPr="00992A9E" w:rsidRDefault="00F16D36" w:rsidP="00342EFE">
            <w:pPr>
              <w:pStyle w:val="NoSpacing"/>
              <w:ind w:left="-66" w:right="-88"/>
              <w:rPr>
                <w:rFonts w:asciiTheme="minorHAnsi" w:hAnsiTheme="minorHAnsi"/>
                <w:sz w:val="20"/>
                <w:szCs w:val="20"/>
              </w:rPr>
            </w:pPr>
            <w:r w:rsidRPr="00992A9E">
              <w:rPr>
                <w:rFonts w:asciiTheme="minorHAnsi" w:hAnsiTheme="minorHAnsi"/>
                <w:sz w:val="20"/>
                <w:szCs w:val="20"/>
              </w:rPr>
              <w:t>5.5</w:t>
            </w:r>
          </w:p>
        </w:tc>
        <w:tc>
          <w:tcPr>
            <w:tcW w:w="550" w:type="pct"/>
            <w:vAlign w:val="center"/>
          </w:tcPr>
          <w:p w:rsidR="00F16D36" w:rsidRPr="00992A9E" w:rsidRDefault="00F16D36" w:rsidP="00342EFE">
            <w:pPr>
              <w:pStyle w:val="NoSpacing"/>
              <w:ind w:left="-78" w:right="-88"/>
              <w:rPr>
                <w:rFonts w:asciiTheme="minorHAnsi" w:hAnsiTheme="minorHAnsi"/>
                <w:sz w:val="20"/>
                <w:szCs w:val="20"/>
              </w:rPr>
            </w:pPr>
            <w:r w:rsidRPr="00992A9E">
              <w:rPr>
                <w:rFonts w:asciiTheme="minorHAnsi" w:hAnsiTheme="minorHAnsi"/>
                <w:sz w:val="20"/>
                <w:szCs w:val="20"/>
              </w:rPr>
              <w:t>3.2</w:t>
            </w:r>
          </w:p>
        </w:tc>
        <w:tc>
          <w:tcPr>
            <w:tcW w:w="361" w:type="pct"/>
            <w:vAlign w:val="center"/>
          </w:tcPr>
          <w:p w:rsidR="00F16D36" w:rsidRPr="00992A9E" w:rsidRDefault="00F16D36" w:rsidP="00342EFE">
            <w:pPr>
              <w:pStyle w:val="NoSpacing"/>
              <w:ind w:right="-88"/>
              <w:rPr>
                <w:rFonts w:asciiTheme="minorHAnsi" w:hAnsiTheme="minorHAnsi"/>
                <w:sz w:val="20"/>
                <w:szCs w:val="20"/>
              </w:rPr>
            </w:pPr>
            <w:r w:rsidRPr="00992A9E">
              <w:rPr>
                <w:rFonts w:asciiTheme="minorHAnsi" w:hAnsiTheme="minorHAnsi"/>
                <w:sz w:val="20"/>
                <w:szCs w:val="20"/>
              </w:rPr>
              <w:t>6</w:t>
            </w:r>
          </w:p>
        </w:tc>
        <w:tc>
          <w:tcPr>
            <w:tcW w:w="441" w:type="pct"/>
            <w:gridSpan w:val="2"/>
            <w:vAlign w:val="center"/>
          </w:tcPr>
          <w:p w:rsidR="00F16D36" w:rsidRPr="00992A9E" w:rsidRDefault="00F16D36" w:rsidP="00342EFE">
            <w:pPr>
              <w:pStyle w:val="NoSpacing"/>
              <w:ind w:right="-88"/>
              <w:rPr>
                <w:rFonts w:asciiTheme="minorHAnsi" w:hAnsiTheme="minorHAnsi"/>
                <w:sz w:val="20"/>
                <w:szCs w:val="20"/>
              </w:rPr>
            </w:pPr>
            <w:r w:rsidRPr="00992A9E">
              <w:rPr>
                <w:rFonts w:asciiTheme="minorHAnsi" w:hAnsiTheme="minorHAnsi"/>
                <w:sz w:val="20"/>
                <w:szCs w:val="20"/>
              </w:rPr>
              <w:t>2</w:t>
            </w:r>
          </w:p>
        </w:tc>
      </w:tr>
      <w:tr w:rsidR="00342EFE" w:rsidRPr="00F16D36" w:rsidTr="00342EFE">
        <w:trPr>
          <w:jc w:val="center"/>
        </w:trPr>
        <w:tc>
          <w:tcPr>
            <w:tcW w:w="2251" w:type="pct"/>
            <w:tcBorders>
              <w:bottom w:val="single" w:sz="2" w:space="0" w:color="BFBFBF" w:themeColor="background1" w:themeShade="BF"/>
            </w:tcBorders>
            <w:vAlign w:val="center"/>
          </w:tcPr>
          <w:p w:rsidR="00F16D36" w:rsidRPr="00992A9E" w:rsidRDefault="00E9104D" w:rsidP="00342EFE">
            <w:pPr>
              <w:pStyle w:val="NoSpacing"/>
              <w:rPr>
                <w:rFonts w:asciiTheme="minorHAnsi" w:hAnsiTheme="minorHAnsi"/>
                <w:sz w:val="20"/>
                <w:szCs w:val="20"/>
              </w:rPr>
            </w:pPr>
            <w:r w:rsidRPr="00992A9E">
              <w:rPr>
                <w:rFonts w:asciiTheme="minorHAnsi" w:hAnsiTheme="minorHAnsi"/>
                <w:sz w:val="20"/>
                <w:szCs w:val="20"/>
              </w:rPr>
              <w:t xml:space="preserve">Satisfactory overall(1) </w:t>
            </w:r>
            <w:r w:rsidR="00F16D36" w:rsidRPr="00992A9E">
              <w:rPr>
                <w:rFonts w:asciiTheme="minorHAnsi" w:hAnsiTheme="minorHAnsi"/>
                <w:sz w:val="20"/>
                <w:szCs w:val="20"/>
              </w:rPr>
              <w:t>-unsatisfactory overall(7)</w:t>
            </w:r>
          </w:p>
        </w:tc>
        <w:tc>
          <w:tcPr>
            <w:tcW w:w="388" w:type="pct"/>
            <w:tcBorders>
              <w:bottom w:val="single" w:sz="2" w:space="0" w:color="BFBFBF" w:themeColor="background1" w:themeShade="BF"/>
            </w:tcBorders>
            <w:vAlign w:val="center"/>
          </w:tcPr>
          <w:p w:rsidR="00F16D36" w:rsidRPr="00992A9E" w:rsidRDefault="00F16D36" w:rsidP="00342EFE">
            <w:pPr>
              <w:pStyle w:val="NoSpacing"/>
              <w:ind w:right="-88"/>
              <w:rPr>
                <w:rFonts w:asciiTheme="minorHAnsi" w:hAnsiTheme="minorHAnsi"/>
                <w:sz w:val="20"/>
                <w:szCs w:val="20"/>
              </w:rPr>
            </w:pPr>
            <w:r w:rsidRPr="00992A9E">
              <w:rPr>
                <w:rFonts w:asciiTheme="minorHAnsi" w:hAnsiTheme="minorHAnsi"/>
                <w:sz w:val="20"/>
                <w:szCs w:val="20"/>
              </w:rPr>
              <w:t>3.7</w:t>
            </w:r>
          </w:p>
        </w:tc>
        <w:tc>
          <w:tcPr>
            <w:tcW w:w="395" w:type="pct"/>
            <w:tcBorders>
              <w:bottom w:val="single" w:sz="2" w:space="0" w:color="BFBFBF" w:themeColor="background1" w:themeShade="BF"/>
            </w:tcBorders>
            <w:vAlign w:val="center"/>
          </w:tcPr>
          <w:p w:rsidR="00F16D36" w:rsidRPr="00992A9E" w:rsidRDefault="00F16D36" w:rsidP="00342EFE">
            <w:pPr>
              <w:pStyle w:val="NoSpacing"/>
              <w:ind w:right="-88"/>
              <w:rPr>
                <w:rFonts w:asciiTheme="minorHAnsi" w:hAnsiTheme="minorHAnsi"/>
                <w:sz w:val="20"/>
                <w:szCs w:val="20"/>
              </w:rPr>
            </w:pPr>
            <w:r w:rsidRPr="00992A9E">
              <w:rPr>
                <w:rFonts w:asciiTheme="minorHAnsi" w:hAnsiTheme="minorHAnsi"/>
                <w:sz w:val="20"/>
                <w:szCs w:val="20"/>
              </w:rPr>
              <w:t>1.2</w:t>
            </w:r>
          </w:p>
        </w:tc>
        <w:tc>
          <w:tcPr>
            <w:tcW w:w="614" w:type="pct"/>
            <w:tcBorders>
              <w:bottom w:val="single" w:sz="2" w:space="0" w:color="BFBFBF" w:themeColor="background1" w:themeShade="BF"/>
            </w:tcBorders>
            <w:vAlign w:val="center"/>
          </w:tcPr>
          <w:p w:rsidR="00F16D36" w:rsidRPr="00992A9E" w:rsidRDefault="00F16D36" w:rsidP="00342EFE">
            <w:pPr>
              <w:pStyle w:val="NoSpacing"/>
              <w:ind w:left="-66" w:right="-88"/>
              <w:rPr>
                <w:rFonts w:asciiTheme="minorHAnsi" w:hAnsiTheme="minorHAnsi"/>
                <w:sz w:val="20"/>
                <w:szCs w:val="20"/>
              </w:rPr>
            </w:pPr>
            <w:r w:rsidRPr="00992A9E">
              <w:rPr>
                <w:rFonts w:asciiTheme="minorHAnsi" w:hAnsiTheme="minorHAnsi"/>
                <w:sz w:val="20"/>
                <w:szCs w:val="20"/>
              </w:rPr>
              <w:t>4.9</w:t>
            </w:r>
          </w:p>
        </w:tc>
        <w:tc>
          <w:tcPr>
            <w:tcW w:w="550" w:type="pct"/>
            <w:tcBorders>
              <w:bottom w:val="single" w:sz="2" w:space="0" w:color="BFBFBF" w:themeColor="background1" w:themeShade="BF"/>
            </w:tcBorders>
            <w:vAlign w:val="center"/>
          </w:tcPr>
          <w:p w:rsidR="00F16D36" w:rsidRPr="00992A9E" w:rsidRDefault="00F16D36" w:rsidP="00342EFE">
            <w:pPr>
              <w:pStyle w:val="NoSpacing"/>
              <w:ind w:left="-78" w:right="-88"/>
              <w:rPr>
                <w:rFonts w:asciiTheme="minorHAnsi" w:hAnsiTheme="minorHAnsi"/>
                <w:sz w:val="20"/>
                <w:szCs w:val="20"/>
              </w:rPr>
            </w:pPr>
            <w:r w:rsidRPr="00992A9E">
              <w:rPr>
                <w:rFonts w:asciiTheme="minorHAnsi" w:hAnsiTheme="minorHAnsi"/>
                <w:sz w:val="20"/>
                <w:szCs w:val="20"/>
              </w:rPr>
              <w:t>2.5</w:t>
            </w:r>
          </w:p>
        </w:tc>
        <w:tc>
          <w:tcPr>
            <w:tcW w:w="361" w:type="pct"/>
            <w:tcBorders>
              <w:bottom w:val="single" w:sz="2" w:space="0" w:color="BFBFBF" w:themeColor="background1" w:themeShade="BF"/>
            </w:tcBorders>
            <w:vAlign w:val="center"/>
          </w:tcPr>
          <w:p w:rsidR="00F16D36" w:rsidRPr="00992A9E" w:rsidRDefault="00F16D36" w:rsidP="00342EFE">
            <w:pPr>
              <w:pStyle w:val="NoSpacing"/>
              <w:ind w:right="-88"/>
              <w:rPr>
                <w:rFonts w:asciiTheme="minorHAnsi" w:hAnsiTheme="minorHAnsi"/>
                <w:sz w:val="20"/>
                <w:szCs w:val="20"/>
              </w:rPr>
            </w:pPr>
            <w:r w:rsidRPr="00992A9E">
              <w:rPr>
                <w:rFonts w:asciiTheme="minorHAnsi" w:hAnsiTheme="minorHAnsi"/>
                <w:sz w:val="20"/>
                <w:szCs w:val="20"/>
              </w:rPr>
              <w:t>6</w:t>
            </w:r>
          </w:p>
        </w:tc>
        <w:tc>
          <w:tcPr>
            <w:tcW w:w="441" w:type="pct"/>
            <w:gridSpan w:val="2"/>
            <w:tcBorders>
              <w:bottom w:val="single" w:sz="2" w:space="0" w:color="BFBFBF" w:themeColor="background1" w:themeShade="BF"/>
            </w:tcBorders>
            <w:vAlign w:val="center"/>
          </w:tcPr>
          <w:p w:rsidR="00F16D36" w:rsidRPr="00992A9E" w:rsidRDefault="00F16D36" w:rsidP="00342EFE">
            <w:pPr>
              <w:pStyle w:val="NoSpacing"/>
              <w:ind w:right="-88"/>
              <w:rPr>
                <w:rFonts w:asciiTheme="minorHAnsi" w:hAnsiTheme="minorHAnsi"/>
                <w:sz w:val="20"/>
                <w:szCs w:val="20"/>
              </w:rPr>
            </w:pPr>
            <w:r w:rsidRPr="00992A9E">
              <w:rPr>
                <w:rFonts w:asciiTheme="minorHAnsi" w:hAnsiTheme="minorHAnsi"/>
                <w:sz w:val="20"/>
                <w:szCs w:val="20"/>
              </w:rPr>
              <w:t>2</w:t>
            </w:r>
          </w:p>
        </w:tc>
      </w:tr>
      <w:tr w:rsidR="00342EFE" w:rsidRPr="00F16D36" w:rsidTr="00342EFE">
        <w:trPr>
          <w:jc w:val="center"/>
        </w:trPr>
        <w:tc>
          <w:tcPr>
            <w:tcW w:w="2251" w:type="pct"/>
            <w:tcBorders>
              <w:top w:val="single" w:sz="2" w:space="0" w:color="BFBFBF" w:themeColor="background1" w:themeShade="BF"/>
              <w:bottom w:val="nil"/>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SUMMER</w:t>
            </w:r>
          </w:p>
        </w:tc>
        <w:tc>
          <w:tcPr>
            <w:tcW w:w="388" w:type="pct"/>
            <w:tcBorders>
              <w:top w:val="single" w:sz="2" w:space="0" w:color="BFBFBF" w:themeColor="background1" w:themeShade="BF"/>
              <w:bottom w:val="nil"/>
            </w:tcBorders>
            <w:vAlign w:val="center"/>
          </w:tcPr>
          <w:p w:rsidR="00F16D36" w:rsidRPr="00992A9E" w:rsidRDefault="00F16D36" w:rsidP="00342EFE">
            <w:pPr>
              <w:pStyle w:val="NoSpacing"/>
              <w:ind w:right="-88"/>
              <w:rPr>
                <w:rFonts w:asciiTheme="minorHAnsi" w:hAnsiTheme="minorHAnsi"/>
                <w:sz w:val="20"/>
                <w:szCs w:val="20"/>
              </w:rPr>
            </w:pPr>
          </w:p>
        </w:tc>
        <w:tc>
          <w:tcPr>
            <w:tcW w:w="395" w:type="pct"/>
            <w:tcBorders>
              <w:top w:val="single" w:sz="2" w:space="0" w:color="BFBFBF" w:themeColor="background1" w:themeShade="BF"/>
              <w:bottom w:val="nil"/>
            </w:tcBorders>
            <w:vAlign w:val="center"/>
          </w:tcPr>
          <w:p w:rsidR="00F16D36" w:rsidRPr="00992A9E" w:rsidRDefault="00F16D36" w:rsidP="00342EFE">
            <w:pPr>
              <w:pStyle w:val="NoSpacing"/>
              <w:ind w:right="-88"/>
              <w:rPr>
                <w:rFonts w:asciiTheme="minorHAnsi" w:hAnsiTheme="minorHAnsi"/>
                <w:sz w:val="20"/>
                <w:szCs w:val="20"/>
              </w:rPr>
            </w:pPr>
          </w:p>
        </w:tc>
        <w:tc>
          <w:tcPr>
            <w:tcW w:w="614" w:type="pct"/>
            <w:tcBorders>
              <w:top w:val="single" w:sz="2" w:space="0" w:color="BFBFBF" w:themeColor="background1" w:themeShade="BF"/>
              <w:bottom w:val="nil"/>
            </w:tcBorders>
            <w:vAlign w:val="center"/>
          </w:tcPr>
          <w:p w:rsidR="00F16D36" w:rsidRPr="00992A9E" w:rsidRDefault="00F16D36" w:rsidP="00342EFE">
            <w:pPr>
              <w:pStyle w:val="NoSpacing"/>
              <w:ind w:left="-66" w:right="-88"/>
              <w:rPr>
                <w:rFonts w:asciiTheme="minorHAnsi" w:hAnsiTheme="minorHAnsi"/>
                <w:sz w:val="20"/>
                <w:szCs w:val="20"/>
              </w:rPr>
            </w:pPr>
          </w:p>
        </w:tc>
        <w:tc>
          <w:tcPr>
            <w:tcW w:w="550" w:type="pct"/>
            <w:tcBorders>
              <w:top w:val="single" w:sz="2" w:space="0" w:color="BFBFBF" w:themeColor="background1" w:themeShade="BF"/>
              <w:bottom w:val="nil"/>
            </w:tcBorders>
            <w:vAlign w:val="center"/>
          </w:tcPr>
          <w:p w:rsidR="00F16D36" w:rsidRPr="00992A9E" w:rsidRDefault="00F16D36" w:rsidP="00342EFE">
            <w:pPr>
              <w:pStyle w:val="NoSpacing"/>
              <w:ind w:left="-78" w:right="-88"/>
              <w:rPr>
                <w:rFonts w:asciiTheme="minorHAnsi" w:hAnsiTheme="minorHAnsi"/>
                <w:sz w:val="20"/>
                <w:szCs w:val="20"/>
              </w:rPr>
            </w:pPr>
          </w:p>
        </w:tc>
        <w:tc>
          <w:tcPr>
            <w:tcW w:w="361" w:type="pct"/>
            <w:tcBorders>
              <w:top w:val="single" w:sz="2" w:space="0" w:color="BFBFBF" w:themeColor="background1" w:themeShade="BF"/>
              <w:bottom w:val="nil"/>
            </w:tcBorders>
            <w:vAlign w:val="center"/>
          </w:tcPr>
          <w:p w:rsidR="00F16D36" w:rsidRPr="00992A9E" w:rsidRDefault="00F16D36" w:rsidP="00342EFE">
            <w:pPr>
              <w:pStyle w:val="NoSpacing"/>
              <w:ind w:right="-88"/>
              <w:rPr>
                <w:rFonts w:asciiTheme="minorHAnsi" w:hAnsiTheme="minorHAnsi"/>
                <w:sz w:val="20"/>
                <w:szCs w:val="20"/>
              </w:rPr>
            </w:pPr>
          </w:p>
        </w:tc>
        <w:tc>
          <w:tcPr>
            <w:tcW w:w="441" w:type="pct"/>
            <w:gridSpan w:val="2"/>
            <w:tcBorders>
              <w:top w:val="single" w:sz="2" w:space="0" w:color="BFBFBF" w:themeColor="background1" w:themeShade="BF"/>
              <w:bottom w:val="nil"/>
            </w:tcBorders>
            <w:vAlign w:val="center"/>
          </w:tcPr>
          <w:p w:rsidR="00F16D36" w:rsidRPr="00992A9E" w:rsidRDefault="00F16D36" w:rsidP="00342EFE">
            <w:pPr>
              <w:pStyle w:val="NoSpacing"/>
              <w:ind w:right="-88"/>
              <w:rPr>
                <w:rFonts w:asciiTheme="minorHAnsi" w:hAnsiTheme="minorHAnsi"/>
                <w:sz w:val="20"/>
                <w:szCs w:val="20"/>
              </w:rPr>
            </w:pPr>
          </w:p>
        </w:tc>
      </w:tr>
      <w:tr w:rsidR="00342EFE" w:rsidRPr="00F16D36" w:rsidTr="00342EFE">
        <w:trPr>
          <w:jc w:val="center"/>
        </w:trPr>
        <w:tc>
          <w:tcPr>
            <w:tcW w:w="2251" w:type="pct"/>
            <w:tcBorders>
              <w:top w:val="nil"/>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Comfortable(1) -uncomfortable(7)</w:t>
            </w:r>
          </w:p>
        </w:tc>
        <w:tc>
          <w:tcPr>
            <w:tcW w:w="388" w:type="pct"/>
            <w:tcBorders>
              <w:top w:val="nil"/>
            </w:tcBorders>
            <w:vAlign w:val="center"/>
          </w:tcPr>
          <w:p w:rsidR="00F16D36" w:rsidRPr="00992A9E" w:rsidRDefault="00F16D36" w:rsidP="00342EFE">
            <w:pPr>
              <w:pStyle w:val="NoSpacing"/>
              <w:ind w:right="-88"/>
              <w:rPr>
                <w:rFonts w:asciiTheme="minorHAnsi" w:hAnsiTheme="minorHAnsi"/>
                <w:sz w:val="20"/>
                <w:szCs w:val="20"/>
              </w:rPr>
            </w:pPr>
            <w:r w:rsidRPr="00992A9E">
              <w:rPr>
                <w:rFonts w:asciiTheme="minorHAnsi" w:hAnsiTheme="minorHAnsi"/>
                <w:sz w:val="20"/>
                <w:szCs w:val="20"/>
              </w:rPr>
              <w:t>2.8</w:t>
            </w:r>
          </w:p>
        </w:tc>
        <w:tc>
          <w:tcPr>
            <w:tcW w:w="395" w:type="pct"/>
            <w:tcBorders>
              <w:top w:val="nil"/>
            </w:tcBorders>
            <w:vAlign w:val="center"/>
          </w:tcPr>
          <w:p w:rsidR="00F16D36" w:rsidRPr="00992A9E" w:rsidRDefault="00F16D36" w:rsidP="00342EFE">
            <w:pPr>
              <w:pStyle w:val="NoSpacing"/>
              <w:ind w:right="-88"/>
              <w:rPr>
                <w:rFonts w:asciiTheme="minorHAnsi" w:hAnsiTheme="minorHAnsi"/>
                <w:sz w:val="20"/>
                <w:szCs w:val="20"/>
              </w:rPr>
            </w:pPr>
            <w:r w:rsidRPr="00992A9E">
              <w:rPr>
                <w:rFonts w:asciiTheme="minorHAnsi" w:hAnsiTheme="minorHAnsi"/>
                <w:sz w:val="20"/>
                <w:szCs w:val="20"/>
              </w:rPr>
              <w:t>1.5</w:t>
            </w:r>
          </w:p>
        </w:tc>
        <w:tc>
          <w:tcPr>
            <w:tcW w:w="614" w:type="pct"/>
            <w:tcBorders>
              <w:top w:val="nil"/>
            </w:tcBorders>
            <w:vAlign w:val="center"/>
          </w:tcPr>
          <w:p w:rsidR="00F16D36" w:rsidRPr="00992A9E" w:rsidRDefault="00F16D36" w:rsidP="00342EFE">
            <w:pPr>
              <w:pStyle w:val="NoSpacing"/>
              <w:ind w:left="-66" w:right="-88"/>
              <w:rPr>
                <w:rFonts w:asciiTheme="minorHAnsi" w:hAnsiTheme="minorHAnsi"/>
                <w:sz w:val="20"/>
                <w:szCs w:val="20"/>
              </w:rPr>
            </w:pPr>
            <w:r w:rsidRPr="00992A9E">
              <w:rPr>
                <w:rFonts w:asciiTheme="minorHAnsi" w:hAnsiTheme="minorHAnsi"/>
                <w:sz w:val="20"/>
                <w:szCs w:val="20"/>
              </w:rPr>
              <w:t>4.4</w:t>
            </w:r>
          </w:p>
        </w:tc>
        <w:tc>
          <w:tcPr>
            <w:tcW w:w="550" w:type="pct"/>
            <w:tcBorders>
              <w:top w:val="nil"/>
            </w:tcBorders>
            <w:vAlign w:val="center"/>
          </w:tcPr>
          <w:p w:rsidR="00F16D36" w:rsidRPr="00992A9E" w:rsidRDefault="00F16D36" w:rsidP="00342EFE">
            <w:pPr>
              <w:pStyle w:val="NoSpacing"/>
              <w:ind w:left="-78" w:right="-88"/>
              <w:rPr>
                <w:rFonts w:asciiTheme="minorHAnsi" w:hAnsiTheme="minorHAnsi"/>
                <w:sz w:val="20"/>
                <w:szCs w:val="20"/>
              </w:rPr>
            </w:pPr>
            <w:r w:rsidRPr="00992A9E">
              <w:rPr>
                <w:rFonts w:asciiTheme="minorHAnsi" w:hAnsiTheme="minorHAnsi"/>
                <w:sz w:val="20"/>
                <w:szCs w:val="20"/>
              </w:rPr>
              <w:t>1.3</w:t>
            </w:r>
          </w:p>
        </w:tc>
        <w:tc>
          <w:tcPr>
            <w:tcW w:w="361" w:type="pct"/>
            <w:tcBorders>
              <w:top w:val="nil"/>
            </w:tcBorders>
            <w:vAlign w:val="center"/>
          </w:tcPr>
          <w:p w:rsidR="00F16D36" w:rsidRPr="00992A9E" w:rsidRDefault="00F16D36" w:rsidP="00342EFE">
            <w:pPr>
              <w:pStyle w:val="NoSpacing"/>
              <w:ind w:right="-88"/>
              <w:rPr>
                <w:rFonts w:asciiTheme="minorHAnsi" w:hAnsiTheme="minorHAnsi"/>
                <w:sz w:val="20"/>
                <w:szCs w:val="20"/>
              </w:rPr>
            </w:pPr>
            <w:r w:rsidRPr="00992A9E">
              <w:rPr>
                <w:rFonts w:asciiTheme="minorHAnsi" w:hAnsiTheme="minorHAnsi"/>
                <w:sz w:val="20"/>
                <w:szCs w:val="20"/>
              </w:rPr>
              <w:t>6</w:t>
            </w:r>
          </w:p>
        </w:tc>
        <w:tc>
          <w:tcPr>
            <w:tcW w:w="441" w:type="pct"/>
            <w:gridSpan w:val="2"/>
            <w:tcBorders>
              <w:top w:val="nil"/>
            </w:tcBorders>
            <w:vAlign w:val="center"/>
          </w:tcPr>
          <w:p w:rsidR="00F16D36" w:rsidRPr="00992A9E" w:rsidRDefault="00F16D36" w:rsidP="00342EFE">
            <w:pPr>
              <w:pStyle w:val="NoSpacing"/>
              <w:ind w:right="-88"/>
              <w:rPr>
                <w:rFonts w:asciiTheme="minorHAnsi" w:hAnsiTheme="minorHAnsi"/>
                <w:sz w:val="20"/>
                <w:szCs w:val="20"/>
              </w:rPr>
            </w:pPr>
            <w:r w:rsidRPr="00992A9E">
              <w:rPr>
                <w:rFonts w:asciiTheme="minorHAnsi" w:hAnsiTheme="minorHAnsi"/>
                <w:sz w:val="20"/>
                <w:szCs w:val="20"/>
              </w:rPr>
              <w:t>1</w:t>
            </w:r>
          </w:p>
        </w:tc>
      </w:tr>
      <w:tr w:rsidR="00342EFE" w:rsidRPr="00F16D36" w:rsidTr="00342EFE">
        <w:trPr>
          <w:jc w:val="center"/>
        </w:trPr>
        <w:tc>
          <w:tcPr>
            <w:tcW w:w="2251"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Too hot(1) -too cold(7)</w:t>
            </w:r>
          </w:p>
        </w:tc>
        <w:tc>
          <w:tcPr>
            <w:tcW w:w="388" w:type="pct"/>
            <w:vAlign w:val="center"/>
          </w:tcPr>
          <w:p w:rsidR="00F16D36" w:rsidRPr="00992A9E" w:rsidRDefault="00F16D36" w:rsidP="00342EFE">
            <w:pPr>
              <w:pStyle w:val="NoSpacing"/>
              <w:ind w:right="-88"/>
              <w:rPr>
                <w:rFonts w:asciiTheme="minorHAnsi" w:hAnsiTheme="minorHAnsi"/>
                <w:sz w:val="20"/>
                <w:szCs w:val="20"/>
              </w:rPr>
            </w:pPr>
            <w:r w:rsidRPr="00992A9E">
              <w:rPr>
                <w:rFonts w:asciiTheme="minorHAnsi" w:hAnsiTheme="minorHAnsi"/>
                <w:sz w:val="20"/>
                <w:szCs w:val="20"/>
              </w:rPr>
              <w:t>3.3</w:t>
            </w:r>
          </w:p>
        </w:tc>
        <w:tc>
          <w:tcPr>
            <w:tcW w:w="395" w:type="pct"/>
            <w:vAlign w:val="center"/>
          </w:tcPr>
          <w:p w:rsidR="00F16D36" w:rsidRPr="00992A9E" w:rsidRDefault="00F16D36" w:rsidP="00342EFE">
            <w:pPr>
              <w:pStyle w:val="NoSpacing"/>
              <w:ind w:right="-88"/>
              <w:rPr>
                <w:rFonts w:asciiTheme="minorHAnsi" w:hAnsiTheme="minorHAnsi"/>
                <w:sz w:val="20"/>
                <w:szCs w:val="20"/>
              </w:rPr>
            </w:pPr>
            <w:r w:rsidRPr="00992A9E">
              <w:rPr>
                <w:rFonts w:asciiTheme="minorHAnsi" w:hAnsiTheme="minorHAnsi"/>
                <w:sz w:val="20"/>
                <w:szCs w:val="20"/>
              </w:rPr>
              <w:t>0.8</w:t>
            </w:r>
          </w:p>
        </w:tc>
        <w:tc>
          <w:tcPr>
            <w:tcW w:w="614" w:type="pct"/>
            <w:vAlign w:val="center"/>
          </w:tcPr>
          <w:p w:rsidR="00F16D36" w:rsidRPr="00992A9E" w:rsidRDefault="00F16D36" w:rsidP="00342EFE">
            <w:pPr>
              <w:pStyle w:val="NoSpacing"/>
              <w:ind w:left="-66" w:right="-88"/>
              <w:rPr>
                <w:rFonts w:asciiTheme="minorHAnsi" w:hAnsiTheme="minorHAnsi"/>
                <w:sz w:val="20"/>
                <w:szCs w:val="20"/>
              </w:rPr>
            </w:pPr>
            <w:r w:rsidRPr="00992A9E">
              <w:rPr>
                <w:rFonts w:asciiTheme="minorHAnsi" w:hAnsiTheme="minorHAnsi"/>
                <w:sz w:val="20"/>
                <w:szCs w:val="20"/>
              </w:rPr>
              <w:t>4.1</w:t>
            </w:r>
          </w:p>
        </w:tc>
        <w:tc>
          <w:tcPr>
            <w:tcW w:w="550" w:type="pct"/>
            <w:vAlign w:val="center"/>
          </w:tcPr>
          <w:p w:rsidR="00F16D36" w:rsidRPr="00992A9E" w:rsidRDefault="00F16D36" w:rsidP="00342EFE">
            <w:pPr>
              <w:pStyle w:val="NoSpacing"/>
              <w:ind w:left="-78" w:right="-88"/>
              <w:rPr>
                <w:rFonts w:asciiTheme="minorHAnsi" w:hAnsiTheme="minorHAnsi"/>
                <w:sz w:val="20"/>
                <w:szCs w:val="20"/>
              </w:rPr>
            </w:pPr>
            <w:r w:rsidRPr="00992A9E">
              <w:rPr>
                <w:rFonts w:asciiTheme="minorHAnsi" w:hAnsiTheme="minorHAnsi"/>
                <w:sz w:val="20"/>
                <w:szCs w:val="20"/>
              </w:rPr>
              <w:t>2.5</w:t>
            </w:r>
          </w:p>
        </w:tc>
        <w:tc>
          <w:tcPr>
            <w:tcW w:w="361" w:type="pct"/>
            <w:vAlign w:val="center"/>
          </w:tcPr>
          <w:p w:rsidR="00F16D36" w:rsidRPr="00992A9E" w:rsidRDefault="00F16D36" w:rsidP="00342EFE">
            <w:pPr>
              <w:pStyle w:val="NoSpacing"/>
              <w:ind w:right="-88"/>
              <w:rPr>
                <w:rFonts w:asciiTheme="minorHAnsi" w:hAnsiTheme="minorHAnsi"/>
                <w:sz w:val="20"/>
                <w:szCs w:val="20"/>
              </w:rPr>
            </w:pPr>
            <w:r w:rsidRPr="00992A9E">
              <w:rPr>
                <w:rFonts w:asciiTheme="minorHAnsi" w:hAnsiTheme="minorHAnsi"/>
                <w:sz w:val="20"/>
                <w:szCs w:val="20"/>
              </w:rPr>
              <w:t>4</w:t>
            </w:r>
          </w:p>
        </w:tc>
        <w:tc>
          <w:tcPr>
            <w:tcW w:w="441" w:type="pct"/>
            <w:gridSpan w:val="2"/>
            <w:vAlign w:val="center"/>
          </w:tcPr>
          <w:p w:rsidR="00F16D36" w:rsidRPr="00992A9E" w:rsidRDefault="00F16D36" w:rsidP="00342EFE">
            <w:pPr>
              <w:pStyle w:val="NoSpacing"/>
              <w:ind w:right="-88"/>
              <w:rPr>
                <w:rFonts w:asciiTheme="minorHAnsi" w:hAnsiTheme="minorHAnsi"/>
                <w:sz w:val="20"/>
                <w:szCs w:val="20"/>
              </w:rPr>
            </w:pPr>
            <w:r w:rsidRPr="00992A9E">
              <w:rPr>
                <w:rFonts w:asciiTheme="minorHAnsi" w:hAnsiTheme="minorHAnsi"/>
                <w:sz w:val="20"/>
                <w:szCs w:val="20"/>
              </w:rPr>
              <w:t>2</w:t>
            </w:r>
          </w:p>
        </w:tc>
      </w:tr>
      <w:tr w:rsidR="00342EFE" w:rsidRPr="00F16D36" w:rsidTr="00342EFE">
        <w:trPr>
          <w:jc w:val="center"/>
        </w:trPr>
        <w:tc>
          <w:tcPr>
            <w:tcW w:w="2251" w:type="pct"/>
            <w:tcBorders>
              <w:bottom w:val="single" w:sz="2" w:space="0" w:color="auto"/>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Satisfactory overall(1) -unsatisfactory overall(7)</w:t>
            </w:r>
          </w:p>
        </w:tc>
        <w:tc>
          <w:tcPr>
            <w:tcW w:w="388" w:type="pct"/>
            <w:tcBorders>
              <w:bottom w:val="single" w:sz="2" w:space="0" w:color="auto"/>
            </w:tcBorders>
            <w:vAlign w:val="center"/>
          </w:tcPr>
          <w:p w:rsidR="00F16D36" w:rsidRPr="00992A9E" w:rsidRDefault="00F16D36" w:rsidP="00342EFE">
            <w:pPr>
              <w:pStyle w:val="NoSpacing"/>
              <w:ind w:right="-88"/>
              <w:rPr>
                <w:rFonts w:asciiTheme="minorHAnsi" w:hAnsiTheme="minorHAnsi"/>
                <w:sz w:val="20"/>
                <w:szCs w:val="20"/>
              </w:rPr>
            </w:pPr>
            <w:r w:rsidRPr="00992A9E">
              <w:rPr>
                <w:rFonts w:asciiTheme="minorHAnsi" w:hAnsiTheme="minorHAnsi"/>
                <w:sz w:val="20"/>
                <w:szCs w:val="20"/>
              </w:rPr>
              <w:t>2.5</w:t>
            </w:r>
          </w:p>
        </w:tc>
        <w:tc>
          <w:tcPr>
            <w:tcW w:w="395" w:type="pct"/>
            <w:tcBorders>
              <w:bottom w:val="single" w:sz="2" w:space="0" w:color="auto"/>
            </w:tcBorders>
            <w:vAlign w:val="center"/>
          </w:tcPr>
          <w:p w:rsidR="00F16D36" w:rsidRPr="00992A9E" w:rsidRDefault="00F16D36" w:rsidP="00342EFE">
            <w:pPr>
              <w:pStyle w:val="NoSpacing"/>
              <w:ind w:right="-88"/>
              <w:rPr>
                <w:rFonts w:asciiTheme="minorHAnsi" w:hAnsiTheme="minorHAnsi"/>
                <w:sz w:val="20"/>
                <w:szCs w:val="20"/>
              </w:rPr>
            </w:pPr>
            <w:r w:rsidRPr="00992A9E">
              <w:rPr>
                <w:rFonts w:asciiTheme="minorHAnsi" w:hAnsiTheme="minorHAnsi"/>
                <w:sz w:val="20"/>
                <w:szCs w:val="20"/>
              </w:rPr>
              <w:t>1.0</w:t>
            </w:r>
          </w:p>
        </w:tc>
        <w:tc>
          <w:tcPr>
            <w:tcW w:w="614" w:type="pct"/>
            <w:tcBorders>
              <w:bottom w:val="single" w:sz="2" w:space="0" w:color="auto"/>
            </w:tcBorders>
            <w:vAlign w:val="center"/>
          </w:tcPr>
          <w:p w:rsidR="00F16D36" w:rsidRPr="00992A9E" w:rsidRDefault="00F16D36" w:rsidP="00342EFE">
            <w:pPr>
              <w:pStyle w:val="NoSpacing"/>
              <w:ind w:left="-66" w:right="-88"/>
              <w:rPr>
                <w:rFonts w:asciiTheme="minorHAnsi" w:hAnsiTheme="minorHAnsi"/>
                <w:sz w:val="20"/>
                <w:szCs w:val="20"/>
              </w:rPr>
            </w:pPr>
            <w:r w:rsidRPr="00992A9E">
              <w:rPr>
                <w:rFonts w:asciiTheme="minorHAnsi" w:hAnsiTheme="minorHAnsi"/>
                <w:sz w:val="20"/>
                <w:szCs w:val="20"/>
              </w:rPr>
              <w:t>3.5</w:t>
            </w:r>
          </w:p>
        </w:tc>
        <w:tc>
          <w:tcPr>
            <w:tcW w:w="550" w:type="pct"/>
            <w:tcBorders>
              <w:bottom w:val="single" w:sz="2" w:space="0" w:color="auto"/>
            </w:tcBorders>
            <w:vAlign w:val="center"/>
          </w:tcPr>
          <w:p w:rsidR="00F16D36" w:rsidRPr="00992A9E" w:rsidRDefault="00F16D36" w:rsidP="00342EFE">
            <w:pPr>
              <w:pStyle w:val="NoSpacing"/>
              <w:ind w:left="-78" w:right="-88"/>
              <w:rPr>
                <w:rFonts w:asciiTheme="minorHAnsi" w:hAnsiTheme="minorHAnsi"/>
                <w:sz w:val="20"/>
                <w:szCs w:val="20"/>
              </w:rPr>
            </w:pPr>
            <w:r w:rsidRPr="00992A9E">
              <w:rPr>
                <w:rFonts w:asciiTheme="minorHAnsi" w:hAnsiTheme="minorHAnsi"/>
                <w:sz w:val="20"/>
                <w:szCs w:val="20"/>
              </w:rPr>
              <w:t>1.4</w:t>
            </w:r>
          </w:p>
        </w:tc>
        <w:tc>
          <w:tcPr>
            <w:tcW w:w="361" w:type="pct"/>
            <w:tcBorders>
              <w:bottom w:val="single" w:sz="2" w:space="0" w:color="auto"/>
            </w:tcBorders>
            <w:vAlign w:val="center"/>
          </w:tcPr>
          <w:p w:rsidR="00F16D36" w:rsidRPr="00992A9E" w:rsidRDefault="00F16D36" w:rsidP="00342EFE">
            <w:pPr>
              <w:pStyle w:val="NoSpacing"/>
              <w:ind w:right="-88"/>
              <w:rPr>
                <w:rFonts w:asciiTheme="minorHAnsi" w:hAnsiTheme="minorHAnsi"/>
                <w:sz w:val="20"/>
                <w:szCs w:val="20"/>
              </w:rPr>
            </w:pPr>
            <w:r w:rsidRPr="00992A9E">
              <w:rPr>
                <w:rFonts w:asciiTheme="minorHAnsi" w:hAnsiTheme="minorHAnsi"/>
                <w:sz w:val="20"/>
                <w:szCs w:val="20"/>
              </w:rPr>
              <w:t>4</w:t>
            </w:r>
          </w:p>
        </w:tc>
        <w:tc>
          <w:tcPr>
            <w:tcW w:w="441" w:type="pct"/>
            <w:gridSpan w:val="2"/>
            <w:tcBorders>
              <w:bottom w:val="single" w:sz="2" w:space="0" w:color="auto"/>
            </w:tcBorders>
            <w:vAlign w:val="center"/>
          </w:tcPr>
          <w:p w:rsidR="00F16D36" w:rsidRPr="00992A9E" w:rsidRDefault="00F16D36" w:rsidP="00342EFE">
            <w:pPr>
              <w:pStyle w:val="NoSpacing"/>
              <w:ind w:right="-88"/>
              <w:rPr>
                <w:rFonts w:asciiTheme="minorHAnsi" w:hAnsiTheme="minorHAnsi"/>
                <w:sz w:val="20"/>
                <w:szCs w:val="20"/>
              </w:rPr>
            </w:pPr>
            <w:r w:rsidRPr="00992A9E">
              <w:rPr>
                <w:rFonts w:asciiTheme="minorHAnsi" w:hAnsiTheme="minorHAnsi"/>
                <w:sz w:val="20"/>
                <w:szCs w:val="20"/>
              </w:rPr>
              <w:t>1</w:t>
            </w:r>
          </w:p>
        </w:tc>
      </w:tr>
    </w:tbl>
    <w:p w:rsidR="00F16D36" w:rsidRPr="00F16D36" w:rsidRDefault="00F16D36" w:rsidP="00F16D36">
      <w:pPr>
        <w:pStyle w:val="06BodyMaintext"/>
        <w:spacing w:line="240" w:lineRule="auto"/>
        <w:ind w:firstLine="0"/>
        <w:rPr>
          <w:rFonts w:ascii="Arial Unicode MS" w:eastAsia="Arial Unicode MS" w:hAnsi="Arial Unicode MS" w:cs="Arial Unicode MS"/>
          <w:sz w:val="20"/>
        </w:rPr>
      </w:pPr>
      <w:r w:rsidRPr="00F16D36">
        <w:rPr>
          <w:rFonts w:ascii="Arial Unicode MS" w:eastAsia="Arial Unicode MS" w:hAnsi="Arial Unicode MS" w:cs="Arial Unicode MS"/>
          <w:sz w:val="20"/>
        </w:rPr>
        <w:t>*Occupants were asked to rate thermal comfort factors on a scale of 1-7 (for instance comfortable=1, uncomfortable=7)</w:t>
      </w:r>
    </w:p>
    <w:p w:rsidR="00F16D36" w:rsidRPr="00F16D36" w:rsidRDefault="00F16D36" w:rsidP="00F16D36">
      <w:pPr>
        <w:pStyle w:val="06BodyMaintext"/>
        <w:spacing w:line="240" w:lineRule="auto"/>
        <w:ind w:firstLine="0"/>
        <w:rPr>
          <w:rFonts w:ascii="Arial Unicode MS" w:eastAsia="Arial Unicode MS" w:hAnsi="Arial Unicode MS" w:cs="Arial Unicode MS"/>
          <w:sz w:val="20"/>
        </w:rPr>
      </w:pPr>
    </w:p>
    <w:p w:rsidR="00F16D36" w:rsidRPr="00F16D36" w:rsidRDefault="00F16D36" w:rsidP="00F16D36">
      <w:pPr>
        <w:pStyle w:val="06BodyMaintext"/>
        <w:spacing w:line="240" w:lineRule="auto"/>
        <w:ind w:firstLine="0"/>
        <w:rPr>
          <w:rFonts w:ascii="Arial Unicode MS" w:eastAsia="Arial Unicode MS" w:hAnsi="Arial Unicode MS" w:cs="Arial Unicode MS"/>
          <w:sz w:val="20"/>
        </w:rPr>
      </w:pPr>
      <w:r w:rsidRPr="00F16D36">
        <w:rPr>
          <w:rFonts w:ascii="Arial Unicode MS" w:eastAsia="Arial Unicode MS" w:hAnsi="Arial Unicode MS" w:cs="Arial Unicode MS"/>
          <w:sz w:val="20"/>
        </w:rPr>
        <w:t xml:space="preserve">Occupants were asked to rate various aspects of the interior thermal environment, which are presented in Table 8. Scales ranged from bi-polar to uni-polar depending on the variable. As suggested by Raw </w:t>
      </w:r>
      <w:r w:rsidR="007F40FF">
        <w:rPr>
          <w:rFonts w:ascii="Arial Unicode MS" w:eastAsia="Arial Unicode MS" w:hAnsi="Arial Unicode MS" w:cs="Arial Unicode MS"/>
          <w:sz w:val="20"/>
        </w:rPr>
        <w:fldChar w:fldCharType="begin"/>
      </w:r>
      <w:r w:rsidR="00657189">
        <w:rPr>
          <w:rFonts w:ascii="Arial Unicode MS" w:eastAsia="Arial Unicode MS" w:hAnsi="Arial Unicode MS" w:cs="Arial Unicode MS"/>
          <w:sz w:val="20"/>
        </w:rPr>
        <w:instrText>ADDIN RW.CITE{{496 Raw,GJ. 1995 /a}}</w:instrText>
      </w:r>
      <w:r w:rsidR="007F40FF">
        <w:rPr>
          <w:rFonts w:ascii="Arial Unicode MS" w:eastAsia="Arial Unicode MS" w:hAnsi="Arial Unicode MS" w:cs="Arial Unicode MS"/>
          <w:sz w:val="20"/>
        </w:rPr>
        <w:fldChar w:fldCharType="separate"/>
      </w:r>
      <w:r w:rsidR="00657189" w:rsidRPr="00657189">
        <w:rPr>
          <w:rFonts w:ascii="Arial Unicode MS" w:eastAsia="Arial Unicode MS" w:hAnsi="Arial Unicode MS" w:cs="Arial Unicode MS"/>
          <w:sz w:val="20"/>
        </w:rPr>
        <w:t>(1995)</w:t>
      </w:r>
      <w:r w:rsidR="007F40FF">
        <w:rPr>
          <w:rFonts w:ascii="Arial Unicode MS" w:eastAsia="Arial Unicode MS" w:hAnsi="Arial Unicode MS" w:cs="Arial Unicode MS"/>
          <w:sz w:val="20"/>
        </w:rPr>
        <w:fldChar w:fldCharType="end"/>
      </w:r>
      <w:r w:rsidR="00040DC1">
        <w:rPr>
          <w:rFonts w:ascii="Arial Unicode MS" w:eastAsia="Arial Unicode MS" w:hAnsi="Arial Unicode MS" w:cs="Arial Unicode MS"/>
          <w:sz w:val="20"/>
        </w:rPr>
        <w:t xml:space="preserve">, </w:t>
      </w:r>
      <w:r w:rsidRPr="00F16D36">
        <w:rPr>
          <w:rFonts w:ascii="Arial Unicode MS" w:eastAsia="Arial Unicode MS" w:hAnsi="Arial Unicode MS" w:cs="Arial Unicode MS"/>
          <w:sz w:val="20"/>
        </w:rPr>
        <w:t xml:space="preserve">for uni-polar scales (where-by one extreme is bad and the other good), a score greater than 3 requires further investigation and a score greater than 5 is cause for concern. However for bi-polar scales (where-by neither extreme is ideal), a score outside the range of 3-5 requires further investigation and a score outside the range of 2-6 is cause for concern. </w:t>
      </w:r>
    </w:p>
    <w:p w:rsidR="00F16D36" w:rsidRPr="00F16D36" w:rsidRDefault="00F16D36" w:rsidP="00F16D36">
      <w:pPr>
        <w:pStyle w:val="06BodyMaintext"/>
        <w:spacing w:line="240" w:lineRule="auto"/>
        <w:ind w:firstLine="0"/>
        <w:rPr>
          <w:rFonts w:ascii="Arial Unicode MS" w:eastAsia="Arial Unicode MS" w:hAnsi="Arial Unicode MS" w:cs="Arial Unicode MS"/>
          <w:sz w:val="20"/>
        </w:rPr>
      </w:pPr>
    </w:p>
    <w:p w:rsidR="00F16D36" w:rsidRPr="00F16D36" w:rsidRDefault="00F16D36" w:rsidP="00F16D36">
      <w:pPr>
        <w:pStyle w:val="06BodyMaintext"/>
        <w:spacing w:line="240" w:lineRule="auto"/>
        <w:ind w:firstLine="0"/>
        <w:rPr>
          <w:rFonts w:ascii="Arial Unicode MS" w:eastAsia="Arial Unicode MS" w:hAnsi="Arial Unicode MS" w:cs="Arial Unicode MS"/>
          <w:sz w:val="20"/>
        </w:rPr>
      </w:pPr>
      <w:r w:rsidRPr="00F16D36">
        <w:rPr>
          <w:rFonts w:ascii="Arial Unicode MS" w:eastAsia="Arial Unicode MS" w:hAnsi="Arial Unicode MS" w:cs="Arial Unicode MS"/>
          <w:sz w:val="20"/>
        </w:rPr>
        <w:t xml:space="preserve">As illustrated </w:t>
      </w:r>
      <w:r w:rsidR="005D2483">
        <w:rPr>
          <w:rFonts w:ascii="Arial Unicode MS" w:eastAsia="Arial Unicode MS" w:hAnsi="Arial Unicode MS" w:cs="Arial Unicode MS"/>
          <w:sz w:val="20"/>
        </w:rPr>
        <w:t>in Table 11</w:t>
      </w:r>
      <w:r w:rsidRPr="00F16D36">
        <w:rPr>
          <w:rFonts w:ascii="Arial Unicode MS" w:eastAsia="Arial Unicode MS" w:hAnsi="Arial Unicode MS" w:cs="Arial Unicode MS"/>
          <w:sz w:val="20"/>
        </w:rPr>
        <w:t xml:space="preserve">, the average value for the ‘comfortable to uncomfortable’ rating scale in winter was 3.5, suggesting occupants did not perceive the thermal environment as significantly comfortable. This is similar to the average score for ‘satisfactory to unsatisfactory’ rating scale of 3.7, suggesting the homes are not significantly satisfactory in winter. The average score for rating scale ‘too hot-too cold’ was 4.4, which suggests there was no significant problems with temperature during winter. It should be noted however that a maximum score of 6 and minimum score of 2 were recorded, which suggests significant variations in perceived thermal comfort. </w:t>
      </w:r>
    </w:p>
    <w:p w:rsidR="00E9104D" w:rsidRPr="00F16D36" w:rsidRDefault="00E9104D" w:rsidP="00F16D36">
      <w:pPr>
        <w:pStyle w:val="06BodyMaintext"/>
        <w:spacing w:line="240" w:lineRule="auto"/>
        <w:ind w:firstLine="0"/>
        <w:jc w:val="left"/>
        <w:rPr>
          <w:rFonts w:ascii="Arial Unicode MS" w:eastAsia="Arial Unicode MS" w:hAnsi="Arial Unicode MS" w:cs="Arial Unicode MS"/>
          <w:sz w:val="20"/>
        </w:rPr>
      </w:pPr>
    </w:p>
    <w:tbl>
      <w:tblPr>
        <w:tblW w:w="4860" w:type="pct"/>
        <w:jc w:val="center"/>
        <w:tblBorders>
          <w:top w:val="single" w:sz="18" w:space="0" w:color="auto"/>
          <w:bottom w:val="single" w:sz="18" w:space="0" w:color="auto"/>
        </w:tblBorders>
        <w:tblLook w:val="04A0" w:firstRow="1" w:lastRow="0" w:firstColumn="1" w:lastColumn="0" w:noHBand="0" w:noVBand="1"/>
      </w:tblPr>
      <w:tblGrid>
        <w:gridCol w:w="4174"/>
        <w:gridCol w:w="717"/>
        <w:gridCol w:w="561"/>
        <w:gridCol w:w="1132"/>
        <w:gridCol w:w="1029"/>
        <w:gridCol w:w="595"/>
        <w:gridCol w:w="658"/>
        <w:gridCol w:w="117"/>
      </w:tblGrid>
      <w:tr w:rsidR="00E9104D" w:rsidRPr="00F16D36" w:rsidTr="00342EFE">
        <w:trPr>
          <w:gridAfter w:val="1"/>
          <w:wAfter w:w="65" w:type="pct"/>
          <w:jc w:val="center"/>
        </w:trPr>
        <w:tc>
          <w:tcPr>
            <w:tcW w:w="4935" w:type="pct"/>
            <w:gridSpan w:val="7"/>
            <w:tcBorders>
              <w:top w:val="nil"/>
              <w:bottom w:val="single" w:sz="2" w:space="0" w:color="auto"/>
            </w:tcBorders>
            <w:vAlign w:val="center"/>
          </w:tcPr>
          <w:p w:rsidR="00F16D36" w:rsidRPr="00F16D36" w:rsidRDefault="00F16D36" w:rsidP="00CB4E25">
            <w:pPr>
              <w:rPr>
                <w:rFonts w:eastAsia="Arial Unicode MS"/>
              </w:rPr>
            </w:pPr>
            <w:r w:rsidRPr="00F16D36">
              <w:rPr>
                <w:rFonts w:eastAsia="Arial Unicode MS"/>
              </w:rPr>
              <w:t>Tabl</w:t>
            </w:r>
            <w:r w:rsidR="00CB4E25">
              <w:rPr>
                <w:rFonts w:eastAsia="Arial Unicode MS"/>
              </w:rPr>
              <w:t>e 12</w:t>
            </w:r>
            <w:r w:rsidRPr="00F16D36">
              <w:rPr>
                <w:rFonts w:eastAsia="Arial Unicode MS"/>
              </w:rPr>
              <w:t>.   Perceived air quality (all households)*</w:t>
            </w:r>
          </w:p>
        </w:tc>
      </w:tr>
      <w:tr w:rsidR="00E9104D" w:rsidRPr="00F16D36" w:rsidTr="00342EFE">
        <w:trPr>
          <w:jc w:val="center"/>
        </w:trPr>
        <w:tc>
          <w:tcPr>
            <w:tcW w:w="2324" w:type="pct"/>
            <w:tcBorders>
              <w:top w:val="single" w:sz="2" w:space="0" w:color="auto"/>
              <w:bottom w:val="single" w:sz="2" w:space="0" w:color="auto"/>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Indoor air quality factors</w:t>
            </w:r>
          </w:p>
        </w:tc>
        <w:tc>
          <w:tcPr>
            <w:tcW w:w="399" w:type="pct"/>
            <w:tcBorders>
              <w:top w:val="single" w:sz="2" w:space="0" w:color="auto"/>
              <w:bottom w:val="single" w:sz="2" w:space="0" w:color="auto"/>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Mean</w:t>
            </w:r>
          </w:p>
        </w:tc>
        <w:tc>
          <w:tcPr>
            <w:tcW w:w="312" w:type="pct"/>
            <w:tcBorders>
              <w:top w:val="single" w:sz="2" w:space="0" w:color="auto"/>
              <w:bottom w:val="single" w:sz="2" w:space="0" w:color="auto"/>
            </w:tcBorders>
            <w:vAlign w:val="center"/>
          </w:tcPr>
          <w:p w:rsidR="00F16D36" w:rsidRPr="00992A9E" w:rsidRDefault="00E9104D" w:rsidP="00342EFE">
            <w:pPr>
              <w:pStyle w:val="NoSpacing"/>
              <w:rPr>
                <w:rFonts w:asciiTheme="minorHAnsi" w:hAnsiTheme="minorHAnsi"/>
                <w:sz w:val="20"/>
                <w:szCs w:val="20"/>
              </w:rPr>
            </w:pPr>
            <w:r w:rsidRPr="00992A9E">
              <w:rPr>
                <w:rFonts w:asciiTheme="minorHAnsi" w:hAnsiTheme="minorHAnsi"/>
                <w:sz w:val="20"/>
                <w:szCs w:val="20"/>
              </w:rPr>
              <w:t>SD</w:t>
            </w:r>
          </w:p>
        </w:tc>
        <w:tc>
          <w:tcPr>
            <w:tcW w:w="630" w:type="pct"/>
            <w:tcBorders>
              <w:top w:val="single" w:sz="2" w:space="0" w:color="auto"/>
              <w:bottom w:val="single" w:sz="2" w:space="0" w:color="auto"/>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 xml:space="preserve">Mean </w:t>
            </w:r>
            <w:r w:rsidR="00E9104D" w:rsidRPr="00992A9E">
              <w:rPr>
                <w:rFonts w:asciiTheme="minorHAnsi" w:hAnsiTheme="minorHAnsi"/>
                <w:sz w:val="20"/>
                <w:szCs w:val="20"/>
              </w:rPr>
              <w:t>+SD</w:t>
            </w:r>
          </w:p>
        </w:tc>
        <w:tc>
          <w:tcPr>
            <w:tcW w:w="573" w:type="pct"/>
            <w:tcBorders>
              <w:top w:val="single" w:sz="2" w:space="0" w:color="auto"/>
              <w:bottom w:val="single" w:sz="2" w:space="0" w:color="auto"/>
            </w:tcBorders>
            <w:vAlign w:val="center"/>
          </w:tcPr>
          <w:p w:rsidR="00F16D36" w:rsidRPr="00992A9E" w:rsidRDefault="00E9104D" w:rsidP="00342EFE">
            <w:pPr>
              <w:pStyle w:val="NoSpacing"/>
              <w:rPr>
                <w:rFonts w:asciiTheme="minorHAnsi" w:hAnsiTheme="minorHAnsi"/>
                <w:sz w:val="20"/>
                <w:szCs w:val="20"/>
              </w:rPr>
            </w:pPr>
            <w:r w:rsidRPr="00992A9E">
              <w:rPr>
                <w:rFonts w:asciiTheme="minorHAnsi" w:hAnsiTheme="minorHAnsi"/>
                <w:sz w:val="20"/>
                <w:szCs w:val="20"/>
              </w:rPr>
              <w:t>Mean -SD</w:t>
            </w:r>
          </w:p>
        </w:tc>
        <w:tc>
          <w:tcPr>
            <w:tcW w:w="331" w:type="pct"/>
            <w:tcBorders>
              <w:top w:val="single" w:sz="2" w:space="0" w:color="auto"/>
              <w:bottom w:val="single" w:sz="2" w:space="0" w:color="auto"/>
            </w:tcBorders>
            <w:vAlign w:val="center"/>
          </w:tcPr>
          <w:p w:rsidR="00F16D36" w:rsidRPr="00992A9E" w:rsidRDefault="00E9104D" w:rsidP="00342EFE">
            <w:pPr>
              <w:pStyle w:val="NoSpacing"/>
              <w:rPr>
                <w:rFonts w:asciiTheme="minorHAnsi" w:hAnsiTheme="minorHAnsi"/>
                <w:sz w:val="20"/>
                <w:szCs w:val="20"/>
              </w:rPr>
            </w:pPr>
            <w:r w:rsidRPr="00992A9E">
              <w:rPr>
                <w:rFonts w:asciiTheme="minorHAnsi" w:hAnsiTheme="minorHAnsi"/>
                <w:sz w:val="20"/>
                <w:szCs w:val="20"/>
              </w:rPr>
              <w:t>Max</w:t>
            </w:r>
          </w:p>
        </w:tc>
        <w:tc>
          <w:tcPr>
            <w:tcW w:w="431" w:type="pct"/>
            <w:gridSpan w:val="2"/>
            <w:tcBorders>
              <w:top w:val="single" w:sz="2" w:space="0" w:color="auto"/>
              <w:bottom w:val="single" w:sz="2" w:space="0" w:color="auto"/>
            </w:tcBorders>
            <w:vAlign w:val="center"/>
          </w:tcPr>
          <w:p w:rsidR="00F16D36" w:rsidRPr="00992A9E" w:rsidRDefault="00E9104D" w:rsidP="00342EFE">
            <w:pPr>
              <w:pStyle w:val="NoSpacing"/>
              <w:rPr>
                <w:rFonts w:asciiTheme="minorHAnsi" w:hAnsiTheme="minorHAnsi"/>
                <w:sz w:val="20"/>
                <w:szCs w:val="20"/>
              </w:rPr>
            </w:pPr>
            <w:r w:rsidRPr="00992A9E">
              <w:rPr>
                <w:rFonts w:asciiTheme="minorHAnsi" w:hAnsiTheme="minorHAnsi"/>
                <w:sz w:val="20"/>
                <w:szCs w:val="20"/>
              </w:rPr>
              <w:t>Min</w:t>
            </w:r>
          </w:p>
        </w:tc>
      </w:tr>
      <w:tr w:rsidR="00E9104D" w:rsidRPr="00F16D36" w:rsidTr="00342EFE">
        <w:trPr>
          <w:jc w:val="center"/>
        </w:trPr>
        <w:tc>
          <w:tcPr>
            <w:tcW w:w="2324" w:type="pct"/>
            <w:tcBorders>
              <w:top w:val="single" w:sz="2" w:space="0" w:color="auto"/>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WINTER</w:t>
            </w:r>
          </w:p>
        </w:tc>
        <w:tc>
          <w:tcPr>
            <w:tcW w:w="399" w:type="pct"/>
            <w:tcBorders>
              <w:top w:val="single" w:sz="2" w:space="0" w:color="auto"/>
            </w:tcBorders>
            <w:vAlign w:val="center"/>
          </w:tcPr>
          <w:p w:rsidR="00F16D36" w:rsidRPr="00992A9E" w:rsidRDefault="00F16D36" w:rsidP="00342EFE">
            <w:pPr>
              <w:pStyle w:val="NoSpacing"/>
              <w:rPr>
                <w:rFonts w:asciiTheme="minorHAnsi" w:hAnsiTheme="minorHAnsi"/>
                <w:sz w:val="20"/>
                <w:szCs w:val="20"/>
              </w:rPr>
            </w:pPr>
          </w:p>
        </w:tc>
        <w:tc>
          <w:tcPr>
            <w:tcW w:w="312" w:type="pct"/>
            <w:tcBorders>
              <w:top w:val="single" w:sz="2" w:space="0" w:color="auto"/>
            </w:tcBorders>
            <w:vAlign w:val="center"/>
          </w:tcPr>
          <w:p w:rsidR="00F16D36" w:rsidRPr="00992A9E" w:rsidRDefault="00F16D36" w:rsidP="00342EFE">
            <w:pPr>
              <w:pStyle w:val="NoSpacing"/>
              <w:rPr>
                <w:rFonts w:asciiTheme="minorHAnsi" w:hAnsiTheme="minorHAnsi"/>
                <w:sz w:val="20"/>
                <w:szCs w:val="20"/>
              </w:rPr>
            </w:pPr>
          </w:p>
        </w:tc>
        <w:tc>
          <w:tcPr>
            <w:tcW w:w="630" w:type="pct"/>
            <w:tcBorders>
              <w:top w:val="single" w:sz="2" w:space="0" w:color="auto"/>
            </w:tcBorders>
            <w:vAlign w:val="center"/>
          </w:tcPr>
          <w:p w:rsidR="00F16D36" w:rsidRPr="00992A9E" w:rsidRDefault="00F16D36" w:rsidP="00342EFE">
            <w:pPr>
              <w:pStyle w:val="NoSpacing"/>
              <w:rPr>
                <w:rFonts w:asciiTheme="minorHAnsi" w:hAnsiTheme="minorHAnsi"/>
                <w:sz w:val="20"/>
                <w:szCs w:val="20"/>
              </w:rPr>
            </w:pPr>
          </w:p>
        </w:tc>
        <w:tc>
          <w:tcPr>
            <w:tcW w:w="573" w:type="pct"/>
            <w:tcBorders>
              <w:top w:val="single" w:sz="2" w:space="0" w:color="auto"/>
            </w:tcBorders>
            <w:vAlign w:val="center"/>
          </w:tcPr>
          <w:p w:rsidR="00F16D36" w:rsidRPr="00992A9E" w:rsidRDefault="00F16D36" w:rsidP="00342EFE">
            <w:pPr>
              <w:pStyle w:val="NoSpacing"/>
              <w:rPr>
                <w:rFonts w:asciiTheme="minorHAnsi" w:hAnsiTheme="minorHAnsi"/>
                <w:sz w:val="20"/>
                <w:szCs w:val="20"/>
              </w:rPr>
            </w:pPr>
          </w:p>
        </w:tc>
        <w:tc>
          <w:tcPr>
            <w:tcW w:w="331" w:type="pct"/>
            <w:tcBorders>
              <w:top w:val="single" w:sz="2" w:space="0" w:color="auto"/>
            </w:tcBorders>
            <w:vAlign w:val="center"/>
          </w:tcPr>
          <w:p w:rsidR="00F16D36" w:rsidRPr="00992A9E" w:rsidRDefault="00F16D36" w:rsidP="00342EFE">
            <w:pPr>
              <w:pStyle w:val="NoSpacing"/>
              <w:rPr>
                <w:rFonts w:asciiTheme="minorHAnsi" w:hAnsiTheme="minorHAnsi"/>
                <w:sz w:val="20"/>
                <w:szCs w:val="20"/>
              </w:rPr>
            </w:pPr>
          </w:p>
        </w:tc>
        <w:tc>
          <w:tcPr>
            <w:tcW w:w="431" w:type="pct"/>
            <w:gridSpan w:val="2"/>
            <w:tcBorders>
              <w:top w:val="single" w:sz="2" w:space="0" w:color="auto"/>
            </w:tcBorders>
            <w:vAlign w:val="center"/>
          </w:tcPr>
          <w:p w:rsidR="00F16D36" w:rsidRPr="00992A9E" w:rsidRDefault="00F16D36" w:rsidP="00342EFE">
            <w:pPr>
              <w:pStyle w:val="NoSpacing"/>
              <w:rPr>
                <w:rFonts w:asciiTheme="minorHAnsi" w:hAnsiTheme="minorHAnsi"/>
                <w:sz w:val="20"/>
                <w:szCs w:val="20"/>
              </w:rPr>
            </w:pPr>
          </w:p>
        </w:tc>
      </w:tr>
      <w:tr w:rsidR="00E9104D" w:rsidRPr="00F16D36" w:rsidTr="00342EFE">
        <w:trPr>
          <w:jc w:val="center"/>
        </w:trPr>
        <w:tc>
          <w:tcPr>
            <w:tcW w:w="2324"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Dry(1)- humid(7)</w:t>
            </w:r>
          </w:p>
        </w:tc>
        <w:tc>
          <w:tcPr>
            <w:tcW w:w="399"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4.0</w:t>
            </w:r>
          </w:p>
        </w:tc>
        <w:tc>
          <w:tcPr>
            <w:tcW w:w="312"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0.6</w:t>
            </w:r>
          </w:p>
        </w:tc>
        <w:tc>
          <w:tcPr>
            <w:tcW w:w="630"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4.6</w:t>
            </w:r>
          </w:p>
        </w:tc>
        <w:tc>
          <w:tcPr>
            <w:tcW w:w="573"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3.4</w:t>
            </w:r>
          </w:p>
        </w:tc>
        <w:tc>
          <w:tcPr>
            <w:tcW w:w="331"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5</w:t>
            </w:r>
          </w:p>
        </w:tc>
        <w:tc>
          <w:tcPr>
            <w:tcW w:w="431" w:type="pct"/>
            <w:gridSpan w:val="2"/>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3</w:t>
            </w:r>
          </w:p>
        </w:tc>
      </w:tr>
      <w:tr w:rsidR="00E9104D" w:rsidRPr="00F16D36" w:rsidTr="00342EFE">
        <w:trPr>
          <w:jc w:val="center"/>
        </w:trPr>
        <w:tc>
          <w:tcPr>
            <w:tcW w:w="2324"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Fresh(1)- stuffy(7)</w:t>
            </w:r>
          </w:p>
        </w:tc>
        <w:tc>
          <w:tcPr>
            <w:tcW w:w="399"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3.6</w:t>
            </w:r>
          </w:p>
        </w:tc>
        <w:tc>
          <w:tcPr>
            <w:tcW w:w="312"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0.8</w:t>
            </w:r>
          </w:p>
        </w:tc>
        <w:tc>
          <w:tcPr>
            <w:tcW w:w="630"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4.4</w:t>
            </w:r>
          </w:p>
        </w:tc>
        <w:tc>
          <w:tcPr>
            <w:tcW w:w="573"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2.8</w:t>
            </w:r>
          </w:p>
        </w:tc>
        <w:tc>
          <w:tcPr>
            <w:tcW w:w="331"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5</w:t>
            </w:r>
          </w:p>
        </w:tc>
        <w:tc>
          <w:tcPr>
            <w:tcW w:w="431" w:type="pct"/>
            <w:gridSpan w:val="2"/>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2</w:t>
            </w:r>
          </w:p>
        </w:tc>
      </w:tr>
      <w:tr w:rsidR="00E9104D" w:rsidRPr="00F16D36" w:rsidTr="00342EFE">
        <w:trPr>
          <w:jc w:val="center"/>
        </w:trPr>
        <w:tc>
          <w:tcPr>
            <w:tcW w:w="2324"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Odorless(1)- odorous(7)</w:t>
            </w:r>
          </w:p>
        </w:tc>
        <w:tc>
          <w:tcPr>
            <w:tcW w:w="399"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4.1</w:t>
            </w:r>
          </w:p>
        </w:tc>
        <w:tc>
          <w:tcPr>
            <w:tcW w:w="312"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1.1</w:t>
            </w:r>
          </w:p>
        </w:tc>
        <w:tc>
          <w:tcPr>
            <w:tcW w:w="630"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5.2</w:t>
            </w:r>
          </w:p>
        </w:tc>
        <w:tc>
          <w:tcPr>
            <w:tcW w:w="573"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3.0</w:t>
            </w:r>
          </w:p>
        </w:tc>
        <w:tc>
          <w:tcPr>
            <w:tcW w:w="331"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6</w:t>
            </w:r>
          </w:p>
        </w:tc>
        <w:tc>
          <w:tcPr>
            <w:tcW w:w="431" w:type="pct"/>
            <w:gridSpan w:val="2"/>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3</w:t>
            </w:r>
          </w:p>
        </w:tc>
      </w:tr>
      <w:tr w:rsidR="00E9104D" w:rsidRPr="00F16D36" w:rsidTr="00342EFE">
        <w:trPr>
          <w:jc w:val="center"/>
        </w:trPr>
        <w:tc>
          <w:tcPr>
            <w:tcW w:w="2324"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Too still(1) –too draughty(7)</w:t>
            </w:r>
          </w:p>
        </w:tc>
        <w:tc>
          <w:tcPr>
            <w:tcW w:w="399"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3.5</w:t>
            </w:r>
          </w:p>
        </w:tc>
        <w:tc>
          <w:tcPr>
            <w:tcW w:w="312"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0.9</w:t>
            </w:r>
          </w:p>
        </w:tc>
        <w:tc>
          <w:tcPr>
            <w:tcW w:w="630"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4.5</w:t>
            </w:r>
          </w:p>
        </w:tc>
        <w:tc>
          <w:tcPr>
            <w:tcW w:w="573"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2.6</w:t>
            </w:r>
          </w:p>
        </w:tc>
        <w:tc>
          <w:tcPr>
            <w:tcW w:w="331"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5</w:t>
            </w:r>
          </w:p>
        </w:tc>
        <w:tc>
          <w:tcPr>
            <w:tcW w:w="431" w:type="pct"/>
            <w:gridSpan w:val="2"/>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2</w:t>
            </w:r>
          </w:p>
        </w:tc>
      </w:tr>
      <w:tr w:rsidR="00E9104D" w:rsidRPr="00F16D36" w:rsidTr="00342EFE">
        <w:trPr>
          <w:jc w:val="center"/>
        </w:trPr>
        <w:tc>
          <w:tcPr>
            <w:tcW w:w="2324" w:type="pct"/>
            <w:tcBorders>
              <w:bottom w:val="single" w:sz="2" w:space="0" w:color="BFBFBF" w:themeColor="background1" w:themeShade="BF"/>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Satisfactory overall(1)- unsatisfactory overall(7)</w:t>
            </w:r>
          </w:p>
        </w:tc>
        <w:tc>
          <w:tcPr>
            <w:tcW w:w="399" w:type="pct"/>
            <w:tcBorders>
              <w:bottom w:val="single" w:sz="2" w:space="0" w:color="BFBFBF" w:themeColor="background1" w:themeShade="BF"/>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3.5</w:t>
            </w:r>
          </w:p>
        </w:tc>
        <w:tc>
          <w:tcPr>
            <w:tcW w:w="312" w:type="pct"/>
            <w:tcBorders>
              <w:bottom w:val="single" w:sz="2" w:space="0" w:color="BFBFBF" w:themeColor="background1" w:themeShade="BF"/>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1.4</w:t>
            </w:r>
          </w:p>
        </w:tc>
        <w:tc>
          <w:tcPr>
            <w:tcW w:w="630" w:type="pct"/>
            <w:tcBorders>
              <w:bottom w:val="single" w:sz="2" w:space="0" w:color="BFBFBF" w:themeColor="background1" w:themeShade="BF"/>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4.8</w:t>
            </w:r>
          </w:p>
        </w:tc>
        <w:tc>
          <w:tcPr>
            <w:tcW w:w="573" w:type="pct"/>
            <w:tcBorders>
              <w:bottom w:val="single" w:sz="2" w:space="0" w:color="BFBFBF" w:themeColor="background1" w:themeShade="BF"/>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2.1</w:t>
            </w:r>
          </w:p>
        </w:tc>
        <w:tc>
          <w:tcPr>
            <w:tcW w:w="331" w:type="pct"/>
            <w:tcBorders>
              <w:bottom w:val="single" w:sz="2" w:space="0" w:color="BFBFBF" w:themeColor="background1" w:themeShade="BF"/>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5</w:t>
            </w:r>
          </w:p>
        </w:tc>
        <w:tc>
          <w:tcPr>
            <w:tcW w:w="431" w:type="pct"/>
            <w:gridSpan w:val="2"/>
            <w:tcBorders>
              <w:bottom w:val="single" w:sz="2" w:space="0" w:color="BFBFBF" w:themeColor="background1" w:themeShade="BF"/>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1</w:t>
            </w:r>
          </w:p>
        </w:tc>
      </w:tr>
      <w:tr w:rsidR="00E9104D" w:rsidRPr="00F16D36" w:rsidTr="00342EFE">
        <w:trPr>
          <w:jc w:val="center"/>
        </w:trPr>
        <w:tc>
          <w:tcPr>
            <w:tcW w:w="2324" w:type="pct"/>
            <w:tcBorders>
              <w:top w:val="single" w:sz="2" w:space="0" w:color="BFBFBF" w:themeColor="background1" w:themeShade="BF"/>
              <w:bottom w:val="nil"/>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SUMMER</w:t>
            </w:r>
          </w:p>
        </w:tc>
        <w:tc>
          <w:tcPr>
            <w:tcW w:w="399" w:type="pct"/>
            <w:tcBorders>
              <w:top w:val="single" w:sz="2" w:space="0" w:color="BFBFBF" w:themeColor="background1" w:themeShade="BF"/>
              <w:bottom w:val="nil"/>
            </w:tcBorders>
            <w:vAlign w:val="center"/>
          </w:tcPr>
          <w:p w:rsidR="00F16D36" w:rsidRPr="00992A9E" w:rsidRDefault="00F16D36" w:rsidP="00342EFE">
            <w:pPr>
              <w:pStyle w:val="NoSpacing"/>
              <w:rPr>
                <w:rFonts w:asciiTheme="minorHAnsi" w:hAnsiTheme="minorHAnsi"/>
                <w:sz w:val="20"/>
                <w:szCs w:val="20"/>
              </w:rPr>
            </w:pPr>
          </w:p>
        </w:tc>
        <w:tc>
          <w:tcPr>
            <w:tcW w:w="312" w:type="pct"/>
            <w:tcBorders>
              <w:top w:val="single" w:sz="2" w:space="0" w:color="BFBFBF" w:themeColor="background1" w:themeShade="BF"/>
              <w:bottom w:val="nil"/>
            </w:tcBorders>
            <w:vAlign w:val="center"/>
          </w:tcPr>
          <w:p w:rsidR="00F16D36" w:rsidRPr="00992A9E" w:rsidRDefault="00F16D36" w:rsidP="00342EFE">
            <w:pPr>
              <w:pStyle w:val="NoSpacing"/>
              <w:rPr>
                <w:rFonts w:asciiTheme="minorHAnsi" w:hAnsiTheme="minorHAnsi"/>
                <w:sz w:val="20"/>
                <w:szCs w:val="20"/>
              </w:rPr>
            </w:pPr>
          </w:p>
        </w:tc>
        <w:tc>
          <w:tcPr>
            <w:tcW w:w="630" w:type="pct"/>
            <w:tcBorders>
              <w:top w:val="single" w:sz="2" w:space="0" w:color="BFBFBF" w:themeColor="background1" w:themeShade="BF"/>
              <w:bottom w:val="nil"/>
            </w:tcBorders>
            <w:vAlign w:val="center"/>
          </w:tcPr>
          <w:p w:rsidR="00F16D36" w:rsidRPr="00992A9E" w:rsidRDefault="00F16D36" w:rsidP="00342EFE">
            <w:pPr>
              <w:pStyle w:val="NoSpacing"/>
              <w:rPr>
                <w:rFonts w:asciiTheme="minorHAnsi" w:hAnsiTheme="minorHAnsi"/>
                <w:sz w:val="20"/>
                <w:szCs w:val="20"/>
              </w:rPr>
            </w:pPr>
          </w:p>
        </w:tc>
        <w:tc>
          <w:tcPr>
            <w:tcW w:w="573" w:type="pct"/>
            <w:tcBorders>
              <w:top w:val="single" w:sz="2" w:space="0" w:color="BFBFBF" w:themeColor="background1" w:themeShade="BF"/>
              <w:bottom w:val="nil"/>
            </w:tcBorders>
            <w:vAlign w:val="center"/>
          </w:tcPr>
          <w:p w:rsidR="00F16D36" w:rsidRPr="00992A9E" w:rsidRDefault="00F16D36" w:rsidP="00342EFE">
            <w:pPr>
              <w:pStyle w:val="NoSpacing"/>
              <w:rPr>
                <w:rFonts w:asciiTheme="minorHAnsi" w:hAnsiTheme="minorHAnsi"/>
                <w:sz w:val="20"/>
                <w:szCs w:val="20"/>
              </w:rPr>
            </w:pPr>
          </w:p>
        </w:tc>
        <w:tc>
          <w:tcPr>
            <w:tcW w:w="331" w:type="pct"/>
            <w:tcBorders>
              <w:top w:val="single" w:sz="2" w:space="0" w:color="BFBFBF" w:themeColor="background1" w:themeShade="BF"/>
              <w:bottom w:val="nil"/>
            </w:tcBorders>
            <w:vAlign w:val="center"/>
          </w:tcPr>
          <w:p w:rsidR="00F16D36" w:rsidRPr="00992A9E" w:rsidRDefault="00F16D36" w:rsidP="00342EFE">
            <w:pPr>
              <w:pStyle w:val="NoSpacing"/>
              <w:rPr>
                <w:rFonts w:asciiTheme="minorHAnsi" w:hAnsiTheme="minorHAnsi"/>
                <w:sz w:val="20"/>
                <w:szCs w:val="20"/>
              </w:rPr>
            </w:pPr>
          </w:p>
        </w:tc>
        <w:tc>
          <w:tcPr>
            <w:tcW w:w="431" w:type="pct"/>
            <w:gridSpan w:val="2"/>
            <w:tcBorders>
              <w:top w:val="single" w:sz="2" w:space="0" w:color="BFBFBF" w:themeColor="background1" w:themeShade="BF"/>
              <w:bottom w:val="nil"/>
            </w:tcBorders>
            <w:vAlign w:val="center"/>
          </w:tcPr>
          <w:p w:rsidR="00F16D36" w:rsidRPr="00992A9E" w:rsidRDefault="00F16D36" w:rsidP="00342EFE">
            <w:pPr>
              <w:pStyle w:val="NoSpacing"/>
              <w:rPr>
                <w:rFonts w:asciiTheme="minorHAnsi" w:hAnsiTheme="minorHAnsi"/>
                <w:sz w:val="20"/>
                <w:szCs w:val="20"/>
              </w:rPr>
            </w:pPr>
          </w:p>
        </w:tc>
      </w:tr>
      <w:tr w:rsidR="00E9104D" w:rsidRPr="00F16D36" w:rsidTr="00342EFE">
        <w:trPr>
          <w:jc w:val="center"/>
        </w:trPr>
        <w:tc>
          <w:tcPr>
            <w:tcW w:w="2324" w:type="pct"/>
            <w:tcBorders>
              <w:top w:val="nil"/>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Dry(1)- humid(7)</w:t>
            </w:r>
          </w:p>
        </w:tc>
        <w:tc>
          <w:tcPr>
            <w:tcW w:w="399" w:type="pct"/>
            <w:tcBorders>
              <w:top w:val="nil"/>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3.9</w:t>
            </w:r>
          </w:p>
        </w:tc>
        <w:tc>
          <w:tcPr>
            <w:tcW w:w="312" w:type="pct"/>
            <w:tcBorders>
              <w:top w:val="nil"/>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1.5</w:t>
            </w:r>
          </w:p>
        </w:tc>
        <w:tc>
          <w:tcPr>
            <w:tcW w:w="630" w:type="pct"/>
            <w:tcBorders>
              <w:top w:val="nil"/>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5.4</w:t>
            </w:r>
          </w:p>
        </w:tc>
        <w:tc>
          <w:tcPr>
            <w:tcW w:w="573" w:type="pct"/>
            <w:tcBorders>
              <w:top w:val="nil"/>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2.4</w:t>
            </w:r>
          </w:p>
        </w:tc>
        <w:tc>
          <w:tcPr>
            <w:tcW w:w="331" w:type="pct"/>
            <w:tcBorders>
              <w:top w:val="nil"/>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7</w:t>
            </w:r>
          </w:p>
        </w:tc>
        <w:tc>
          <w:tcPr>
            <w:tcW w:w="431" w:type="pct"/>
            <w:gridSpan w:val="2"/>
            <w:tcBorders>
              <w:top w:val="nil"/>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2</w:t>
            </w:r>
          </w:p>
        </w:tc>
      </w:tr>
      <w:tr w:rsidR="00E9104D" w:rsidRPr="00F16D36" w:rsidTr="00342EFE">
        <w:trPr>
          <w:jc w:val="center"/>
        </w:trPr>
        <w:tc>
          <w:tcPr>
            <w:tcW w:w="2324"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Fresh(1)- stuffy(7)</w:t>
            </w:r>
          </w:p>
        </w:tc>
        <w:tc>
          <w:tcPr>
            <w:tcW w:w="399"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3.4</w:t>
            </w:r>
          </w:p>
        </w:tc>
        <w:tc>
          <w:tcPr>
            <w:tcW w:w="312"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1.1</w:t>
            </w:r>
          </w:p>
        </w:tc>
        <w:tc>
          <w:tcPr>
            <w:tcW w:w="630"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4.5</w:t>
            </w:r>
          </w:p>
        </w:tc>
        <w:tc>
          <w:tcPr>
            <w:tcW w:w="573"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2.2</w:t>
            </w:r>
          </w:p>
        </w:tc>
        <w:tc>
          <w:tcPr>
            <w:tcW w:w="331"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6</w:t>
            </w:r>
          </w:p>
        </w:tc>
        <w:tc>
          <w:tcPr>
            <w:tcW w:w="431" w:type="pct"/>
            <w:gridSpan w:val="2"/>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2</w:t>
            </w:r>
          </w:p>
        </w:tc>
      </w:tr>
      <w:tr w:rsidR="00E9104D" w:rsidRPr="00F16D36" w:rsidTr="00342EFE">
        <w:trPr>
          <w:jc w:val="center"/>
        </w:trPr>
        <w:tc>
          <w:tcPr>
            <w:tcW w:w="2324"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Odorless(1)- odorous(7)</w:t>
            </w:r>
          </w:p>
        </w:tc>
        <w:tc>
          <w:tcPr>
            <w:tcW w:w="399"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3.3</w:t>
            </w:r>
          </w:p>
        </w:tc>
        <w:tc>
          <w:tcPr>
            <w:tcW w:w="312"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1.3</w:t>
            </w:r>
          </w:p>
        </w:tc>
        <w:tc>
          <w:tcPr>
            <w:tcW w:w="630"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4.5</w:t>
            </w:r>
          </w:p>
        </w:tc>
        <w:tc>
          <w:tcPr>
            <w:tcW w:w="573"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2.0</w:t>
            </w:r>
          </w:p>
        </w:tc>
        <w:tc>
          <w:tcPr>
            <w:tcW w:w="331"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6</w:t>
            </w:r>
          </w:p>
        </w:tc>
        <w:tc>
          <w:tcPr>
            <w:tcW w:w="431" w:type="pct"/>
            <w:gridSpan w:val="2"/>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2</w:t>
            </w:r>
          </w:p>
        </w:tc>
      </w:tr>
      <w:tr w:rsidR="00E9104D" w:rsidRPr="00F16D36" w:rsidTr="00342EFE">
        <w:trPr>
          <w:jc w:val="center"/>
        </w:trPr>
        <w:tc>
          <w:tcPr>
            <w:tcW w:w="2324"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Too still(1)- too draughty(7)</w:t>
            </w:r>
          </w:p>
        </w:tc>
        <w:tc>
          <w:tcPr>
            <w:tcW w:w="399"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3.3</w:t>
            </w:r>
          </w:p>
        </w:tc>
        <w:tc>
          <w:tcPr>
            <w:tcW w:w="312"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0.8</w:t>
            </w:r>
          </w:p>
        </w:tc>
        <w:tc>
          <w:tcPr>
            <w:tcW w:w="630"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4.1</w:t>
            </w:r>
          </w:p>
        </w:tc>
        <w:tc>
          <w:tcPr>
            <w:tcW w:w="573"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2.5</w:t>
            </w:r>
          </w:p>
        </w:tc>
        <w:tc>
          <w:tcPr>
            <w:tcW w:w="331" w:type="pct"/>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4</w:t>
            </w:r>
          </w:p>
        </w:tc>
        <w:tc>
          <w:tcPr>
            <w:tcW w:w="431" w:type="pct"/>
            <w:gridSpan w:val="2"/>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2</w:t>
            </w:r>
          </w:p>
        </w:tc>
      </w:tr>
      <w:tr w:rsidR="00E9104D" w:rsidRPr="00F16D36" w:rsidTr="00342EFE">
        <w:trPr>
          <w:jc w:val="center"/>
        </w:trPr>
        <w:tc>
          <w:tcPr>
            <w:tcW w:w="2324" w:type="pct"/>
            <w:tcBorders>
              <w:bottom w:val="single" w:sz="2" w:space="0" w:color="auto"/>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Satisfactory overall(1)- unsatisfactory overall(7)</w:t>
            </w:r>
          </w:p>
        </w:tc>
        <w:tc>
          <w:tcPr>
            <w:tcW w:w="399" w:type="pct"/>
            <w:tcBorders>
              <w:bottom w:val="single" w:sz="2" w:space="0" w:color="auto"/>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2.6</w:t>
            </w:r>
          </w:p>
        </w:tc>
        <w:tc>
          <w:tcPr>
            <w:tcW w:w="312" w:type="pct"/>
            <w:tcBorders>
              <w:bottom w:val="single" w:sz="2" w:space="0" w:color="auto"/>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1.1</w:t>
            </w:r>
          </w:p>
        </w:tc>
        <w:tc>
          <w:tcPr>
            <w:tcW w:w="630" w:type="pct"/>
            <w:tcBorders>
              <w:bottom w:val="single" w:sz="2" w:space="0" w:color="auto"/>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3.8</w:t>
            </w:r>
          </w:p>
        </w:tc>
        <w:tc>
          <w:tcPr>
            <w:tcW w:w="573" w:type="pct"/>
            <w:tcBorders>
              <w:bottom w:val="single" w:sz="2" w:space="0" w:color="auto"/>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1.5</w:t>
            </w:r>
          </w:p>
        </w:tc>
        <w:tc>
          <w:tcPr>
            <w:tcW w:w="331" w:type="pct"/>
            <w:tcBorders>
              <w:bottom w:val="single" w:sz="2" w:space="0" w:color="auto"/>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4</w:t>
            </w:r>
          </w:p>
        </w:tc>
        <w:tc>
          <w:tcPr>
            <w:tcW w:w="431" w:type="pct"/>
            <w:gridSpan w:val="2"/>
            <w:tcBorders>
              <w:bottom w:val="single" w:sz="2" w:space="0" w:color="auto"/>
            </w:tcBorders>
            <w:vAlign w:val="center"/>
          </w:tcPr>
          <w:p w:rsidR="00F16D36" w:rsidRPr="00992A9E" w:rsidRDefault="00F16D36" w:rsidP="00342EFE">
            <w:pPr>
              <w:pStyle w:val="NoSpacing"/>
              <w:rPr>
                <w:rFonts w:asciiTheme="minorHAnsi" w:hAnsiTheme="minorHAnsi"/>
                <w:sz w:val="20"/>
                <w:szCs w:val="20"/>
              </w:rPr>
            </w:pPr>
            <w:r w:rsidRPr="00992A9E">
              <w:rPr>
                <w:rFonts w:asciiTheme="minorHAnsi" w:hAnsiTheme="minorHAnsi"/>
                <w:sz w:val="20"/>
                <w:szCs w:val="20"/>
              </w:rPr>
              <w:t>1</w:t>
            </w:r>
          </w:p>
        </w:tc>
      </w:tr>
    </w:tbl>
    <w:p w:rsidR="00F16D36" w:rsidRPr="00F16D36" w:rsidRDefault="00F16D36" w:rsidP="00F16D36">
      <w:pPr>
        <w:pStyle w:val="06BodyMaintext"/>
        <w:spacing w:line="240" w:lineRule="auto"/>
        <w:ind w:firstLine="0"/>
        <w:rPr>
          <w:rFonts w:ascii="Arial Unicode MS" w:eastAsia="Arial Unicode MS" w:hAnsi="Arial Unicode MS" w:cs="Arial Unicode MS"/>
          <w:sz w:val="20"/>
        </w:rPr>
      </w:pPr>
      <w:r w:rsidRPr="00F16D36">
        <w:rPr>
          <w:rFonts w:ascii="Arial Unicode MS" w:eastAsia="Arial Unicode MS" w:hAnsi="Arial Unicode MS" w:cs="Arial Unicode MS"/>
          <w:sz w:val="20"/>
        </w:rPr>
        <w:t>*Occupants were asked to rate indoor air quality factors on a scale of 1-7 (for instance dry=1, humid=7)</w:t>
      </w:r>
    </w:p>
    <w:p w:rsidR="00F16D36" w:rsidRPr="00F16D36" w:rsidRDefault="00F16D36" w:rsidP="00F16D36">
      <w:pPr>
        <w:pStyle w:val="06BodyMaintext"/>
        <w:spacing w:line="240" w:lineRule="auto"/>
        <w:ind w:firstLine="0"/>
        <w:rPr>
          <w:rFonts w:ascii="Arial Unicode MS" w:eastAsia="Arial Unicode MS" w:hAnsi="Arial Unicode MS" w:cs="Arial Unicode MS"/>
          <w:sz w:val="20"/>
        </w:rPr>
      </w:pPr>
    </w:p>
    <w:p w:rsidR="005D2483" w:rsidRPr="00F16D36" w:rsidRDefault="005D2483" w:rsidP="00040DC1">
      <w:pPr>
        <w:pStyle w:val="06BodyMaintext"/>
        <w:spacing w:line="240" w:lineRule="auto"/>
        <w:ind w:firstLine="0"/>
        <w:rPr>
          <w:rFonts w:ascii="Arial Unicode MS" w:eastAsia="Arial Unicode MS" w:hAnsi="Arial Unicode MS" w:cs="Arial Unicode MS"/>
          <w:sz w:val="20"/>
        </w:rPr>
      </w:pPr>
      <w:r w:rsidRPr="00F16D36">
        <w:rPr>
          <w:rFonts w:ascii="Arial Unicode MS" w:eastAsia="Arial Unicode MS" w:hAnsi="Arial Unicode MS" w:cs="Arial Unicode MS"/>
          <w:sz w:val="20"/>
        </w:rPr>
        <w:t xml:space="preserve">The results for summer suggest much higher levels of comfort (average score of 2.8) and satisfaction of the thermal environment (average score 2.5). It should be noted however that maximum score for comfort levels was recorded as 6, again suggesting significant variations. The mean score for ‘too hot-too cold’ rating scale was 3.3 in summer, suggesting no significant problems with perceived temperature. </w:t>
      </w:r>
    </w:p>
    <w:p w:rsidR="005D2483" w:rsidRDefault="005D2483" w:rsidP="00040DC1">
      <w:pPr>
        <w:pStyle w:val="06BodyMaintext"/>
        <w:spacing w:line="240" w:lineRule="auto"/>
        <w:ind w:firstLine="0"/>
        <w:rPr>
          <w:rFonts w:ascii="Arial Unicode MS" w:eastAsia="Arial Unicode MS" w:hAnsi="Arial Unicode MS" w:cs="Arial Unicode MS"/>
          <w:sz w:val="20"/>
        </w:rPr>
      </w:pPr>
    </w:p>
    <w:p w:rsidR="00F16D36" w:rsidRPr="00F16D36" w:rsidRDefault="00F16D36" w:rsidP="00040DC1">
      <w:pPr>
        <w:pStyle w:val="06BodyMaintext"/>
        <w:spacing w:line="240" w:lineRule="auto"/>
        <w:ind w:firstLine="0"/>
        <w:rPr>
          <w:rFonts w:ascii="Arial Unicode MS" w:eastAsia="Arial Unicode MS" w:hAnsi="Arial Unicode MS" w:cs="Arial Unicode MS"/>
          <w:sz w:val="20"/>
        </w:rPr>
      </w:pPr>
      <w:r w:rsidRPr="00F16D36">
        <w:rPr>
          <w:rFonts w:ascii="Arial Unicode MS" w:eastAsia="Arial Unicode MS" w:hAnsi="Arial Unicode MS" w:cs="Arial Unicode MS"/>
          <w:sz w:val="20"/>
        </w:rPr>
        <w:t>Occupants were also asked to rate the air quality both in summer and wi</w:t>
      </w:r>
      <w:r w:rsidR="005D2483">
        <w:rPr>
          <w:rFonts w:ascii="Arial Unicode MS" w:eastAsia="Arial Unicode MS" w:hAnsi="Arial Unicode MS" w:cs="Arial Unicode MS"/>
          <w:sz w:val="20"/>
        </w:rPr>
        <w:t>nter months. As shown in Table 12</w:t>
      </w:r>
      <w:r w:rsidRPr="00F16D36">
        <w:rPr>
          <w:rFonts w:ascii="Arial Unicode MS" w:eastAsia="Arial Unicode MS" w:hAnsi="Arial Unicode MS" w:cs="Arial Unicode MS"/>
          <w:sz w:val="20"/>
        </w:rPr>
        <w:t xml:space="preserve">, various scales were utilized to describe the quality of the air. For the rating scale ‘dry-humid’ in winter, the average score was 4 which as suggested by Raw </w:t>
      </w:r>
      <w:r w:rsidR="007F40FF">
        <w:rPr>
          <w:rFonts w:ascii="Arial Unicode MS" w:eastAsia="Arial Unicode MS" w:hAnsi="Arial Unicode MS" w:cs="Arial Unicode MS"/>
          <w:sz w:val="20"/>
        </w:rPr>
        <w:fldChar w:fldCharType="begin"/>
      </w:r>
      <w:r w:rsidR="00657189">
        <w:rPr>
          <w:rFonts w:ascii="Arial Unicode MS" w:eastAsia="Arial Unicode MS" w:hAnsi="Arial Unicode MS" w:cs="Arial Unicode MS"/>
          <w:sz w:val="20"/>
        </w:rPr>
        <w:instrText>ADDIN RW.CITE{{496 Raw,GJ. 1995 /a}}</w:instrText>
      </w:r>
      <w:r w:rsidR="007F40FF">
        <w:rPr>
          <w:rFonts w:ascii="Arial Unicode MS" w:eastAsia="Arial Unicode MS" w:hAnsi="Arial Unicode MS" w:cs="Arial Unicode MS"/>
          <w:sz w:val="20"/>
        </w:rPr>
        <w:fldChar w:fldCharType="separate"/>
      </w:r>
      <w:r w:rsidR="00657189" w:rsidRPr="00657189">
        <w:rPr>
          <w:rFonts w:ascii="Arial Unicode MS" w:eastAsia="Arial Unicode MS" w:hAnsi="Arial Unicode MS" w:cs="Arial Unicode MS"/>
          <w:sz w:val="20"/>
        </w:rPr>
        <w:t>(1995)</w:t>
      </w:r>
      <w:r w:rsidR="007F40FF">
        <w:rPr>
          <w:rFonts w:ascii="Arial Unicode MS" w:eastAsia="Arial Unicode MS" w:hAnsi="Arial Unicode MS" w:cs="Arial Unicode MS"/>
          <w:sz w:val="20"/>
        </w:rPr>
        <w:fldChar w:fldCharType="end"/>
      </w:r>
      <w:r w:rsidRPr="00F16D36">
        <w:rPr>
          <w:rFonts w:ascii="Arial Unicode MS" w:eastAsia="Arial Unicode MS" w:hAnsi="Arial Unicode MS" w:cs="Arial Unicode MS"/>
          <w:sz w:val="20"/>
        </w:rPr>
        <w:t xml:space="preserve"> is an ideal score for a bi-polar scale. Both maximum and minimum scores suggest convergence in occupant’s responses. Furthermore, an average score of 3.5 for rating scale ‘too still-too draughty’ in winter suggests no significant problems with air movement, however divergence in results was observed with maximum scores of 5 and minimum scores of 2 recorded. </w:t>
      </w:r>
    </w:p>
    <w:p w:rsidR="00F16D36" w:rsidRPr="00F16D36" w:rsidRDefault="00F16D36" w:rsidP="00F16D36">
      <w:pPr>
        <w:pStyle w:val="06BodyMaintext"/>
        <w:spacing w:line="240" w:lineRule="auto"/>
        <w:ind w:firstLine="0"/>
        <w:rPr>
          <w:rFonts w:ascii="Arial Unicode MS" w:eastAsia="Arial Unicode MS" w:hAnsi="Arial Unicode MS" w:cs="Arial Unicode MS"/>
          <w:sz w:val="20"/>
        </w:rPr>
      </w:pPr>
    </w:p>
    <w:p w:rsidR="00F16D36" w:rsidRPr="00F16D36" w:rsidRDefault="00F16D36" w:rsidP="00F16D36">
      <w:pPr>
        <w:pStyle w:val="06BodyMaintext"/>
        <w:spacing w:line="240" w:lineRule="auto"/>
        <w:ind w:firstLine="0"/>
        <w:rPr>
          <w:rFonts w:ascii="Arial Unicode MS" w:eastAsia="Arial Unicode MS" w:hAnsi="Arial Unicode MS" w:cs="Arial Unicode MS"/>
          <w:sz w:val="20"/>
        </w:rPr>
      </w:pPr>
      <w:r w:rsidRPr="00F16D36">
        <w:rPr>
          <w:rFonts w:ascii="Arial Unicode MS" w:eastAsia="Arial Unicode MS" w:hAnsi="Arial Unicode MS" w:cs="Arial Unicode MS"/>
          <w:sz w:val="20"/>
        </w:rPr>
        <w:t xml:space="preserve">However when asked to rate the air based on ‘fresh-stuffy’ rating scale in winter, the average score was 3.6 suggesting a problem with perceived freshness of air. This is supported by the results of the rating scale ‘odorless-odorous’ which scored an average value of 4.1 in winter, suggesting problems with odors. The average score for rating scale ‘satisfactory overall-unsatisfactory overall’ in winter of 3.5 suggests further investigation is required. </w:t>
      </w:r>
    </w:p>
    <w:p w:rsidR="00F16D36" w:rsidRPr="00F16D36" w:rsidRDefault="00F16D36" w:rsidP="00F16D36">
      <w:pPr>
        <w:pStyle w:val="07BodySpaceAboveApplytomaintextafternumberedlist"/>
        <w:spacing w:line="240" w:lineRule="auto"/>
        <w:ind w:firstLine="0"/>
        <w:rPr>
          <w:rFonts w:ascii="Arial Unicode MS" w:eastAsia="Arial Unicode MS" w:hAnsi="Arial Unicode MS" w:cs="Arial Unicode MS"/>
          <w:sz w:val="20"/>
        </w:rPr>
      </w:pPr>
      <w:r w:rsidRPr="00F16D36">
        <w:rPr>
          <w:rFonts w:ascii="Arial Unicode MS" w:eastAsia="Arial Unicode MS" w:hAnsi="Arial Unicode MS" w:cs="Arial Unicode MS"/>
          <w:sz w:val="20"/>
        </w:rPr>
        <w:t xml:space="preserve">In comparison, the perceived air quality during the summer months was much better, with average value of 2.6 for rating scale ‘satisfactory overall- unsatisfactory overall’. No significant problems were identified with rating scales ‘dry-humid’ (average score of 3.9) and ‘too still-too draughty’ (average score of 3.3). However, for rating scale ‘fresh-stuffy’, the average score was 3.4 suggesting the need for further investigation. This is similar to the average score for rating scale ‘odorless-odorous’ of 3.3. </w:t>
      </w:r>
    </w:p>
    <w:p w:rsidR="00F16D36" w:rsidRDefault="00F16D36" w:rsidP="00E9104D">
      <w:pPr>
        <w:pStyle w:val="07BodySpaceAboveApplytomaintextafternumberedlist"/>
        <w:spacing w:line="240" w:lineRule="auto"/>
        <w:ind w:firstLine="0"/>
        <w:rPr>
          <w:rFonts w:ascii="Arial Unicode MS" w:eastAsia="Arial Unicode MS" w:hAnsi="Arial Unicode MS" w:cs="Arial Unicode MS"/>
          <w:sz w:val="20"/>
        </w:rPr>
      </w:pPr>
      <w:r w:rsidRPr="00F16D36">
        <w:rPr>
          <w:rFonts w:ascii="Arial Unicode MS" w:eastAsia="Arial Unicode MS" w:hAnsi="Arial Unicode MS" w:cs="Arial Unicode MS"/>
          <w:sz w:val="20"/>
        </w:rPr>
        <w:t>Thus the results of air quality perception in the case study homes suggest further investigation is required for both summer and winter months, particularly in relation to perceived freshness of the air and perceived odors. Overall satisfaction of air quality in the homes was much better in summer months compared to winter months. One occupant explained this was due to the fact that during the summer months the windows could be opened for fresh air. This suggests that MVHR alone may not be sufficient in providing adequate perceived air qual</w:t>
      </w:r>
      <w:r w:rsidR="00E9104D">
        <w:rPr>
          <w:rFonts w:ascii="Arial Unicode MS" w:eastAsia="Arial Unicode MS" w:hAnsi="Arial Unicode MS" w:cs="Arial Unicode MS"/>
          <w:sz w:val="20"/>
        </w:rPr>
        <w:t xml:space="preserve">ity in energy efficient homes. </w:t>
      </w:r>
    </w:p>
    <w:p w:rsidR="00E9104D" w:rsidRPr="00CB4E25" w:rsidRDefault="00E9104D" w:rsidP="00CB4E25">
      <w:pPr>
        <w:pStyle w:val="Heading20"/>
        <w:numPr>
          <w:ilvl w:val="1"/>
          <w:numId w:val="12"/>
        </w:numPr>
        <w:rPr>
          <w:rFonts w:eastAsia="Arial Unicode MS" w:cs="Arial"/>
        </w:rPr>
      </w:pPr>
      <w:r>
        <w:rPr>
          <w:rFonts w:eastAsia="Arial Unicode MS" w:cs="Arial"/>
        </w:rPr>
        <w:t>Sick Building Syndrome symptoms</w:t>
      </w:r>
      <w:r w:rsidR="00E41C90">
        <w:rPr>
          <w:rFonts w:eastAsia="Arial Unicode MS" w:cs="Arial"/>
        </w:rPr>
        <w:br/>
      </w:r>
    </w:p>
    <w:p w:rsidR="00E9104D" w:rsidRPr="00E9104D" w:rsidRDefault="00E9104D" w:rsidP="00E41C90">
      <w:pPr>
        <w:pStyle w:val="18References"/>
        <w:tabs>
          <w:tab w:val="clear" w:pos="360"/>
        </w:tabs>
        <w:spacing w:line="240" w:lineRule="auto"/>
        <w:ind w:left="0" w:firstLine="0"/>
        <w:jc w:val="center"/>
        <w:rPr>
          <w:rFonts w:ascii="Arial Unicode MS" w:eastAsia="Arial Unicode MS" w:hAnsi="Arial Unicode MS" w:cs="Arial Unicode MS"/>
          <w:sz w:val="20"/>
        </w:rPr>
      </w:pPr>
      <w:r w:rsidRPr="00E9104D">
        <w:rPr>
          <w:rFonts w:ascii="Arial Unicode MS" w:eastAsia="Arial Unicode MS" w:hAnsi="Arial Unicode MS" w:cs="Arial Unicode MS"/>
          <w:noProof/>
          <w:sz w:val="20"/>
          <w:lang w:val="en-GB" w:eastAsia="en-GB"/>
        </w:rPr>
        <w:drawing>
          <wp:inline distT="0" distB="0" distL="0" distR="0">
            <wp:extent cx="4763386" cy="3051545"/>
            <wp:effectExtent l="0" t="0" r="18415" b="15875"/>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104D" w:rsidRDefault="009F6CD5" w:rsidP="00CB4E25">
      <w:pPr>
        <w:rPr>
          <w:rFonts w:eastAsia="Arial Unicode MS"/>
        </w:rPr>
      </w:pPr>
      <w:r>
        <w:rPr>
          <w:rFonts w:eastAsia="Arial Unicode MS"/>
        </w:rPr>
        <w:t>Figure 6</w:t>
      </w:r>
      <w:r w:rsidR="00E9104D" w:rsidRPr="00E9104D">
        <w:rPr>
          <w:rFonts w:eastAsia="Arial Unicode MS"/>
        </w:rPr>
        <w:t>.</w:t>
      </w:r>
      <w:r w:rsidR="00E9104D">
        <w:rPr>
          <w:rFonts w:eastAsia="Arial Unicode MS"/>
        </w:rPr>
        <w:t xml:space="preserve"> </w:t>
      </w:r>
      <w:r w:rsidR="00E9104D" w:rsidRPr="00E9104D">
        <w:rPr>
          <w:rFonts w:eastAsia="Arial Unicode MS"/>
        </w:rPr>
        <w:t xml:space="preserve">Frequency of Sick Building Syndrome (SBS) symptoms (percentage) experienced by building occupants </w:t>
      </w:r>
    </w:p>
    <w:p w:rsidR="00DD4A10" w:rsidRDefault="00DD4A10" w:rsidP="00CB4E25">
      <w:pPr>
        <w:rPr>
          <w:rFonts w:eastAsia="Arial Unicode MS"/>
        </w:rPr>
      </w:pPr>
    </w:p>
    <w:p w:rsidR="00DD4A10" w:rsidRPr="00E9104D" w:rsidRDefault="00DD4A10" w:rsidP="00CB4E25">
      <w:pPr>
        <w:rPr>
          <w:rFonts w:eastAsia="Arial Unicode MS"/>
        </w:rPr>
      </w:pPr>
    </w:p>
    <w:p w:rsidR="00E9104D" w:rsidRPr="00E9104D" w:rsidRDefault="00E9104D" w:rsidP="00CB4E25">
      <w:pPr>
        <w:pStyle w:val="08BodySpaceBelowApplytomaintextbeforeanumberedlist"/>
        <w:spacing w:line="240" w:lineRule="auto"/>
        <w:ind w:firstLine="0"/>
        <w:rPr>
          <w:rFonts w:ascii="Arial Unicode MS" w:eastAsia="Arial Unicode MS" w:hAnsi="Arial Unicode MS" w:cs="Arial Unicode MS"/>
          <w:sz w:val="20"/>
        </w:rPr>
      </w:pPr>
      <w:r w:rsidRPr="00E9104D">
        <w:rPr>
          <w:rFonts w:ascii="Arial Unicode MS" w:eastAsia="Arial Unicode MS" w:hAnsi="Arial Unicode MS" w:cs="Arial Unicode MS"/>
          <w:sz w:val="20"/>
        </w:rPr>
        <w:t xml:space="preserve">The frequency of Sick Building Syndrome (SBS) symptoms in the case study homes was investigated. Figure 6 presents the results. As illustrated, 44% of occupants reported experiencing more than two episodes of blocked/stuffy nose in the last 12 months, however only 6% stated that this symptom was better at times away from the home. Similarly, 31% reported experiencing more than two episodes of runny nose in the last twelve months, with none declaring the symptom to be better away from the home. </w:t>
      </w:r>
    </w:p>
    <w:p w:rsidR="00E9104D" w:rsidRPr="00040DC1" w:rsidRDefault="00E9104D" w:rsidP="00CB4E25">
      <w:pPr>
        <w:pStyle w:val="08BodySpaceBelowApplytomaintextbeforeanumberedlist"/>
        <w:spacing w:line="240" w:lineRule="auto"/>
        <w:ind w:firstLine="0"/>
        <w:rPr>
          <w:rFonts w:ascii="Arial Unicode MS" w:eastAsia="Arial Unicode MS" w:hAnsi="Arial Unicode MS" w:cs="Arial Unicode MS"/>
          <w:sz w:val="20"/>
        </w:rPr>
      </w:pPr>
      <w:r w:rsidRPr="00E9104D">
        <w:rPr>
          <w:rFonts w:ascii="Arial Unicode MS" w:eastAsia="Arial Unicode MS" w:hAnsi="Arial Unicode MS" w:cs="Arial Unicode MS"/>
          <w:sz w:val="20"/>
        </w:rPr>
        <w:t xml:space="preserve">The most prevalent building related SBS among occupants of the six case study homes was ‘dry throat’, with 19% stating the symptom was better at times away from the home. Itchy/watery eyes was experienced by 13% of occupants more than twice in the last twelve months, all of whom stated the symptom was better at times away from the home. </w:t>
      </w:r>
      <w:r w:rsidRPr="00040DC1">
        <w:rPr>
          <w:rFonts w:ascii="Arial Unicode MS" w:eastAsia="Arial Unicode MS" w:hAnsi="Arial Unicode MS" w:cs="Arial Unicode MS"/>
          <w:sz w:val="20"/>
        </w:rPr>
        <w:t xml:space="preserve">As explained by Murphy </w:t>
      </w:r>
      <w:r w:rsidR="007F40FF" w:rsidRPr="00040DC1">
        <w:rPr>
          <w:rFonts w:ascii="Arial Unicode MS" w:eastAsia="Arial Unicode MS" w:hAnsi="Arial Unicode MS" w:cs="Arial Unicode MS"/>
          <w:sz w:val="20"/>
        </w:rPr>
        <w:fldChar w:fldCharType="begin"/>
      </w:r>
      <w:r w:rsidR="00657189">
        <w:rPr>
          <w:rFonts w:ascii="Arial Unicode MS" w:eastAsia="Arial Unicode MS" w:hAnsi="Arial Unicode MS" w:cs="Arial Unicode MS"/>
          <w:sz w:val="20"/>
        </w:rPr>
        <w:instrText>ADDIN RW.CITE{{565 Murphy,Michelle 2006 /a}}</w:instrText>
      </w:r>
      <w:r w:rsidR="007F40FF" w:rsidRPr="00040DC1">
        <w:rPr>
          <w:rFonts w:ascii="Arial Unicode MS" w:eastAsia="Arial Unicode MS" w:hAnsi="Arial Unicode MS" w:cs="Arial Unicode MS"/>
          <w:sz w:val="20"/>
        </w:rPr>
        <w:fldChar w:fldCharType="separate"/>
      </w:r>
      <w:r w:rsidR="00657189" w:rsidRPr="00657189">
        <w:rPr>
          <w:rFonts w:ascii="Arial Unicode MS" w:eastAsia="Arial Unicode MS" w:hAnsi="Arial Unicode MS" w:cs="Arial Unicode MS"/>
          <w:sz w:val="20"/>
        </w:rPr>
        <w:t>(2006)</w:t>
      </w:r>
      <w:r w:rsidR="007F40FF" w:rsidRPr="00040DC1">
        <w:rPr>
          <w:rFonts w:ascii="Arial Unicode MS" w:eastAsia="Arial Unicode MS" w:hAnsi="Arial Unicode MS" w:cs="Arial Unicode MS"/>
          <w:sz w:val="20"/>
        </w:rPr>
        <w:fldChar w:fldCharType="end"/>
      </w:r>
      <w:r w:rsidRPr="00040DC1">
        <w:rPr>
          <w:rFonts w:ascii="Arial Unicode MS" w:eastAsia="Arial Unicode MS" w:hAnsi="Arial Unicode MS" w:cs="Arial Unicode MS"/>
          <w:sz w:val="20"/>
        </w:rPr>
        <w:t xml:space="preserve">, a ‘sick building’ is typically declared when over 20% of building occupants report symptoms (derived from the ASHRAE definition of acceptable indoor air quality). </w:t>
      </w:r>
    </w:p>
    <w:p w:rsidR="00E9104D" w:rsidRPr="00E9104D" w:rsidRDefault="003713CC" w:rsidP="00CB4E25">
      <w:pPr>
        <w:pStyle w:val="08BodySpaceBelowApplytomaintextbeforeanumberedlist"/>
        <w:spacing w:line="240" w:lineRule="auto"/>
        <w:ind w:firstLine="0"/>
        <w:rPr>
          <w:rFonts w:ascii="Arial Unicode MS" w:eastAsia="Arial Unicode MS" w:hAnsi="Arial Unicode MS" w:cs="Arial Unicode MS"/>
          <w:sz w:val="20"/>
        </w:rPr>
      </w:pPr>
      <w:r>
        <w:rPr>
          <w:rFonts w:ascii="Arial Unicode MS" w:eastAsia="Arial Unicode MS" w:hAnsi="Arial Unicode MS" w:cs="Arial Unicode MS"/>
          <w:sz w:val="20"/>
        </w:rPr>
        <w:t>As presented in Table 13</w:t>
      </w:r>
      <w:r w:rsidR="00E9104D" w:rsidRPr="00E9104D">
        <w:rPr>
          <w:rFonts w:ascii="Arial Unicode MS" w:eastAsia="Arial Unicode MS" w:hAnsi="Arial Unicode MS" w:cs="Arial Unicode MS"/>
          <w:sz w:val="20"/>
        </w:rPr>
        <w:t>, four out of six of the case study homes did not report any building related SBS symptom. However, in house No.3 and No.5, all occupants interviewed experienced more than two episodes of a SBS symptom in the last twelve months, which was better at times away from the home. Due to the small number of occupants in these homes it is difficult to declare the homes as ‘sick’ based on the ‘more than 20% of occupants experiencing symptoms’ rule of thumb. As stat</w:t>
      </w:r>
      <w:r w:rsidR="00040DC1">
        <w:rPr>
          <w:rFonts w:ascii="Arial Unicode MS" w:eastAsia="Arial Unicode MS" w:hAnsi="Arial Unicode MS" w:cs="Arial Unicode MS"/>
          <w:sz w:val="20"/>
        </w:rPr>
        <w:t>ed by ASHRAE Standard 62-1989, “</w:t>
      </w:r>
      <w:r w:rsidR="00E9104D" w:rsidRPr="00E9104D">
        <w:rPr>
          <w:rFonts w:ascii="Arial Unicode MS" w:eastAsia="Arial Unicode MS" w:hAnsi="Arial Unicode MS" w:cs="Arial Unicode MS"/>
          <w:sz w:val="20"/>
        </w:rPr>
        <w:t>the air can be considered acceptably free of annoying contaminants if 80% of a panel of at least 20 untrained observers deems the air to be not objectionable under representative c</w:t>
      </w:r>
      <w:r w:rsidR="00040DC1">
        <w:rPr>
          <w:rFonts w:ascii="Arial Unicode MS" w:eastAsia="Arial Unicode MS" w:hAnsi="Arial Unicode MS" w:cs="Arial Unicode MS"/>
          <w:sz w:val="20"/>
        </w:rPr>
        <w:t>onditions of use and occupation”</w:t>
      </w:r>
      <w:r w:rsidR="00E9104D" w:rsidRPr="00E9104D">
        <w:rPr>
          <w:rFonts w:ascii="Arial Unicode MS" w:eastAsia="Arial Unicode MS" w:hAnsi="Arial Unicode MS" w:cs="Arial Unicode MS"/>
          <w:sz w:val="20"/>
        </w:rPr>
        <w:t xml:space="preserve">. Since the definition of ‘sick building’ was derived from this standard, it is not particularly suitable for domestic environments. </w:t>
      </w:r>
    </w:p>
    <w:p w:rsidR="00E9104D" w:rsidRPr="00CB4E25" w:rsidRDefault="00CB4E25" w:rsidP="00CB4E25">
      <w:pPr>
        <w:rPr>
          <w:rFonts w:eastAsia="Arial Unicode MS"/>
          <w:b/>
        </w:rPr>
      </w:pPr>
      <w:r>
        <w:rPr>
          <w:rFonts w:eastAsia="Arial Unicode MS"/>
        </w:rPr>
        <w:t>Table 13</w:t>
      </w:r>
      <w:r w:rsidR="00E9104D" w:rsidRPr="00CB4E25">
        <w:rPr>
          <w:rFonts w:eastAsia="Arial Unicode MS"/>
        </w:rPr>
        <w:t xml:space="preserve">.   Building and Personal Symptom Index </w:t>
      </w:r>
    </w:p>
    <w:tbl>
      <w:tblPr>
        <w:tblStyle w:val="TableGrid"/>
        <w:tblW w:w="9079" w:type="dxa"/>
        <w:jc w:val="center"/>
        <w:tblInd w:w="392"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744"/>
        <w:gridCol w:w="1123"/>
        <w:gridCol w:w="1218"/>
        <w:gridCol w:w="1948"/>
        <w:gridCol w:w="1550"/>
        <w:gridCol w:w="1496"/>
      </w:tblGrid>
      <w:tr w:rsidR="00E9104D" w:rsidRPr="00CB4E25" w:rsidTr="00CB4E25">
        <w:trPr>
          <w:trHeight w:val="303"/>
          <w:jc w:val="center"/>
        </w:trPr>
        <w:tc>
          <w:tcPr>
            <w:tcW w:w="1744" w:type="dxa"/>
            <w:tcBorders>
              <w:top w:val="single" w:sz="2" w:space="0" w:color="000000"/>
              <w:bottom w:val="single" w:sz="2" w:space="0" w:color="000000"/>
            </w:tcBorders>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House No.</w:t>
            </w:r>
          </w:p>
        </w:tc>
        <w:tc>
          <w:tcPr>
            <w:tcW w:w="1123" w:type="dxa"/>
            <w:tcBorders>
              <w:top w:val="single" w:sz="2" w:space="0" w:color="000000"/>
              <w:bottom w:val="single" w:sz="2" w:space="0" w:color="000000"/>
            </w:tcBorders>
          </w:tcPr>
          <w:p w:rsidR="00E9104D" w:rsidRPr="00CB4E25" w:rsidRDefault="00E9104D" w:rsidP="00CB4E25">
            <w:pPr>
              <w:pStyle w:val="NoSpacing"/>
              <w:rPr>
                <w:rFonts w:asciiTheme="minorHAnsi" w:eastAsia="Arial Unicode MS" w:hAnsiTheme="minorHAnsi"/>
                <w:sz w:val="20"/>
                <w:szCs w:val="20"/>
                <w:vertAlign w:val="subscript"/>
              </w:rPr>
            </w:pPr>
            <w:r w:rsidRPr="00CB4E25">
              <w:rPr>
                <w:rFonts w:asciiTheme="minorHAnsi" w:eastAsia="Arial Unicode MS" w:hAnsiTheme="minorHAnsi"/>
                <w:sz w:val="20"/>
                <w:szCs w:val="20"/>
              </w:rPr>
              <w:t>BSI</w:t>
            </w:r>
            <w:r w:rsidRPr="00CB4E25">
              <w:rPr>
                <w:rFonts w:asciiTheme="minorHAnsi" w:eastAsia="Arial Unicode MS" w:hAnsiTheme="minorHAnsi"/>
                <w:sz w:val="20"/>
                <w:szCs w:val="20"/>
                <w:vertAlign w:val="subscript"/>
              </w:rPr>
              <w:t>8</w:t>
            </w:r>
          </w:p>
        </w:tc>
        <w:tc>
          <w:tcPr>
            <w:tcW w:w="1218" w:type="dxa"/>
            <w:tcBorders>
              <w:top w:val="single" w:sz="2" w:space="0" w:color="000000"/>
              <w:bottom w:val="single" w:sz="2" w:space="0" w:color="000000"/>
            </w:tcBorders>
          </w:tcPr>
          <w:p w:rsidR="00E9104D" w:rsidRPr="00CB4E25" w:rsidRDefault="00E9104D" w:rsidP="00CB4E25">
            <w:pPr>
              <w:pStyle w:val="NoSpacing"/>
              <w:rPr>
                <w:rFonts w:asciiTheme="minorHAnsi" w:eastAsia="Arial Unicode MS" w:hAnsiTheme="minorHAnsi"/>
                <w:sz w:val="20"/>
                <w:szCs w:val="20"/>
                <w:vertAlign w:val="subscript"/>
              </w:rPr>
            </w:pPr>
            <w:r w:rsidRPr="00CB4E25">
              <w:rPr>
                <w:rFonts w:asciiTheme="minorHAnsi" w:eastAsia="Arial Unicode MS" w:hAnsiTheme="minorHAnsi"/>
                <w:sz w:val="20"/>
                <w:szCs w:val="20"/>
              </w:rPr>
              <w:t>BSI</w:t>
            </w:r>
            <w:r w:rsidRPr="00CB4E25">
              <w:rPr>
                <w:rFonts w:asciiTheme="minorHAnsi" w:eastAsia="Arial Unicode MS" w:hAnsiTheme="minorHAnsi"/>
                <w:sz w:val="20"/>
                <w:szCs w:val="20"/>
                <w:vertAlign w:val="subscript"/>
              </w:rPr>
              <w:t>5</w:t>
            </w:r>
          </w:p>
        </w:tc>
        <w:tc>
          <w:tcPr>
            <w:tcW w:w="1948" w:type="dxa"/>
            <w:tcBorders>
              <w:top w:val="single" w:sz="2" w:space="0" w:color="000000"/>
              <w:bottom w:val="single" w:sz="2" w:space="0" w:color="000000"/>
            </w:tcBorders>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Occupant</w:t>
            </w:r>
          </w:p>
        </w:tc>
        <w:tc>
          <w:tcPr>
            <w:tcW w:w="1550" w:type="dxa"/>
            <w:tcBorders>
              <w:top w:val="single" w:sz="2" w:space="0" w:color="000000"/>
              <w:bottom w:val="single" w:sz="2" w:space="0" w:color="000000"/>
            </w:tcBorders>
          </w:tcPr>
          <w:p w:rsidR="00E9104D" w:rsidRPr="00CB4E25" w:rsidRDefault="00E9104D" w:rsidP="00CB4E25">
            <w:pPr>
              <w:pStyle w:val="NoSpacing"/>
              <w:rPr>
                <w:rFonts w:asciiTheme="minorHAnsi" w:eastAsia="Arial Unicode MS" w:hAnsiTheme="minorHAnsi"/>
                <w:sz w:val="20"/>
                <w:szCs w:val="20"/>
                <w:vertAlign w:val="subscript"/>
              </w:rPr>
            </w:pPr>
            <w:r w:rsidRPr="00CB4E25">
              <w:rPr>
                <w:rFonts w:asciiTheme="minorHAnsi" w:eastAsia="Arial Unicode MS" w:hAnsiTheme="minorHAnsi"/>
                <w:sz w:val="20"/>
                <w:szCs w:val="20"/>
              </w:rPr>
              <w:t>PSI</w:t>
            </w:r>
            <w:r w:rsidRPr="00CB4E25">
              <w:rPr>
                <w:rFonts w:asciiTheme="minorHAnsi" w:eastAsia="Arial Unicode MS" w:hAnsiTheme="minorHAnsi"/>
                <w:sz w:val="20"/>
                <w:szCs w:val="20"/>
                <w:vertAlign w:val="subscript"/>
              </w:rPr>
              <w:t>8</w:t>
            </w:r>
          </w:p>
        </w:tc>
        <w:tc>
          <w:tcPr>
            <w:tcW w:w="1496" w:type="dxa"/>
            <w:tcBorders>
              <w:top w:val="single" w:sz="2" w:space="0" w:color="000000"/>
              <w:bottom w:val="single" w:sz="2" w:space="0" w:color="000000"/>
            </w:tcBorders>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PSI</w:t>
            </w:r>
            <w:r w:rsidRPr="00CB4E25">
              <w:rPr>
                <w:rFonts w:asciiTheme="minorHAnsi" w:eastAsia="Arial Unicode MS" w:hAnsiTheme="minorHAnsi"/>
                <w:sz w:val="20"/>
                <w:szCs w:val="20"/>
                <w:vertAlign w:val="subscript"/>
              </w:rPr>
              <w:t>5</w:t>
            </w:r>
          </w:p>
        </w:tc>
      </w:tr>
      <w:tr w:rsidR="00E9104D" w:rsidRPr="00CB4E25" w:rsidTr="00CB4E25">
        <w:trPr>
          <w:trHeight w:val="292"/>
          <w:jc w:val="center"/>
        </w:trPr>
        <w:tc>
          <w:tcPr>
            <w:tcW w:w="1744" w:type="dxa"/>
            <w:vMerge w:val="restart"/>
            <w:tcBorders>
              <w:top w:val="single" w:sz="2"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No.1</w:t>
            </w:r>
          </w:p>
        </w:tc>
        <w:tc>
          <w:tcPr>
            <w:tcW w:w="1123" w:type="dxa"/>
            <w:vMerge w:val="restart"/>
            <w:tcBorders>
              <w:top w:val="single" w:sz="2"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c>
          <w:tcPr>
            <w:tcW w:w="1218" w:type="dxa"/>
            <w:vMerge w:val="restart"/>
            <w:tcBorders>
              <w:top w:val="single" w:sz="2"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c>
          <w:tcPr>
            <w:tcW w:w="1948" w:type="dxa"/>
            <w:tcBorders>
              <w:top w:val="single" w:sz="2" w:space="0" w:color="000000"/>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Adult (F)</w:t>
            </w:r>
          </w:p>
        </w:tc>
        <w:tc>
          <w:tcPr>
            <w:tcW w:w="1550" w:type="dxa"/>
            <w:tcBorders>
              <w:top w:val="single" w:sz="2" w:space="0" w:color="000000"/>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c>
          <w:tcPr>
            <w:tcW w:w="1496" w:type="dxa"/>
            <w:tcBorders>
              <w:top w:val="single" w:sz="2" w:space="0" w:color="000000"/>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r>
      <w:tr w:rsidR="00E9104D" w:rsidRPr="00CB4E25" w:rsidTr="00CB4E25">
        <w:trPr>
          <w:trHeight w:val="292"/>
          <w:jc w:val="center"/>
        </w:trPr>
        <w:tc>
          <w:tcPr>
            <w:tcW w:w="1744" w:type="dxa"/>
            <w:vMerge/>
            <w:vAlign w:val="center"/>
          </w:tcPr>
          <w:p w:rsidR="00E9104D" w:rsidRPr="00CB4E25" w:rsidRDefault="00E9104D" w:rsidP="00CB4E25">
            <w:pPr>
              <w:pStyle w:val="NoSpacing"/>
              <w:rPr>
                <w:rFonts w:asciiTheme="minorHAnsi" w:eastAsia="Arial Unicode MS" w:hAnsiTheme="minorHAnsi"/>
                <w:sz w:val="20"/>
                <w:szCs w:val="20"/>
              </w:rPr>
            </w:pPr>
          </w:p>
        </w:tc>
        <w:tc>
          <w:tcPr>
            <w:tcW w:w="1123" w:type="dxa"/>
            <w:vMerge/>
            <w:vAlign w:val="center"/>
          </w:tcPr>
          <w:p w:rsidR="00E9104D" w:rsidRPr="00CB4E25" w:rsidRDefault="00E9104D" w:rsidP="00CB4E25">
            <w:pPr>
              <w:pStyle w:val="NoSpacing"/>
              <w:rPr>
                <w:rFonts w:asciiTheme="minorHAnsi" w:eastAsia="Arial Unicode MS" w:hAnsiTheme="minorHAnsi"/>
                <w:sz w:val="20"/>
                <w:szCs w:val="20"/>
              </w:rPr>
            </w:pPr>
          </w:p>
        </w:tc>
        <w:tc>
          <w:tcPr>
            <w:tcW w:w="1218" w:type="dxa"/>
            <w:vMerge/>
            <w:vAlign w:val="center"/>
          </w:tcPr>
          <w:p w:rsidR="00E9104D" w:rsidRPr="00CB4E25" w:rsidRDefault="00E9104D" w:rsidP="00CB4E25">
            <w:pPr>
              <w:pStyle w:val="NoSpacing"/>
              <w:rPr>
                <w:rFonts w:asciiTheme="minorHAnsi" w:eastAsia="Arial Unicode MS" w:hAnsiTheme="minorHAnsi"/>
                <w:sz w:val="20"/>
                <w:szCs w:val="20"/>
              </w:rPr>
            </w:pPr>
          </w:p>
        </w:tc>
        <w:tc>
          <w:tcPr>
            <w:tcW w:w="1948" w:type="dxa"/>
            <w:tcBorders>
              <w:top w:val="nil"/>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Adult (M)</w:t>
            </w:r>
          </w:p>
        </w:tc>
        <w:tc>
          <w:tcPr>
            <w:tcW w:w="1550" w:type="dxa"/>
            <w:tcBorders>
              <w:top w:val="nil"/>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c>
          <w:tcPr>
            <w:tcW w:w="1496" w:type="dxa"/>
            <w:tcBorders>
              <w:top w:val="nil"/>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r>
      <w:tr w:rsidR="00E9104D" w:rsidRPr="00CB4E25" w:rsidTr="00CB4E25">
        <w:trPr>
          <w:trHeight w:val="292"/>
          <w:jc w:val="center"/>
        </w:trPr>
        <w:tc>
          <w:tcPr>
            <w:tcW w:w="1744" w:type="dxa"/>
            <w:vMerge/>
            <w:tcBorders>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p>
        </w:tc>
        <w:tc>
          <w:tcPr>
            <w:tcW w:w="1123" w:type="dxa"/>
            <w:vMerge/>
            <w:tcBorders>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p>
        </w:tc>
        <w:tc>
          <w:tcPr>
            <w:tcW w:w="1218" w:type="dxa"/>
            <w:vMerge/>
            <w:tcBorders>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p>
        </w:tc>
        <w:tc>
          <w:tcPr>
            <w:tcW w:w="1948" w:type="dxa"/>
            <w:tcBorders>
              <w:top w:val="nil"/>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Child (F)</w:t>
            </w:r>
          </w:p>
        </w:tc>
        <w:tc>
          <w:tcPr>
            <w:tcW w:w="1550" w:type="dxa"/>
            <w:tcBorders>
              <w:top w:val="nil"/>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c>
          <w:tcPr>
            <w:tcW w:w="1496" w:type="dxa"/>
            <w:tcBorders>
              <w:top w:val="nil"/>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r>
      <w:tr w:rsidR="00E9104D" w:rsidRPr="00CB4E25" w:rsidTr="00CB4E25">
        <w:trPr>
          <w:jc w:val="center"/>
        </w:trPr>
        <w:tc>
          <w:tcPr>
            <w:tcW w:w="1744" w:type="dxa"/>
            <w:vMerge w:val="restart"/>
            <w:tcBorders>
              <w:top w:val="single" w:sz="4" w:space="0" w:color="000000"/>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No.2</w:t>
            </w:r>
          </w:p>
        </w:tc>
        <w:tc>
          <w:tcPr>
            <w:tcW w:w="1123" w:type="dxa"/>
            <w:vMerge w:val="restart"/>
            <w:tcBorders>
              <w:top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c>
          <w:tcPr>
            <w:tcW w:w="1218" w:type="dxa"/>
            <w:vMerge w:val="restart"/>
            <w:tcBorders>
              <w:top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c>
          <w:tcPr>
            <w:tcW w:w="1948" w:type="dxa"/>
            <w:tcBorders>
              <w:top w:val="single" w:sz="4" w:space="0" w:color="000000"/>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Adult (F)</w:t>
            </w:r>
          </w:p>
        </w:tc>
        <w:tc>
          <w:tcPr>
            <w:tcW w:w="1550" w:type="dxa"/>
            <w:tcBorders>
              <w:top w:val="single" w:sz="4" w:space="0" w:color="000000"/>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c>
          <w:tcPr>
            <w:tcW w:w="1496" w:type="dxa"/>
            <w:tcBorders>
              <w:top w:val="single" w:sz="4" w:space="0" w:color="000000"/>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r>
      <w:tr w:rsidR="00E9104D" w:rsidRPr="00CB4E25" w:rsidTr="00CB4E25">
        <w:trPr>
          <w:jc w:val="center"/>
        </w:trPr>
        <w:tc>
          <w:tcPr>
            <w:tcW w:w="1744" w:type="dxa"/>
            <w:vMerge/>
            <w:tcBorders>
              <w:top w:val="nil"/>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p>
        </w:tc>
        <w:tc>
          <w:tcPr>
            <w:tcW w:w="1123" w:type="dxa"/>
            <w:vMerge/>
            <w:tcBorders>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p>
        </w:tc>
        <w:tc>
          <w:tcPr>
            <w:tcW w:w="1218" w:type="dxa"/>
            <w:vMerge/>
            <w:tcBorders>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p>
        </w:tc>
        <w:tc>
          <w:tcPr>
            <w:tcW w:w="1948" w:type="dxa"/>
            <w:tcBorders>
              <w:top w:val="nil"/>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Adult (M)</w:t>
            </w:r>
          </w:p>
        </w:tc>
        <w:tc>
          <w:tcPr>
            <w:tcW w:w="1550" w:type="dxa"/>
            <w:tcBorders>
              <w:top w:val="nil"/>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c>
          <w:tcPr>
            <w:tcW w:w="1496" w:type="dxa"/>
            <w:tcBorders>
              <w:top w:val="nil"/>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r>
      <w:tr w:rsidR="00E9104D" w:rsidRPr="00CB4E25" w:rsidTr="00CB4E25">
        <w:trPr>
          <w:jc w:val="center"/>
        </w:trPr>
        <w:tc>
          <w:tcPr>
            <w:tcW w:w="1744" w:type="dxa"/>
            <w:vMerge w:val="restart"/>
            <w:tcBorders>
              <w:top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No.3</w:t>
            </w:r>
          </w:p>
        </w:tc>
        <w:tc>
          <w:tcPr>
            <w:tcW w:w="1123" w:type="dxa"/>
            <w:vMerge w:val="restart"/>
            <w:tcBorders>
              <w:top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1.67</w:t>
            </w:r>
          </w:p>
        </w:tc>
        <w:tc>
          <w:tcPr>
            <w:tcW w:w="1218" w:type="dxa"/>
            <w:vMerge w:val="restart"/>
            <w:tcBorders>
              <w:top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1</w:t>
            </w:r>
          </w:p>
        </w:tc>
        <w:tc>
          <w:tcPr>
            <w:tcW w:w="1948" w:type="dxa"/>
            <w:tcBorders>
              <w:top w:val="single" w:sz="4" w:space="0" w:color="000000"/>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Adult (F)</w:t>
            </w:r>
          </w:p>
        </w:tc>
        <w:tc>
          <w:tcPr>
            <w:tcW w:w="1550" w:type="dxa"/>
            <w:tcBorders>
              <w:top w:val="single" w:sz="4" w:space="0" w:color="000000"/>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1</w:t>
            </w:r>
          </w:p>
        </w:tc>
        <w:tc>
          <w:tcPr>
            <w:tcW w:w="1496" w:type="dxa"/>
            <w:tcBorders>
              <w:top w:val="single" w:sz="4" w:space="0" w:color="000000"/>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1</w:t>
            </w:r>
          </w:p>
        </w:tc>
      </w:tr>
      <w:tr w:rsidR="00E9104D" w:rsidRPr="00CB4E25" w:rsidTr="00CB4E25">
        <w:trPr>
          <w:jc w:val="center"/>
        </w:trPr>
        <w:tc>
          <w:tcPr>
            <w:tcW w:w="1744" w:type="dxa"/>
            <w:vMerge/>
            <w:vAlign w:val="center"/>
          </w:tcPr>
          <w:p w:rsidR="00E9104D" w:rsidRPr="00CB4E25" w:rsidRDefault="00E9104D" w:rsidP="00CB4E25">
            <w:pPr>
              <w:pStyle w:val="NoSpacing"/>
              <w:rPr>
                <w:rFonts w:asciiTheme="minorHAnsi" w:eastAsia="Arial Unicode MS" w:hAnsiTheme="minorHAnsi"/>
                <w:sz w:val="20"/>
                <w:szCs w:val="20"/>
              </w:rPr>
            </w:pPr>
          </w:p>
        </w:tc>
        <w:tc>
          <w:tcPr>
            <w:tcW w:w="1123" w:type="dxa"/>
            <w:vMerge/>
            <w:vAlign w:val="center"/>
          </w:tcPr>
          <w:p w:rsidR="00E9104D" w:rsidRPr="00CB4E25" w:rsidRDefault="00E9104D" w:rsidP="00CB4E25">
            <w:pPr>
              <w:pStyle w:val="NoSpacing"/>
              <w:rPr>
                <w:rFonts w:asciiTheme="minorHAnsi" w:eastAsia="Arial Unicode MS" w:hAnsiTheme="minorHAnsi"/>
                <w:sz w:val="20"/>
                <w:szCs w:val="20"/>
              </w:rPr>
            </w:pPr>
          </w:p>
        </w:tc>
        <w:tc>
          <w:tcPr>
            <w:tcW w:w="1218" w:type="dxa"/>
            <w:vMerge/>
            <w:vAlign w:val="center"/>
          </w:tcPr>
          <w:p w:rsidR="00E9104D" w:rsidRPr="00CB4E25" w:rsidRDefault="00E9104D" w:rsidP="00CB4E25">
            <w:pPr>
              <w:pStyle w:val="NoSpacing"/>
              <w:rPr>
                <w:rFonts w:asciiTheme="minorHAnsi" w:eastAsia="Arial Unicode MS" w:hAnsiTheme="minorHAnsi"/>
                <w:sz w:val="20"/>
                <w:szCs w:val="20"/>
              </w:rPr>
            </w:pPr>
          </w:p>
        </w:tc>
        <w:tc>
          <w:tcPr>
            <w:tcW w:w="1948" w:type="dxa"/>
            <w:tcBorders>
              <w:top w:val="nil"/>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Adult (M)</w:t>
            </w:r>
          </w:p>
        </w:tc>
        <w:tc>
          <w:tcPr>
            <w:tcW w:w="1550" w:type="dxa"/>
            <w:tcBorders>
              <w:top w:val="nil"/>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2</w:t>
            </w:r>
          </w:p>
        </w:tc>
        <w:tc>
          <w:tcPr>
            <w:tcW w:w="1496" w:type="dxa"/>
            <w:tcBorders>
              <w:top w:val="nil"/>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1</w:t>
            </w:r>
          </w:p>
        </w:tc>
      </w:tr>
      <w:tr w:rsidR="00E9104D" w:rsidRPr="00CB4E25" w:rsidTr="00CB4E25">
        <w:trPr>
          <w:jc w:val="center"/>
        </w:trPr>
        <w:tc>
          <w:tcPr>
            <w:tcW w:w="1744" w:type="dxa"/>
            <w:vMerge/>
            <w:tcBorders>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p>
        </w:tc>
        <w:tc>
          <w:tcPr>
            <w:tcW w:w="1123" w:type="dxa"/>
            <w:vMerge/>
            <w:tcBorders>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p>
        </w:tc>
        <w:tc>
          <w:tcPr>
            <w:tcW w:w="1218" w:type="dxa"/>
            <w:vMerge/>
            <w:tcBorders>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p>
        </w:tc>
        <w:tc>
          <w:tcPr>
            <w:tcW w:w="1948" w:type="dxa"/>
            <w:tcBorders>
              <w:top w:val="nil"/>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Child (M)</w:t>
            </w:r>
          </w:p>
        </w:tc>
        <w:tc>
          <w:tcPr>
            <w:tcW w:w="1550" w:type="dxa"/>
            <w:tcBorders>
              <w:top w:val="nil"/>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2</w:t>
            </w:r>
          </w:p>
        </w:tc>
        <w:tc>
          <w:tcPr>
            <w:tcW w:w="1496" w:type="dxa"/>
            <w:tcBorders>
              <w:top w:val="nil"/>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1</w:t>
            </w:r>
          </w:p>
        </w:tc>
      </w:tr>
      <w:tr w:rsidR="00E9104D" w:rsidRPr="00CB4E25" w:rsidTr="00CB4E25">
        <w:trPr>
          <w:jc w:val="center"/>
        </w:trPr>
        <w:tc>
          <w:tcPr>
            <w:tcW w:w="1744" w:type="dxa"/>
            <w:tcBorders>
              <w:top w:val="single" w:sz="4" w:space="0" w:color="000000"/>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No.4</w:t>
            </w:r>
          </w:p>
        </w:tc>
        <w:tc>
          <w:tcPr>
            <w:tcW w:w="1123" w:type="dxa"/>
            <w:vMerge w:val="restart"/>
            <w:tcBorders>
              <w:top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c>
          <w:tcPr>
            <w:tcW w:w="1218" w:type="dxa"/>
            <w:vMerge w:val="restart"/>
            <w:tcBorders>
              <w:top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c>
          <w:tcPr>
            <w:tcW w:w="1948" w:type="dxa"/>
            <w:tcBorders>
              <w:top w:val="single" w:sz="4" w:space="0" w:color="000000"/>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Adult (F)</w:t>
            </w:r>
          </w:p>
        </w:tc>
        <w:tc>
          <w:tcPr>
            <w:tcW w:w="1550" w:type="dxa"/>
            <w:tcBorders>
              <w:top w:val="single" w:sz="4" w:space="0" w:color="000000"/>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c>
          <w:tcPr>
            <w:tcW w:w="1496" w:type="dxa"/>
            <w:tcBorders>
              <w:top w:val="single" w:sz="4" w:space="0" w:color="000000"/>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r>
      <w:tr w:rsidR="00E9104D" w:rsidRPr="00CB4E25" w:rsidTr="00CB4E25">
        <w:trPr>
          <w:jc w:val="center"/>
        </w:trPr>
        <w:tc>
          <w:tcPr>
            <w:tcW w:w="1744" w:type="dxa"/>
            <w:tcBorders>
              <w:top w:val="nil"/>
              <w:bottom w:val="nil"/>
            </w:tcBorders>
            <w:vAlign w:val="center"/>
          </w:tcPr>
          <w:p w:rsidR="00E9104D" w:rsidRPr="00CB4E25" w:rsidRDefault="00E9104D" w:rsidP="00CB4E25">
            <w:pPr>
              <w:pStyle w:val="NoSpacing"/>
              <w:rPr>
                <w:rFonts w:asciiTheme="minorHAnsi" w:eastAsia="Arial Unicode MS" w:hAnsiTheme="minorHAnsi"/>
                <w:sz w:val="20"/>
                <w:szCs w:val="20"/>
              </w:rPr>
            </w:pPr>
          </w:p>
        </w:tc>
        <w:tc>
          <w:tcPr>
            <w:tcW w:w="1123" w:type="dxa"/>
            <w:vMerge/>
            <w:vAlign w:val="center"/>
          </w:tcPr>
          <w:p w:rsidR="00E9104D" w:rsidRPr="00CB4E25" w:rsidRDefault="00E9104D" w:rsidP="00CB4E25">
            <w:pPr>
              <w:pStyle w:val="NoSpacing"/>
              <w:rPr>
                <w:rFonts w:asciiTheme="minorHAnsi" w:eastAsia="Arial Unicode MS" w:hAnsiTheme="minorHAnsi"/>
                <w:sz w:val="20"/>
                <w:szCs w:val="20"/>
              </w:rPr>
            </w:pPr>
          </w:p>
        </w:tc>
        <w:tc>
          <w:tcPr>
            <w:tcW w:w="1218" w:type="dxa"/>
            <w:vMerge/>
            <w:vAlign w:val="center"/>
          </w:tcPr>
          <w:p w:rsidR="00E9104D" w:rsidRPr="00CB4E25" w:rsidRDefault="00E9104D" w:rsidP="00CB4E25">
            <w:pPr>
              <w:pStyle w:val="NoSpacing"/>
              <w:rPr>
                <w:rFonts w:asciiTheme="minorHAnsi" w:eastAsia="Arial Unicode MS" w:hAnsiTheme="minorHAnsi"/>
                <w:sz w:val="20"/>
                <w:szCs w:val="20"/>
              </w:rPr>
            </w:pPr>
          </w:p>
        </w:tc>
        <w:tc>
          <w:tcPr>
            <w:tcW w:w="1948" w:type="dxa"/>
            <w:tcBorders>
              <w:top w:val="nil"/>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Child (M)</w:t>
            </w:r>
          </w:p>
        </w:tc>
        <w:tc>
          <w:tcPr>
            <w:tcW w:w="1550" w:type="dxa"/>
            <w:tcBorders>
              <w:top w:val="nil"/>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c>
          <w:tcPr>
            <w:tcW w:w="1496" w:type="dxa"/>
            <w:tcBorders>
              <w:top w:val="nil"/>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r>
      <w:tr w:rsidR="00E9104D" w:rsidRPr="00CB4E25" w:rsidTr="00CB4E25">
        <w:trPr>
          <w:jc w:val="center"/>
        </w:trPr>
        <w:tc>
          <w:tcPr>
            <w:tcW w:w="1744" w:type="dxa"/>
            <w:tcBorders>
              <w:top w:val="nil"/>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p>
        </w:tc>
        <w:tc>
          <w:tcPr>
            <w:tcW w:w="1123" w:type="dxa"/>
            <w:vMerge/>
            <w:tcBorders>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p>
        </w:tc>
        <w:tc>
          <w:tcPr>
            <w:tcW w:w="1218" w:type="dxa"/>
            <w:vMerge/>
            <w:tcBorders>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p>
        </w:tc>
        <w:tc>
          <w:tcPr>
            <w:tcW w:w="1948" w:type="dxa"/>
            <w:tcBorders>
              <w:top w:val="nil"/>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Child (M)</w:t>
            </w:r>
          </w:p>
        </w:tc>
        <w:tc>
          <w:tcPr>
            <w:tcW w:w="1550" w:type="dxa"/>
            <w:tcBorders>
              <w:top w:val="nil"/>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c>
          <w:tcPr>
            <w:tcW w:w="1496" w:type="dxa"/>
            <w:tcBorders>
              <w:top w:val="nil"/>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r>
      <w:tr w:rsidR="00E9104D" w:rsidRPr="00CB4E25" w:rsidTr="00CB4E25">
        <w:trPr>
          <w:trHeight w:val="338"/>
          <w:jc w:val="center"/>
        </w:trPr>
        <w:tc>
          <w:tcPr>
            <w:tcW w:w="1744" w:type="dxa"/>
            <w:tcBorders>
              <w:top w:val="single" w:sz="4" w:space="0" w:color="000000"/>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No.5</w:t>
            </w:r>
          </w:p>
        </w:tc>
        <w:tc>
          <w:tcPr>
            <w:tcW w:w="1123" w:type="dxa"/>
            <w:tcBorders>
              <w:top w:val="single" w:sz="4" w:space="0" w:color="000000"/>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3</w:t>
            </w:r>
          </w:p>
        </w:tc>
        <w:tc>
          <w:tcPr>
            <w:tcW w:w="1218" w:type="dxa"/>
            <w:tcBorders>
              <w:top w:val="single" w:sz="4" w:space="0" w:color="000000"/>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2</w:t>
            </w:r>
          </w:p>
        </w:tc>
        <w:tc>
          <w:tcPr>
            <w:tcW w:w="1948" w:type="dxa"/>
            <w:tcBorders>
              <w:top w:val="single" w:sz="4" w:space="0" w:color="000000"/>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Adult (M)</w:t>
            </w:r>
          </w:p>
        </w:tc>
        <w:tc>
          <w:tcPr>
            <w:tcW w:w="1550" w:type="dxa"/>
            <w:tcBorders>
              <w:top w:val="single" w:sz="4" w:space="0" w:color="000000"/>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3</w:t>
            </w:r>
          </w:p>
        </w:tc>
        <w:tc>
          <w:tcPr>
            <w:tcW w:w="1496" w:type="dxa"/>
            <w:tcBorders>
              <w:top w:val="single" w:sz="4" w:space="0" w:color="000000"/>
              <w:bottom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2</w:t>
            </w:r>
          </w:p>
        </w:tc>
      </w:tr>
      <w:tr w:rsidR="00E9104D" w:rsidRPr="00CB4E25" w:rsidTr="00CB4E25">
        <w:trPr>
          <w:jc w:val="center"/>
        </w:trPr>
        <w:tc>
          <w:tcPr>
            <w:tcW w:w="1744" w:type="dxa"/>
            <w:vMerge w:val="restart"/>
            <w:tcBorders>
              <w:top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No.6</w:t>
            </w:r>
          </w:p>
        </w:tc>
        <w:tc>
          <w:tcPr>
            <w:tcW w:w="1123" w:type="dxa"/>
            <w:vMerge w:val="restart"/>
            <w:tcBorders>
              <w:top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c>
          <w:tcPr>
            <w:tcW w:w="1218" w:type="dxa"/>
            <w:vMerge w:val="restart"/>
            <w:tcBorders>
              <w:top w:val="single" w:sz="4"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c>
          <w:tcPr>
            <w:tcW w:w="1948" w:type="dxa"/>
            <w:tcBorders>
              <w:top w:val="single" w:sz="4" w:space="0" w:color="000000"/>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Adult (F)</w:t>
            </w:r>
          </w:p>
        </w:tc>
        <w:tc>
          <w:tcPr>
            <w:tcW w:w="1550" w:type="dxa"/>
            <w:tcBorders>
              <w:top w:val="single" w:sz="4" w:space="0" w:color="000000"/>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c>
          <w:tcPr>
            <w:tcW w:w="1496" w:type="dxa"/>
            <w:tcBorders>
              <w:top w:val="single" w:sz="4" w:space="0" w:color="000000"/>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r>
      <w:tr w:rsidR="00E9104D" w:rsidRPr="00CB4E25" w:rsidTr="00CB4E25">
        <w:trPr>
          <w:jc w:val="center"/>
        </w:trPr>
        <w:tc>
          <w:tcPr>
            <w:tcW w:w="1744" w:type="dxa"/>
            <w:vMerge/>
            <w:vAlign w:val="center"/>
          </w:tcPr>
          <w:p w:rsidR="00E9104D" w:rsidRPr="00CB4E25" w:rsidRDefault="00E9104D" w:rsidP="00CB4E25">
            <w:pPr>
              <w:pStyle w:val="NoSpacing"/>
              <w:rPr>
                <w:rFonts w:asciiTheme="minorHAnsi" w:eastAsia="Arial Unicode MS" w:hAnsiTheme="minorHAnsi"/>
                <w:sz w:val="20"/>
                <w:szCs w:val="20"/>
              </w:rPr>
            </w:pPr>
          </w:p>
        </w:tc>
        <w:tc>
          <w:tcPr>
            <w:tcW w:w="1123" w:type="dxa"/>
            <w:vMerge/>
            <w:vAlign w:val="center"/>
          </w:tcPr>
          <w:p w:rsidR="00E9104D" w:rsidRPr="00CB4E25" w:rsidRDefault="00E9104D" w:rsidP="00CB4E25">
            <w:pPr>
              <w:pStyle w:val="NoSpacing"/>
              <w:rPr>
                <w:rFonts w:asciiTheme="minorHAnsi" w:eastAsia="Arial Unicode MS" w:hAnsiTheme="minorHAnsi"/>
                <w:sz w:val="20"/>
                <w:szCs w:val="20"/>
              </w:rPr>
            </w:pPr>
          </w:p>
        </w:tc>
        <w:tc>
          <w:tcPr>
            <w:tcW w:w="1218" w:type="dxa"/>
            <w:vMerge/>
            <w:vAlign w:val="center"/>
          </w:tcPr>
          <w:p w:rsidR="00E9104D" w:rsidRPr="00CB4E25" w:rsidRDefault="00E9104D" w:rsidP="00CB4E25">
            <w:pPr>
              <w:pStyle w:val="NoSpacing"/>
              <w:rPr>
                <w:rFonts w:asciiTheme="minorHAnsi" w:eastAsia="Arial Unicode MS" w:hAnsiTheme="minorHAnsi"/>
                <w:sz w:val="20"/>
                <w:szCs w:val="20"/>
              </w:rPr>
            </w:pPr>
          </w:p>
        </w:tc>
        <w:tc>
          <w:tcPr>
            <w:tcW w:w="1948" w:type="dxa"/>
            <w:tcBorders>
              <w:top w:val="nil"/>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Adult (F)</w:t>
            </w:r>
          </w:p>
        </w:tc>
        <w:tc>
          <w:tcPr>
            <w:tcW w:w="1550" w:type="dxa"/>
            <w:tcBorders>
              <w:top w:val="nil"/>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c>
          <w:tcPr>
            <w:tcW w:w="1496" w:type="dxa"/>
            <w:tcBorders>
              <w:top w:val="nil"/>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r>
      <w:tr w:rsidR="00E9104D" w:rsidRPr="00CB4E25" w:rsidTr="00CB4E25">
        <w:trPr>
          <w:jc w:val="center"/>
        </w:trPr>
        <w:tc>
          <w:tcPr>
            <w:tcW w:w="1744" w:type="dxa"/>
            <w:vMerge/>
            <w:vAlign w:val="center"/>
          </w:tcPr>
          <w:p w:rsidR="00E9104D" w:rsidRPr="00CB4E25" w:rsidRDefault="00E9104D" w:rsidP="00CB4E25">
            <w:pPr>
              <w:pStyle w:val="NoSpacing"/>
              <w:rPr>
                <w:rFonts w:asciiTheme="minorHAnsi" w:eastAsia="Arial Unicode MS" w:hAnsiTheme="minorHAnsi"/>
                <w:sz w:val="20"/>
                <w:szCs w:val="20"/>
              </w:rPr>
            </w:pPr>
          </w:p>
        </w:tc>
        <w:tc>
          <w:tcPr>
            <w:tcW w:w="1123" w:type="dxa"/>
            <w:vMerge/>
            <w:vAlign w:val="center"/>
          </w:tcPr>
          <w:p w:rsidR="00E9104D" w:rsidRPr="00CB4E25" w:rsidRDefault="00E9104D" w:rsidP="00CB4E25">
            <w:pPr>
              <w:pStyle w:val="NoSpacing"/>
              <w:rPr>
                <w:rFonts w:asciiTheme="minorHAnsi" w:eastAsia="Arial Unicode MS" w:hAnsiTheme="minorHAnsi"/>
                <w:sz w:val="20"/>
                <w:szCs w:val="20"/>
              </w:rPr>
            </w:pPr>
          </w:p>
        </w:tc>
        <w:tc>
          <w:tcPr>
            <w:tcW w:w="1218" w:type="dxa"/>
            <w:vMerge/>
            <w:vAlign w:val="center"/>
          </w:tcPr>
          <w:p w:rsidR="00E9104D" w:rsidRPr="00CB4E25" w:rsidRDefault="00E9104D" w:rsidP="00CB4E25">
            <w:pPr>
              <w:pStyle w:val="NoSpacing"/>
              <w:rPr>
                <w:rFonts w:asciiTheme="minorHAnsi" w:eastAsia="Arial Unicode MS" w:hAnsiTheme="minorHAnsi"/>
                <w:sz w:val="20"/>
                <w:szCs w:val="20"/>
              </w:rPr>
            </w:pPr>
          </w:p>
        </w:tc>
        <w:tc>
          <w:tcPr>
            <w:tcW w:w="1948" w:type="dxa"/>
            <w:tcBorders>
              <w:top w:val="nil"/>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Adult (M)</w:t>
            </w:r>
          </w:p>
        </w:tc>
        <w:tc>
          <w:tcPr>
            <w:tcW w:w="1550" w:type="dxa"/>
            <w:tcBorders>
              <w:top w:val="nil"/>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c>
          <w:tcPr>
            <w:tcW w:w="1496" w:type="dxa"/>
            <w:tcBorders>
              <w:top w:val="nil"/>
              <w:bottom w:val="nil"/>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r>
      <w:tr w:rsidR="00E9104D" w:rsidRPr="00CB4E25" w:rsidTr="00CB4E25">
        <w:trPr>
          <w:jc w:val="center"/>
        </w:trPr>
        <w:tc>
          <w:tcPr>
            <w:tcW w:w="1744" w:type="dxa"/>
            <w:vMerge/>
            <w:tcBorders>
              <w:bottom w:val="single" w:sz="2" w:space="0" w:color="000000"/>
            </w:tcBorders>
            <w:vAlign w:val="center"/>
          </w:tcPr>
          <w:p w:rsidR="00E9104D" w:rsidRPr="00CB4E25" w:rsidRDefault="00E9104D" w:rsidP="00CB4E25">
            <w:pPr>
              <w:pStyle w:val="NoSpacing"/>
              <w:rPr>
                <w:rFonts w:asciiTheme="minorHAnsi" w:eastAsia="Arial Unicode MS" w:hAnsiTheme="minorHAnsi"/>
                <w:sz w:val="20"/>
                <w:szCs w:val="20"/>
              </w:rPr>
            </w:pPr>
          </w:p>
        </w:tc>
        <w:tc>
          <w:tcPr>
            <w:tcW w:w="1123" w:type="dxa"/>
            <w:vMerge/>
            <w:tcBorders>
              <w:bottom w:val="single" w:sz="2" w:space="0" w:color="000000"/>
            </w:tcBorders>
            <w:vAlign w:val="center"/>
          </w:tcPr>
          <w:p w:rsidR="00E9104D" w:rsidRPr="00CB4E25" w:rsidRDefault="00E9104D" w:rsidP="00CB4E25">
            <w:pPr>
              <w:pStyle w:val="NoSpacing"/>
              <w:rPr>
                <w:rFonts w:asciiTheme="minorHAnsi" w:eastAsia="Arial Unicode MS" w:hAnsiTheme="minorHAnsi"/>
                <w:sz w:val="20"/>
                <w:szCs w:val="20"/>
              </w:rPr>
            </w:pPr>
          </w:p>
        </w:tc>
        <w:tc>
          <w:tcPr>
            <w:tcW w:w="1218" w:type="dxa"/>
            <w:vMerge/>
            <w:tcBorders>
              <w:bottom w:val="single" w:sz="2" w:space="0" w:color="000000"/>
            </w:tcBorders>
            <w:vAlign w:val="center"/>
          </w:tcPr>
          <w:p w:rsidR="00E9104D" w:rsidRPr="00CB4E25" w:rsidRDefault="00E9104D" w:rsidP="00CB4E25">
            <w:pPr>
              <w:pStyle w:val="NoSpacing"/>
              <w:rPr>
                <w:rFonts w:asciiTheme="minorHAnsi" w:eastAsia="Arial Unicode MS" w:hAnsiTheme="minorHAnsi"/>
                <w:sz w:val="20"/>
                <w:szCs w:val="20"/>
              </w:rPr>
            </w:pPr>
          </w:p>
        </w:tc>
        <w:tc>
          <w:tcPr>
            <w:tcW w:w="1948" w:type="dxa"/>
            <w:tcBorders>
              <w:top w:val="nil"/>
              <w:bottom w:val="single" w:sz="2"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Child (F)</w:t>
            </w:r>
          </w:p>
        </w:tc>
        <w:tc>
          <w:tcPr>
            <w:tcW w:w="1550" w:type="dxa"/>
            <w:tcBorders>
              <w:top w:val="nil"/>
              <w:bottom w:val="single" w:sz="2"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c>
          <w:tcPr>
            <w:tcW w:w="1496" w:type="dxa"/>
            <w:tcBorders>
              <w:top w:val="nil"/>
              <w:bottom w:val="single" w:sz="2" w:space="0" w:color="000000"/>
            </w:tcBorders>
            <w:vAlign w:val="center"/>
          </w:tcPr>
          <w:p w:rsidR="00E9104D" w:rsidRPr="00CB4E25" w:rsidRDefault="00E9104D" w:rsidP="00CB4E25">
            <w:pPr>
              <w:pStyle w:val="NoSpacing"/>
              <w:rPr>
                <w:rFonts w:asciiTheme="minorHAnsi" w:eastAsia="Arial Unicode MS" w:hAnsiTheme="minorHAnsi"/>
                <w:sz w:val="20"/>
                <w:szCs w:val="20"/>
              </w:rPr>
            </w:pPr>
            <w:r w:rsidRPr="00CB4E25">
              <w:rPr>
                <w:rFonts w:asciiTheme="minorHAnsi" w:eastAsia="Arial Unicode MS" w:hAnsiTheme="minorHAnsi"/>
                <w:sz w:val="20"/>
                <w:szCs w:val="20"/>
              </w:rPr>
              <w:t>0</w:t>
            </w:r>
          </w:p>
        </w:tc>
      </w:tr>
    </w:tbl>
    <w:p w:rsidR="00DD4A10" w:rsidRDefault="00DD4A10" w:rsidP="003713CC">
      <w:pPr>
        <w:pStyle w:val="08BodySpaceBelowApplytomaintextbeforeanumberedlist"/>
        <w:spacing w:line="240" w:lineRule="auto"/>
        <w:ind w:firstLine="0"/>
        <w:rPr>
          <w:rFonts w:ascii="Arial Unicode MS" w:eastAsia="Arial Unicode MS" w:hAnsi="Arial Unicode MS" w:cs="Arial Unicode MS"/>
          <w:sz w:val="20"/>
        </w:rPr>
      </w:pPr>
    </w:p>
    <w:p w:rsidR="00DD4A10" w:rsidRDefault="00DD4A10" w:rsidP="003713CC">
      <w:pPr>
        <w:pStyle w:val="08BodySpaceBelowApplytomaintextbeforeanumberedlist"/>
        <w:spacing w:line="240" w:lineRule="auto"/>
        <w:ind w:firstLine="0"/>
        <w:rPr>
          <w:rFonts w:ascii="Arial Unicode MS" w:eastAsia="Arial Unicode MS" w:hAnsi="Arial Unicode MS" w:cs="Arial Unicode MS"/>
          <w:sz w:val="20"/>
        </w:rPr>
      </w:pPr>
    </w:p>
    <w:p w:rsidR="008F502C" w:rsidRDefault="003713CC" w:rsidP="003713CC">
      <w:pPr>
        <w:pStyle w:val="08BodySpaceBelowApplytomaintextbeforeanumberedlist"/>
        <w:spacing w:line="240" w:lineRule="auto"/>
        <w:ind w:firstLine="0"/>
        <w:rPr>
          <w:rFonts w:ascii="Arial Unicode MS" w:eastAsia="Arial Unicode MS" w:hAnsi="Arial Unicode MS" w:cs="Arial Unicode MS"/>
          <w:sz w:val="20"/>
        </w:rPr>
      </w:pPr>
      <w:r w:rsidRPr="00E9104D">
        <w:rPr>
          <w:rFonts w:ascii="Arial Unicode MS" w:eastAsia="Arial Unicode MS" w:hAnsi="Arial Unicode MS" w:cs="Arial Unicode MS"/>
          <w:sz w:val="20"/>
        </w:rPr>
        <w:t>The Building Symptom Index (BSI</w:t>
      </w:r>
      <w:r w:rsidRPr="00E9104D">
        <w:rPr>
          <w:rFonts w:ascii="Arial Unicode MS" w:eastAsia="Arial Unicode MS" w:hAnsi="Arial Unicode MS" w:cs="Arial Unicode MS"/>
          <w:sz w:val="20"/>
          <w:vertAlign w:val="subscript"/>
        </w:rPr>
        <w:t>5</w:t>
      </w:r>
      <w:r w:rsidRPr="00E9104D">
        <w:rPr>
          <w:rFonts w:ascii="Arial Unicode MS" w:eastAsia="Arial Unicode MS" w:hAnsi="Arial Unicode MS" w:cs="Arial Unicode MS"/>
          <w:sz w:val="20"/>
        </w:rPr>
        <w:t xml:space="preserve"> and BSI</w:t>
      </w:r>
      <w:r w:rsidRPr="00E9104D">
        <w:rPr>
          <w:rFonts w:ascii="Arial Unicode MS" w:eastAsia="Arial Unicode MS" w:hAnsi="Arial Unicode MS" w:cs="Arial Unicode MS"/>
          <w:sz w:val="20"/>
          <w:vertAlign w:val="subscript"/>
        </w:rPr>
        <w:t>8</w:t>
      </w:r>
      <w:r w:rsidRPr="00E9104D">
        <w:rPr>
          <w:rFonts w:ascii="Arial Unicode MS" w:eastAsia="Arial Unicode MS" w:hAnsi="Arial Unicode MS" w:cs="Arial Unicode MS"/>
          <w:sz w:val="20"/>
        </w:rPr>
        <w:t>) and Personal Symptom Index (PSI</w:t>
      </w:r>
      <w:r w:rsidRPr="00E9104D">
        <w:rPr>
          <w:rFonts w:ascii="Arial Unicode MS" w:eastAsia="Arial Unicode MS" w:hAnsi="Arial Unicode MS" w:cs="Arial Unicode MS"/>
          <w:sz w:val="20"/>
          <w:vertAlign w:val="subscript"/>
        </w:rPr>
        <w:t>5</w:t>
      </w:r>
      <w:r w:rsidRPr="00E9104D">
        <w:rPr>
          <w:rFonts w:ascii="Arial Unicode MS" w:eastAsia="Arial Unicode MS" w:hAnsi="Arial Unicode MS" w:cs="Arial Unicode MS"/>
          <w:sz w:val="20"/>
        </w:rPr>
        <w:t xml:space="preserve"> and PSI</w:t>
      </w:r>
      <w:r w:rsidRPr="00E9104D">
        <w:rPr>
          <w:rFonts w:ascii="Arial Unicode MS" w:eastAsia="Arial Unicode MS" w:hAnsi="Arial Unicode MS" w:cs="Arial Unicode MS"/>
          <w:sz w:val="20"/>
          <w:vertAlign w:val="subscript"/>
        </w:rPr>
        <w:t>8</w:t>
      </w:r>
      <w:r w:rsidRPr="00E9104D">
        <w:rPr>
          <w:rFonts w:ascii="Arial Unicode MS" w:eastAsia="Arial Unicode MS" w:hAnsi="Arial Unicode MS" w:cs="Arial Unicode MS"/>
          <w:sz w:val="20"/>
        </w:rPr>
        <w:t>) were calculated for each dwelling and respo</w:t>
      </w:r>
      <w:r>
        <w:rPr>
          <w:rFonts w:ascii="Arial Unicode MS" w:eastAsia="Arial Unicode MS" w:hAnsi="Arial Unicode MS" w:cs="Arial Unicode MS"/>
          <w:sz w:val="20"/>
        </w:rPr>
        <w:t>ndent. As illustrated in Table 13</w:t>
      </w:r>
      <w:r w:rsidRPr="00E9104D">
        <w:rPr>
          <w:rFonts w:ascii="Arial Unicode MS" w:eastAsia="Arial Unicode MS" w:hAnsi="Arial Unicode MS" w:cs="Arial Unicode MS"/>
          <w:sz w:val="20"/>
        </w:rPr>
        <w:t>, house No.3 scored a BSI</w:t>
      </w:r>
      <w:r w:rsidRPr="00E9104D">
        <w:rPr>
          <w:rFonts w:ascii="Arial Unicode MS" w:eastAsia="Arial Unicode MS" w:hAnsi="Arial Unicode MS" w:cs="Arial Unicode MS"/>
          <w:sz w:val="20"/>
          <w:vertAlign w:val="subscript"/>
        </w:rPr>
        <w:t>5</w:t>
      </w:r>
      <w:r w:rsidRPr="00E9104D">
        <w:rPr>
          <w:rFonts w:ascii="Arial Unicode MS" w:eastAsia="Arial Unicode MS" w:hAnsi="Arial Unicode MS" w:cs="Arial Unicode MS"/>
          <w:sz w:val="20"/>
        </w:rPr>
        <w:t xml:space="preserve"> (5 symptoms: dryness of eyes, blocked/stuffy nose, dry throat, lethargy/tiredness and headache) of 1 while No.5 scored a BSI</w:t>
      </w:r>
      <w:r w:rsidRPr="00E9104D">
        <w:rPr>
          <w:rFonts w:ascii="Arial Unicode MS" w:eastAsia="Arial Unicode MS" w:hAnsi="Arial Unicode MS" w:cs="Arial Unicode MS"/>
          <w:sz w:val="20"/>
          <w:vertAlign w:val="subscript"/>
        </w:rPr>
        <w:t>5</w:t>
      </w:r>
      <w:r w:rsidRPr="00E9104D">
        <w:rPr>
          <w:rFonts w:ascii="Arial Unicode MS" w:eastAsia="Arial Unicode MS" w:hAnsi="Arial Unicode MS" w:cs="Arial Unicode MS"/>
          <w:sz w:val="20"/>
        </w:rPr>
        <w:t xml:space="preserve"> of 2. Thus further investigation is required in these homes to identify the cause of these symptoms and whether or not it is relat</w:t>
      </w:r>
      <w:r>
        <w:rPr>
          <w:rFonts w:ascii="Arial Unicode MS" w:eastAsia="Arial Unicode MS" w:hAnsi="Arial Unicode MS" w:cs="Arial Unicode MS"/>
          <w:sz w:val="20"/>
        </w:rPr>
        <w:t>ed to the interior environment.</w:t>
      </w:r>
    </w:p>
    <w:p w:rsidR="00E957C0" w:rsidRPr="003713CC" w:rsidRDefault="00E957C0" w:rsidP="00DD4A10">
      <w:pPr>
        <w:pStyle w:val="08BodySpaceBelowApplytomaintextbeforeanumberedlist"/>
        <w:spacing w:before="240" w:line="240" w:lineRule="auto"/>
        <w:ind w:firstLine="0"/>
        <w:rPr>
          <w:rFonts w:ascii="Arial Unicode MS" w:eastAsia="Arial Unicode MS" w:hAnsi="Arial Unicode MS" w:cs="Arial Unicode MS"/>
          <w:sz w:val="20"/>
        </w:rPr>
      </w:pPr>
    </w:p>
    <w:p w:rsidR="008F502C" w:rsidRDefault="00582018" w:rsidP="00CB4E25">
      <w:pPr>
        <w:pStyle w:val="Heading10"/>
        <w:numPr>
          <w:ilvl w:val="0"/>
          <w:numId w:val="16"/>
        </w:numPr>
        <w:ind w:left="0" w:firstLine="0"/>
      </w:pPr>
      <w:r>
        <w:t>Discussion</w:t>
      </w:r>
    </w:p>
    <w:p w:rsidR="00582018" w:rsidRPr="00582018" w:rsidRDefault="00582018" w:rsidP="00CB4E25">
      <w:pPr>
        <w:pStyle w:val="06BodyMaintext"/>
        <w:spacing w:line="240" w:lineRule="auto"/>
        <w:ind w:firstLine="0"/>
        <w:rPr>
          <w:rFonts w:ascii="Arial Unicode MS" w:eastAsia="Arial Unicode MS" w:hAnsi="Arial Unicode MS" w:cs="Arial Unicode MS"/>
          <w:sz w:val="20"/>
        </w:rPr>
      </w:pPr>
      <w:r w:rsidRPr="00582018">
        <w:rPr>
          <w:rFonts w:ascii="Arial Unicode MS" w:eastAsia="Arial Unicode MS" w:hAnsi="Arial Unicode MS" w:cs="Arial Unicode MS"/>
          <w:sz w:val="20"/>
        </w:rPr>
        <w:t>The findings from the occupant interview suggest inadequate use of purge ventilation, in the form of opening windows or making use of the boost mode in the MVHR system. Problems with noise appears to be a significant factor, such as the noise of the MVHR system on higher settings or noise from outdoors experienced when windows are opened at night for thermal comfort. Furthermore, there appears to be a reluctance to engage with the MVHR system, with occupants explaining that they found the system easy to operate as it is automatic, and therefore they do not touch it</w:t>
      </w:r>
      <w:r w:rsidR="00DD4A10">
        <w:rPr>
          <w:rFonts w:ascii="Arial Unicode MS" w:eastAsia="Arial Unicode MS" w:hAnsi="Arial Unicode MS" w:cs="Arial Unicode MS"/>
          <w:sz w:val="20"/>
        </w:rPr>
        <w:t>. This may cause problems in</w:t>
      </w:r>
      <w:r w:rsidRPr="00582018">
        <w:rPr>
          <w:rFonts w:ascii="Arial Unicode MS" w:eastAsia="Arial Unicode MS" w:hAnsi="Arial Unicode MS" w:cs="Arial Unicode MS"/>
          <w:sz w:val="20"/>
        </w:rPr>
        <w:t xml:space="preserve"> future when maintenance is required, such as replacing filters or cleaning vents. </w:t>
      </w:r>
    </w:p>
    <w:p w:rsidR="00582018" w:rsidRPr="00582018" w:rsidRDefault="00701432" w:rsidP="00CB4E25">
      <w:pPr>
        <w:pStyle w:val="06BodyMaintext"/>
        <w:spacing w:line="240" w:lineRule="auto"/>
        <w:ind w:firstLine="0"/>
        <w:rPr>
          <w:rFonts w:ascii="Arial Unicode MS" w:eastAsia="Arial Unicode MS" w:hAnsi="Arial Unicode MS" w:cs="Arial Unicode MS"/>
          <w:sz w:val="20"/>
        </w:rPr>
      </w:pPr>
      <w:r>
        <w:rPr>
          <w:rFonts w:ascii="Arial Unicode MS" w:eastAsia="Arial Unicode MS" w:hAnsi="Arial Unicode MS" w:cs="Arial Unicode MS"/>
          <w:sz w:val="20"/>
        </w:rPr>
        <w:t xml:space="preserve">  </w:t>
      </w:r>
    </w:p>
    <w:p w:rsidR="00701432" w:rsidRDefault="00582018" w:rsidP="00CB4E25">
      <w:pPr>
        <w:pStyle w:val="06BodyMaintext"/>
        <w:spacing w:line="240" w:lineRule="auto"/>
        <w:ind w:firstLine="0"/>
        <w:rPr>
          <w:rFonts w:ascii="Arial Unicode MS" w:eastAsia="Arial Unicode MS" w:hAnsi="Arial Unicode MS" w:cs="Arial Unicode MS"/>
          <w:sz w:val="20"/>
        </w:rPr>
      </w:pPr>
      <w:r w:rsidRPr="00582018">
        <w:rPr>
          <w:rFonts w:ascii="Arial Unicode MS" w:eastAsia="Arial Unicode MS" w:hAnsi="Arial Unicode MS" w:cs="Arial Unicode MS"/>
          <w:sz w:val="20"/>
        </w:rPr>
        <w:t xml:space="preserve">In some cases, occupants had adjusted supply vents for thermal comfort, explaining the vents were causing draughts. This is a significant problem, as it may result in air change rates below recommended levels for occupant health. Furthermore, another household described poor mixing of air, stating that downstairs may get too hot but at the same time upstairs can be too cold. The lack of a central heating system and reliance on secondary heaters in the main living space (gas/electric heater) and in the bedroom/s (electric heaters) results in localized heat; which in combination with inadequate ventilation may explain issues with </w:t>
      </w:r>
      <w:r w:rsidRPr="00701432">
        <w:rPr>
          <w:rFonts w:ascii="Arial Unicode MS" w:eastAsia="Arial Unicode MS" w:hAnsi="Arial Unicode MS" w:cs="Arial Unicode MS"/>
          <w:sz w:val="20"/>
          <w:lang w:val="en-GB"/>
        </w:rPr>
        <w:t>mould</w:t>
      </w:r>
      <w:r w:rsidRPr="00582018">
        <w:rPr>
          <w:rFonts w:ascii="Arial Unicode MS" w:eastAsia="Arial Unicode MS" w:hAnsi="Arial Unicode MS" w:cs="Arial Unicode MS"/>
          <w:sz w:val="20"/>
        </w:rPr>
        <w:t xml:space="preserve"> growth in north facing bedroom/s and/or bathroom. </w:t>
      </w:r>
    </w:p>
    <w:p w:rsidR="00701432" w:rsidRDefault="00701432" w:rsidP="00CB4E25">
      <w:pPr>
        <w:pStyle w:val="06BodyMaintext"/>
        <w:spacing w:line="240" w:lineRule="auto"/>
        <w:ind w:firstLine="0"/>
        <w:rPr>
          <w:rFonts w:ascii="Arial Unicode MS" w:eastAsia="Arial Unicode MS" w:hAnsi="Arial Unicode MS" w:cs="Arial Unicode MS"/>
          <w:sz w:val="20"/>
        </w:rPr>
      </w:pPr>
    </w:p>
    <w:p w:rsidR="00582018" w:rsidRDefault="00582018" w:rsidP="00582018">
      <w:pPr>
        <w:pStyle w:val="06BodyMaintext"/>
        <w:spacing w:line="240" w:lineRule="auto"/>
        <w:ind w:firstLine="0"/>
        <w:rPr>
          <w:rFonts w:ascii="Arial Unicode MS" w:eastAsia="Arial Unicode MS" w:hAnsi="Arial Unicode MS" w:cs="Arial Unicode MS"/>
          <w:sz w:val="20"/>
        </w:rPr>
      </w:pPr>
      <w:r w:rsidRPr="00582018">
        <w:rPr>
          <w:rFonts w:ascii="Arial Unicode MS" w:eastAsia="Arial Unicode MS" w:hAnsi="Arial Unicode MS" w:cs="Arial Unicode MS"/>
          <w:sz w:val="20"/>
        </w:rPr>
        <w:t xml:space="preserve">Recorded carbon dioxide levels </w:t>
      </w:r>
      <w:r w:rsidR="00701432">
        <w:rPr>
          <w:rFonts w:ascii="Arial Unicode MS" w:eastAsia="Arial Unicode MS" w:hAnsi="Arial Unicode MS" w:cs="Arial Unicode MS"/>
          <w:sz w:val="20"/>
        </w:rPr>
        <w:t xml:space="preserve">during winter </w:t>
      </w:r>
      <w:r w:rsidRPr="00582018">
        <w:rPr>
          <w:rFonts w:ascii="Arial Unicode MS" w:eastAsia="Arial Unicode MS" w:hAnsi="Arial Unicode MS" w:cs="Arial Unicode MS"/>
          <w:sz w:val="20"/>
        </w:rPr>
        <w:t xml:space="preserve">suggest inadequate ventilation in 5 out of 6 of the case study homes, with maximum values over 2,000ppm in half of case study dwellings. </w:t>
      </w:r>
      <w:r w:rsidR="00701432">
        <w:rPr>
          <w:rFonts w:ascii="Arial Unicode MS" w:eastAsia="Arial Unicode MS" w:hAnsi="Arial Unicode MS" w:cs="Arial Unicode MS"/>
          <w:sz w:val="20"/>
        </w:rPr>
        <w:t xml:space="preserve">In summer, five </w:t>
      </w:r>
      <w:r w:rsidR="00BD3C9F">
        <w:rPr>
          <w:rFonts w:ascii="Arial Unicode MS" w:eastAsia="Arial Unicode MS" w:hAnsi="Arial Unicode MS" w:cs="Arial Unicode MS"/>
          <w:sz w:val="20"/>
        </w:rPr>
        <w:t>out of six</w:t>
      </w:r>
      <w:r w:rsidR="001C2DBA">
        <w:rPr>
          <w:rFonts w:ascii="Arial Unicode MS" w:eastAsia="Arial Unicode MS" w:hAnsi="Arial Unicode MS" w:cs="Arial Unicode MS"/>
          <w:sz w:val="20"/>
        </w:rPr>
        <w:t xml:space="preserve"> </w:t>
      </w:r>
      <w:r w:rsidR="00BD3C9F">
        <w:rPr>
          <w:rFonts w:ascii="Arial Unicode MS" w:eastAsia="Arial Unicode MS" w:hAnsi="Arial Unicode MS" w:cs="Arial Unicode MS"/>
          <w:sz w:val="20"/>
        </w:rPr>
        <w:t xml:space="preserve">households </w:t>
      </w:r>
      <w:r w:rsidR="00701432">
        <w:rPr>
          <w:rFonts w:ascii="Arial Unicode MS" w:eastAsia="Arial Unicode MS" w:hAnsi="Arial Unicode MS" w:cs="Arial Unicode MS"/>
          <w:sz w:val="20"/>
        </w:rPr>
        <w:t>recorded carbon dioxide levels above recommended limits</w:t>
      </w:r>
      <w:r w:rsidR="001C2DBA">
        <w:rPr>
          <w:rFonts w:ascii="Arial Unicode MS" w:eastAsia="Arial Unicode MS" w:hAnsi="Arial Unicode MS" w:cs="Arial Unicode MS"/>
          <w:sz w:val="20"/>
        </w:rPr>
        <w:t xml:space="preserve"> in the open plan living area and two households in the bedroom</w:t>
      </w:r>
      <w:r w:rsidR="00701432">
        <w:rPr>
          <w:rFonts w:ascii="Arial Unicode MS" w:eastAsia="Arial Unicode MS" w:hAnsi="Arial Unicode MS" w:cs="Arial Unicode MS"/>
          <w:sz w:val="20"/>
        </w:rPr>
        <w:t xml:space="preserve">. Carbon dioxide levels were lower during the summer monitoring period, most likely due to increased purge ventilation from opening windows. </w:t>
      </w:r>
      <w:r w:rsidR="00701432" w:rsidRPr="00582018">
        <w:rPr>
          <w:rFonts w:ascii="Arial Unicode MS" w:eastAsia="Arial Unicode MS" w:hAnsi="Arial Unicode MS" w:cs="Arial Unicode MS"/>
          <w:sz w:val="20"/>
        </w:rPr>
        <w:t>Th</w:t>
      </w:r>
      <w:r w:rsidR="00701432">
        <w:rPr>
          <w:rFonts w:ascii="Arial Unicode MS" w:eastAsia="Arial Unicode MS" w:hAnsi="Arial Unicode MS" w:cs="Arial Unicode MS"/>
          <w:sz w:val="20"/>
        </w:rPr>
        <w:t>e high levels of carbon dioxide</w:t>
      </w:r>
      <w:r w:rsidR="00701432" w:rsidRPr="00582018">
        <w:rPr>
          <w:rFonts w:ascii="Arial Unicode MS" w:eastAsia="Arial Unicode MS" w:hAnsi="Arial Unicode MS" w:cs="Arial Unicode MS"/>
          <w:sz w:val="20"/>
        </w:rPr>
        <w:t xml:space="preserve"> </w:t>
      </w:r>
      <w:r w:rsidR="00701432">
        <w:rPr>
          <w:rFonts w:ascii="Arial Unicode MS" w:eastAsia="Arial Unicode MS" w:hAnsi="Arial Unicode MS" w:cs="Arial Unicode MS"/>
          <w:sz w:val="20"/>
        </w:rPr>
        <w:t xml:space="preserve">observed </w:t>
      </w:r>
      <w:r w:rsidR="00701432" w:rsidRPr="00582018">
        <w:rPr>
          <w:rFonts w:ascii="Arial Unicode MS" w:eastAsia="Arial Unicode MS" w:hAnsi="Arial Unicode MS" w:cs="Arial Unicode MS"/>
          <w:sz w:val="20"/>
        </w:rPr>
        <w:t xml:space="preserve">may be </w:t>
      </w:r>
      <w:r w:rsidR="00701432">
        <w:rPr>
          <w:rFonts w:ascii="Arial Unicode MS" w:eastAsia="Arial Unicode MS" w:hAnsi="Arial Unicode MS" w:cs="Arial Unicode MS"/>
          <w:sz w:val="20"/>
        </w:rPr>
        <w:t>due to</w:t>
      </w:r>
      <w:r w:rsidR="00701432" w:rsidRPr="00582018">
        <w:rPr>
          <w:rFonts w:ascii="Arial Unicode MS" w:eastAsia="Arial Unicode MS" w:hAnsi="Arial Unicode MS" w:cs="Arial Unicode MS"/>
          <w:sz w:val="20"/>
        </w:rPr>
        <w:t xml:space="preserve"> poor commissioning of the ventilation system, occupant interference with vents, inadequate use of purge ven</w:t>
      </w:r>
      <w:r w:rsidR="00701432">
        <w:rPr>
          <w:rFonts w:ascii="Arial Unicode MS" w:eastAsia="Arial Unicode MS" w:hAnsi="Arial Unicode MS" w:cs="Arial Unicode MS"/>
          <w:sz w:val="20"/>
        </w:rPr>
        <w:t xml:space="preserve">tilation and/or system faults. </w:t>
      </w:r>
      <w:r w:rsidR="00BD3C9F">
        <w:rPr>
          <w:rFonts w:ascii="Arial Unicode MS" w:eastAsia="Arial Unicode MS" w:hAnsi="Arial Unicode MS" w:cs="Arial Unicode MS"/>
          <w:sz w:val="20"/>
        </w:rPr>
        <w:t xml:space="preserve">It is recommended therefore </w:t>
      </w:r>
      <w:r w:rsidR="00701432" w:rsidRPr="00582018">
        <w:rPr>
          <w:rFonts w:ascii="Arial Unicode MS" w:eastAsia="Arial Unicode MS" w:hAnsi="Arial Unicode MS" w:cs="Arial Unicode MS"/>
          <w:sz w:val="20"/>
        </w:rPr>
        <w:t>if installing MVHR, the system shou</w:t>
      </w:r>
      <w:r w:rsidR="00BD3C9F">
        <w:rPr>
          <w:rFonts w:ascii="Arial Unicode MS" w:eastAsia="Arial Unicode MS" w:hAnsi="Arial Unicode MS" w:cs="Arial Unicode MS"/>
          <w:sz w:val="20"/>
        </w:rPr>
        <w:t>ld be installed with a silencer</w:t>
      </w:r>
      <w:r w:rsidR="00701432" w:rsidRPr="00582018">
        <w:rPr>
          <w:rFonts w:ascii="Arial Unicode MS" w:eastAsia="Arial Unicode MS" w:hAnsi="Arial Unicode MS" w:cs="Arial Unicode MS"/>
          <w:sz w:val="20"/>
        </w:rPr>
        <w:t xml:space="preserve"> to keep noise to a minimum. Furthermore, supply and extract vents should be fitted in a way to avoid occupant interference after commissioning, in order to ensure adequate ventilation. Occupants should be briefed on how to effectively utilize the ventilation system, including use of the boost mode. Carbon dioxide sensors should be utilized to automatically increase ventilation rates when </w:t>
      </w:r>
      <w:r w:rsidR="00701432">
        <w:rPr>
          <w:rFonts w:ascii="Arial Unicode MS" w:eastAsia="Arial Unicode MS" w:hAnsi="Arial Unicode MS" w:cs="Arial Unicode MS"/>
          <w:sz w:val="20"/>
        </w:rPr>
        <w:t xml:space="preserve">levels rise above </w:t>
      </w:r>
      <w:r w:rsidR="00BD3C9F">
        <w:rPr>
          <w:rFonts w:ascii="Arial Unicode MS" w:eastAsia="Arial Unicode MS" w:hAnsi="Arial Unicode MS" w:cs="Arial Unicode MS"/>
          <w:sz w:val="20"/>
        </w:rPr>
        <w:t xml:space="preserve">that </w:t>
      </w:r>
      <w:r w:rsidR="00701432">
        <w:rPr>
          <w:rFonts w:ascii="Arial Unicode MS" w:eastAsia="Arial Unicode MS" w:hAnsi="Arial Unicode MS" w:cs="Arial Unicode MS"/>
          <w:sz w:val="20"/>
        </w:rPr>
        <w:t xml:space="preserve">recommended. </w:t>
      </w:r>
    </w:p>
    <w:p w:rsidR="00701432" w:rsidRPr="00582018" w:rsidRDefault="00701432" w:rsidP="00582018">
      <w:pPr>
        <w:pStyle w:val="06BodyMaintext"/>
        <w:spacing w:line="240" w:lineRule="auto"/>
        <w:ind w:firstLine="0"/>
        <w:rPr>
          <w:rFonts w:ascii="Arial Unicode MS" w:eastAsia="Arial Unicode MS" w:hAnsi="Arial Unicode MS" w:cs="Arial Unicode MS"/>
          <w:sz w:val="20"/>
        </w:rPr>
      </w:pPr>
    </w:p>
    <w:p w:rsidR="00582018" w:rsidRPr="00582018" w:rsidRDefault="00582018" w:rsidP="00582018">
      <w:pPr>
        <w:pStyle w:val="06BodyMaintext"/>
        <w:spacing w:line="240" w:lineRule="auto"/>
        <w:ind w:firstLine="0"/>
        <w:rPr>
          <w:rFonts w:ascii="Arial Unicode MS" w:eastAsia="Arial Unicode MS" w:hAnsi="Arial Unicode MS" w:cs="Arial Unicode MS"/>
          <w:sz w:val="20"/>
        </w:rPr>
      </w:pPr>
      <w:r w:rsidRPr="00582018">
        <w:rPr>
          <w:rFonts w:ascii="Arial Unicode MS" w:eastAsia="Arial Unicode MS" w:hAnsi="Arial Unicode MS" w:cs="Arial Unicode MS"/>
          <w:sz w:val="20"/>
        </w:rPr>
        <w:t>Moisture control is an important factor to consider in the design of energy efficient buildings since they present greater potential for problems. In particular, provision for drying clothes in a way that does not contribute to excessive indoor moisture (or excessive energy use) is a significant issue facing the design community. For instance, the indoor air quality measurements identified high relative humidities (over 60%) in half of the case study homes</w:t>
      </w:r>
      <w:r w:rsidR="002E714C">
        <w:rPr>
          <w:rFonts w:ascii="Arial Unicode MS" w:eastAsia="Arial Unicode MS" w:hAnsi="Arial Unicode MS" w:cs="Arial Unicode MS"/>
          <w:sz w:val="20"/>
        </w:rPr>
        <w:t xml:space="preserve"> during winter and five</w:t>
      </w:r>
      <w:r w:rsidR="00BD3C9F">
        <w:rPr>
          <w:rFonts w:ascii="Arial Unicode MS" w:eastAsia="Arial Unicode MS" w:hAnsi="Arial Unicode MS" w:cs="Arial Unicode MS"/>
          <w:sz w:val="20"/>
        </w:rPr>
        <w:t xml:space="preserve"> out of six</w:t>
      </w:r>
      <w:r w:rsidR="002E714C">
        <w:rPr>
          <w:rFonts w:ascii="Arial Unicode MS" w:eastAsia="Arial Unicode MS" w:hAnsi="Arial Unicode MS" w:cs="Arial Unicode MS"/>
          <w:sz w:val="20"/>
        </w:rPr>
        <w:t xml:space="preserve"> dwellings monitored during summer</w:t>
      </w:r>
      <w:r w:rsidRPr="00582018">
        <w:rPr>
          <w:rFonts w:ascii="Arial Unicode MS" w:eastAsia="Arial Unicode MS" w:hAnsi="Arial Unicode MS" w:cs="Arial Unicode MS"/>
          <w:sz w:val="20"/>
        </w:rPr>
        <w:t xml:space="preserve">. Furthermore, the interview process identified </w:t>
      </w:r>
      <w:r w:rsidRPr="002E714C">
        <w:rPr>
          <w:rFonts w:ascii="Arial Unicode MS" w:eastAsia="Arial Unicode MS" w:hAnsi="Arial Unicode MS" w:cs="Arial Unicode MS"/>
          <w:sz w:val="20"/>
          <w:lang w:val="en-GB"/>
        </w:rPr>
        <w:t>mould</w:t>
      </w:r>
      <w:r w:rsidRPr="00582018">
        <w:rPr>
          <w:rFonts w:ascii="Arial Unicode MS" w:eastAsia="Arial Unicode MS" w:hAnsi="Arial Unicode MS" w:cs="Arial Unicode MS"/>
          <w:sz w:val="20"/>
        </w:rPr>
        <w:t xml:space="preserve"> growth in 3 out of 6 homes. More research is required to identify the extent of fungal growth in energy efficient homes, including the spore counts and the identification of fungal species present in these environments. </w:t>
      </w:r>
    </w:p>
    <w:p w:rsidR="00582018" w:rsidRPr="00582018" w:rsidRDefault="00582018" w:rsidP="00582018">
      <w:pPr>
        <w:pStyle w:val="06BodyMaintext"/>
        <w:spacing w:line="240" w:lineRule="auto"/>
        <w:ind w:firstLine="0"/>
        <w:rPr>
          <w:rFonts w:ascii="Arial Unicode MS" w:eastAsia="Arial Unicode MS" w:hAnsi="Arial Unicode MS" w:cs="Arial Unicode MS"/>
          <w:sz w:val="20"/>
        </w:rPr>
      </w:pPr>
    </w:p>
    <w:p w:rsidR="002E714C" w:rsidRPr="00582018" w:rsidRDefault="00582018" w:rsidP="00582018">
      <w:pPr>
        <w:pStyle w:val="06BodyMaintext"/>
        <w:spacing w:line="240" w:lineRule="auto"/>
        <w:ind w:firstLine="0"/>
        <w:rPr>
          <w:rFonts w:ascii="Arial Unicode MS" w:eastAsia="Arial Unicode MS" w:hAnsi="Arial Unicode MS" w:cs="Arial Unicode MS"/>
          <w:sz w:val="20"/>
        </w:rPr>
      </w:pPr>
      <w:r w:rsidRPr="00582018">
        <w:rPr>
          <w:rFonts w:ascii="Arial Unicode MS" w:eastAsia="Arial Unicode MS" w:hAnsi="Arial Unicode MS" w:cs="Arial Unicode MS"/>
          <w:sz w:val="20"/>
        </w:rPr>
        <w:t>Average indoor temperatures in t</w:t>
      </w:r>
      <w:r w:rsidR="00CB4E25">
        <w:rPr>
          <w:rFonts w:ascii="Arial Unicode MS" w:eastAsia="Arial Unicode MS" w:hAnsi="Arial Unicode MS" w:cs="Arial Unicode MS"/>
          <w:sz w:val="20"/>
        </w:rPr>
        <w:t>he six homes ranged from 18-22</w:t>
      </w:r>
      <w:r w:rsidR="002E714C">
        <w:rPr>
          <w:rFonts w:ascii="Arial Unicode MS" w:eastAsia="Arial Unicode MS" w:hAnsi="Arial Unicode MS" w:cs="Arial Unicode MS"/>
          <w:sz w:val="20"/>
        </w:rPr>
        <w:t xml:space="preserve"> </w:t>
      </w:r>
      <w:r w:rsidR="00CB4E25">
        <w:rPr>
          <w:rFonts w:ascii="Arial Unicode MS" w:eastAsia="Arial Unicode MS" w:hAnsi="Arial Unicode MS" w:cs="Arial Unicode MS"/>
          <w:sz w:val="20"/>
        </w:rPr>
        <w:t>º</w:t>
      </w:r>
      <w:r w:rsidRPr="00582018">
        <w:rPr>
          <w:rFonts w:ascii="Arial Unicode MS" w:eastAsia="Arial Unicode MS" w:hAnsi="Arial Unicode MS" w:cs="Arial Unicode MS"/>
          <w:sz w:val="20"/>
        </w:rPr>
        <w:t xml:space="preserve">C </w:t>
      </w:r>
      <w:r w:rsidR="007A2961">
        <w:rPr>
          <w:rFonts w:ascii="Arial Unicode MS" w:eastAsia="Arial Unicode MS" w:hAnsi="Arial Unicode MS" w:cs="Arial Unicode MS"/>
          <w:sz w:val="20"/>
        </w:rPr>
        <w:t>during</w:t>
      </w:r>
      <w:r w:rsidRPr="00582018">
        <w:rPr>
          <w:rFonts w:ascii="Arial Unicode MS" w:eastAsia="Arial Unicode MS" w:hAnsi="Arial Unicode MS" w:cs="Arial Unicode MS"/>
          <w:sz w:val="20"/>
        </w:rPr>
        <w:t xml:space="preserve"> the 24 hour </w:t>
      </w:r>
      <w:r w:rsidR="002E714C">
        <w:rPr>
          <w:rFonts w:ascii="Arial Unicode MS" w:eastAsia="Arial Unicode MS" w:hAnsi="Arial Unicode MS" w:cs="Arial Unicode MS"/>
          <w:sz w:val="20"/>
        </w:rPr>
        <w:t xml:space="preserve">winter </w:t>
      </w:r>
      <w:r w:rsidRPr="00582018">
        <w:rPr>
          <w:rFonts w:ascii="Arial Unicode MS" w:eastAsia="Arial Unicode MS" w:hAnsi="Arial Unicode MS" w:cs="Arial Unicode MS"/>
          <w:sz w:val="20"/>
        </w:rPr>
        <w:t>measurement period. Indoor temperatures did not correspond significantly with heating patterns, however in most cases heating devices were only used for 1-2 hours during this time. During winter months half of households stated heating demands of 6-7 hours a day, which was met by secondary heating devices (s</w:t>
      </w:r>
      <w:r w:rsidR="008E38F8">
        <w:rPr>
          <w:rFonts w:ascii="Arial Unicode MS" w:eastAsia="Arial Unicode MS" w:hAnsi="Arial Unicode MS" w:cs="Arial Unicode MS"/>
          <w:sz w:val="20"/>
        </w:rPr>
        <w:t>uch as gas/electric fire). Over</w:t>
      </w:r>
      <w:r w:rsidRPr="00582018">
        <w:rPr>
          <w:rFonts w:ascii="Arial Unicode MS" w:eastAsia="Arial Unicode MS" w:hAnsi="Arial Unicode MS" w:cs="Arial Unicode MS"/>
          <w:sz w:val="20"/>
        </w:rPr>
        <w:t xml:space="preserve">heating was </w:t>
      </w:r>
      <w:r w:rsidR="001C2DBA">
        <w:rPr>
          <w:rFonts w:ascii="Arial Unicode MS" w:eastAsia="Arial Unicode MS" w:hAnsi="Arial Unicode MS" w:cs="Arial Unicode MS"/>
          <w:sz w:val="20"/>
        </w:rPr>
        <w:t>experienced by occupants in four out of six</w:t>
      </w:r>
      <w:r w:rsidR="007A2961">
        <w:rPr>
          <w:rFonts w:ascii="Arial Unicode MS" w:eastAsia="Arial Unicode MS" w:hAnsi="Arial Unicode MS" w:cs="Arial Unicode MS"/>
          <w:sz w:val="20"/>
        </w:rPr>
        <w:t xml:space="preserve"> homes</w:t>
      </w:r>
      <w:r w:rsidRPr="00582018">
        <w:rPr>
          <w:rFonts w:ascii="Arial Unicode MS" w:eastAsia="Arial Unicode MS" w:hAnsi="Arial Unicode MS" w:cs="Arial Unicode MS"/>
          <w:sz w:val="20"/>
        </w:rPr>
        <w:t xml:space="preserve">, which suggests problems with ventilation. </w:t>
      </w:r>
      <w:r w:rsidR="002E714C">
        <w:rPr>
          <w:rFonts w:ascii="Arial Unicode MS" w:eastAsia="Arial Unicode MS" w:hAnsi="Arial Unicode MS" w:cs="Arial Unicode MS"/>
          <w:sz w:val="20"/>
        </w:rPr>
        <w:t xml:space="preserve">This corresponds with the results of the summer measurements, where peak temperatures of 27.6 </w:t>
      </w:r>
      <w:r w:rsidR="002E714C">
        <w:rPr>
          <w:rFonts w:ascii="Arial Unicode MS" w:eastAsia="Arial Unicode MS" w:hAnsi="Arial Unicode MS" w:cs="Arial Unicode MS" w:hint="eastAsia"/>
          <w:sz w:val="20"/>
        </w:rPr>
        <w:t>°</w:t>
      </w:r>
      <w:r w:rsidR="002E714C">
        <w:rPr>
          <w:rFonts w:ascii="Arial Unicode MS" w:eastAsia="Arial Unicode MS" w:hAnsi="Arial Unicode MS" w:cs="Arial Unicode MS"/>
          <w:sz w:val="20"/>
        </w:rPr>
        <w:t xml:space="preserve">C were recorded in No.2 (bedroom) and 28.2 </w:t>
      </w:r>
      <w:r w:rsidR="002E714C">
        <w:rPr>
          <w:rFonts w:ascii="Arial Unicode MS" w:eastAsia="Arial Unicode MS" w:hAnsi="Arial Unicode MS" w:cs="Arial Unicode MS" w:hint="eastAsia"/>
          <w:sz w:val="20"/>
        </w:rPr>
        <w:t>°</w:t>
      </w:r>
      <w:r w:rsidR="002E714C">
        <w:rPr>
          <w:rFonts w:ascii="Arial Unicode MS" w:eastAsia="Arial Unicode MS" w:hAnsi="Arial Unicode MS" w:cs="Arial Unicode MS"/>
          <w:sz w:val="20"/>
        </w:rPr>
        <w:t>C in No.5 (open plan living room). Average temperatures were higher than the recom</w:t>
      </w:r>
      <w:r w:rsidR="00C40390">
        <w:rPr>
          <w:rFonts w:ascii="Arial Unicode MS" w:eastAsia="Arial Unicode MS" w:hAnsi="Arial Unicode MS" w:cs="Arial Unicode MS"/>
          <w:sz w:val="20"/>
        </w:rPr>
        <w:t>mended levels for comfort (18-24</w:t>
      </w:r>
      <w:r w:rsidR="002E714C">
        <w:rPr>
          <w:rFonts w:ascii="Arial Unicode MS" w:eastAsia="Arial Unicode MS" w:hAnsi="Arial Unicode MS" w:cs="Arial Unicode MS" w:hint="eastAsia"/>
          <w:sz w:val="20"/>
        </w:rPr>
        <w:t>°</w:t>
      </w:r>
      <w:r w:rsidR="002E714C">
        <w:rPr>
          <w:rFonts w:ascii="Arial Unicode MS" w:eastAsia="Arial Unicode MS" w:hAnsi="Arial Unicode MS" w:cs="Arial Unicode MS"/>
          <w:sz w:val="20"/>
        </w:rPr>
        <w:t xml:space="preserve">C) in </w:t>
      </w:r>
      <w:r w:rsidR="00C40390">
        <w:rPr>
          <w:rFonts w:ascii="Arial Unicode MS" w:eastAsia="Arial Unicode MS" w:hAnsi="Arial Unicode MS" w:cs="Arial Unicode MS"/>
          <w:sz w:val="20"/>
        </w:rPr>
        <w:t>three</w:t>
      </w:r>
      <w:r w:rsidR="002E714C">
        <w:rPr>
          <w:rFonts w:ascii="Arial Unicode MS" w:eastAsia="Arial Unicode MS" w:hAnsi="Arial Unicode MS" w:cs="Arial Unicode MS"/>
          <w:sz w:val="20"/>
        </w:rPr>
        <w:t xml:space="preserve"> out of </w:t>
      </w:r>
      <w:r w:rsidR="001C2DBA">
        <w:rPr>
          <w:rFonts w:ascii="Arial Unicode MS" w:eastAsia="Arial Unicode MS" w:hAnsi="Arial Unicode MS" w:cs="Arial Unicode MS"/>
          <w:sz w:val="20"/>
        </w:rPr>
        <w:t>six</w:t>
      </w:r>
      <w:r w:rsidR="002E714C">
        <w:rPr>
          <w:rFonts w:ascii="Arial Unicode MS" w:eastAsia="Arial Unicode MS" w:hAnsi="Arial Unicode MS" w:cs="Arial Unicode MS"/>
          <w:sz w:val="20"/>
        </w:rPr>
        <w:t xml:space="preserve"> monitored homes. This suggests significant </w:t>
      </w:r>
      <w:r w:rsidR="007A2961">
        <w:rPr>
          <w:rFonts w:ascii="Arial Unicode MS" w:eastAsia="Arial Unicode MS" w:hAnsi="Arial Unicode MS" w:cs="Arial Unicode MS"/>
          <w:sz w:val="20"/>
        </w:rPr>
        <w:t>internal sources of heat and/or inadequate ventilation in the case study dwellings. Thus more attention to overheating in new build dwellings may be required to ensure adequate in</w:t>
      </w:r>
      <w:r w:rsidR="008E38F8">
        <w:rPr>
          <w:rFonts w:ascii="Arial Unicode MS" w:eastAsia="Arial Unicode MS" w:hAnsi="Arial Unicode MS" w:cs="Arial Unicode MS"/>
          <w:sz w:val="20"/>
        </w:rPr>
        <w:t>door</w:t>
      </w:r>
      <w:r w:rsidR="007A2961">
        <w:rPr>
          <w:rFonts w:ascii="Arial Unicode MS" w:eastAsia="Arial Unicode MS" w:hAnsi="Arial Unicode MS" w:cs="Arial Unicode MS"/>
          <w:sz w:val="20"/>
        </w:rPr>
        <w:t xml:space="preserve"> </w:t>
      </w:r>
      <w:r w:rsidR="00A43625">
        <w:rPr>
          <w:rFonts w:ascii="Arial Unicode MS" w:eastAsia="Arial Unicode MS" w:hAnsi="Arial Unicode MS" w:cs="Arial Unicode MS"/>
          <w:sz w:val="20"/>
        </w:rPr>
        <w:t>air</w:t>
      </w:r>
      <w:r w:rsidR="007A2961">
        <w:rPr>
          <w:rFonts w:ascii="Arial Unicode MS" w:eastAsia="Arial Unicode MS" w:hAnsi="Arial Unicode MS" w:cs="Arial Unicode MS"/>
          <w:sz w:val="20"/>
        </w:rPr>
        <w:t xml:space="preserve"> quality during summer months. </w:t>
      </w:r>
    </w:p>
    <w:p w:rsidR="00582018" w:rsidRPr="00582018" w:rsidRDefault="00582018" w:rsidP="00582018">
      <w:pPr>
        <w:pStyle w:val="06BodyMaintext"/>
        <w:spacing w:line="240" w:lineRule="auto"/>
        <w:ind w:firstLine="0"/>
        <w:rPr>
          <w:rFonts w:ascii="Arial Unicode MS" w:eastAsia="Arial Unicode MS" w:hAnsi="Arial Unicode MS" w:cs="Arial Unicode MS"/>
          <w:sz w:val="20"/>
        </w:rPr>
      </w:pPr>
    </w:p>
    <w:p w:rsidR="00582018" w:rsidRPr="00582018" w:rsidRDefault="00582018" w:rsidP="00582018">
      <w:pPr>
        <w:pStyle w:val="06BodyMaintext"/>
        <w:spacing w:line="240" w:lineRule="auto"/>
        <w:ind w:firstLine="0"/>
        <w:rPr>
          <w:rFonts w:ascii="Arial Unicode MS" w:eastAsia="Arial Unicode MS" w:hAnsi="Arial Unicode MS" w:cs="Arial Unicode MS"/>
          <w:sz w:val="20"/>
        </w:rPr>
      </w:pPr>
      <w:r w:rsidRPr="00582018">
        <w:rPr>
          <w:rFonts w:ascii="Arial Unicode MS" w:eastAsia="Arial Unicode MS" w:hAnsi="Arial Unicode MS" w:cs="Arial Unicode MS"/>
          <w:sz w:val="20"/>
        </w:rPr>
        <w:t>Occupants were asked at the end of the interview if there were any aspects of the building design that could be improved in order to achieve better indoor air qualit</w:t>
      </w:r>
      <w:r w:rsidR="008E38F8">
        <w:rPr>
          <w:rFonts w:ascii="Arial Unicode MS" w:eastAsia="Arial Unicode MS" w:hAnsi="Arial Unicode MS" w:cs="Arial Unicode MS"/>
          <w:sz w:val="20"/>
        </w:rPr>
        <w:t>y. In two of the homes occupant</w:t>
      </w:r>
      <w:r w:rsidRPr="00582018">
        <w:rPr>
          <w:rFonts w:ascii="Arial Unicode MS" w:eastAsia="Arial Unicode MS" w:hAnsi="Arial Unicode MS" w:cs="Arial Unicode MS"/>
          <w:sz w:val="20"/>
        </w:rPr>
        <w:t xml:space="preserve">s suggested the windows could be improved or could be more airtight. One home suggested an improvement of the heat recovery aspect of the mechanical ventilation system in winter to alleviate cold draughts. Furthermore, one household suggested problems with circulation of heat, proposing that the stairs could be opened up to allow hot air to circulate upstairs. Thus it could be suggested that the majority of complaints/suggested improvements are related to the thermal environment. This does not reflect the physical measurements, which found average temperatures within a comfortable range during the 24 hour </w:t>
      </w:r>
      <w:r w:rsidR="007A2961">
        <w:rPr>
          <w:rFonts w:ascii="Arial Unicode MS" w:eastAsia="Arial Unicode MS" w:hAnsi="Arial Unicode MS" w:cs="Arial Unicode MS"/>
          <w:sz w:val="20"/>
        </w:rPr>
        <w:t xml:space="preserve">winter </w:t>
      </w:r>
      <w:r w:rsidRPr="00582018">
        <w:rPr>
          <w:rFonts w:ascii="Arial Unicode MS" w:eastAsia="Arial Unicode MS" w:hAnsi="Arial Unicode MS" w:cs="Arial Unicode MS"/>
          <w:sz w:val="20"/>
        </w:rPr>
        <w:t xml:space="preserve">measurement period despite limited use of heating devices in the majority of homes. </w:t>
      </w:r>
    </w:p>
    <w:p w:rsidR="00582018" w:rsidRPr="00582018" w:rsidRDefault="00582018" w:rsidP="00582018">
      <w:pPr>
        <w:pStyle w:val="06BodyMaintext"/>
        <w:spacing w:line="240" w:lineRule="auto"/>
        <w:ind w:firstLine="0"/>
        <w:rPr>
          <w:rFonts w:ascii="Arial Unicode MS" w:eastAsia="Arial Unicode MS" w:hAnsi="Arial Unicode MS" w:cs="Arial Unicode MS"/>
          <w:sz w:val="20"/>
        </w:rPr>
      </w:pPr>
    </w:p>
    <w:p w:rsidR="00582018" w:rsidRPr="00582018" w:rsidRDefault="00582018" w:rsidP="00582018">
      <w:pPr>
        <w:pStyle w:val="06BodyMaintext"/>
        <w:spacing w:line="240" w:lineRule="auto"/>
        <w:ind w:firstLine="0"/>
        <w:rPr>
          <w:rFonts w:ascii="Arial Unicode MS" w:eastAsia="Arial Unicode MS" w:hAnsi="Arial Unicode MS" w:cs="Arial Unicode MS"/>
          <w:sz w:val="20"/>
        </w:rPr>
      </w:pPr>
      <w:r w:rsidRPr="00582018">
        <w:rPr>
          <w:rFonts w:ascii="Arial Unicode MS" w:eastAsia="Arial Unicode MS" w:hAnsi="Arial Unicode MS" w:cs="Arial Unicode MS"/>
          <w:sz w:val="20"/>
        </w:rPr>
        <w:t>Results on perception of the in</w:t>
      </w:r>
      <w:r w:rsidR="008E38F8">
        <w:rPr>
          <w:rFonts w:ascii="Arial Unicode MS" w:eastAsia="Arial Unicode MS" w:hAnsi="Arial Unicode MS" w:cs="Arial Unicode MS"/>
          <w:sz w:val="20"/>
        </w:rPr>
        <w:t>door</w:t>
      </w:r>
      <w:r w:rsidRPr="00582018">
        <w:rPr>
          <w:rFonts w:ascii="Arial Unicode MS" w:eastAsia="Arial Unicode MS" w:hAnsi="Arial Unicode MS" w:cs="Arial Unicode MS"/>
          <w:sz w:val="20"/>
        </w:rPr>
        <w:t xml:space="preserve"> environment suggest occupants did not find the homes significantly comfortable or satisfactory during the winter months. Furthermore, issues with satisfaction of the indoor air quality were identified, including problems with perceived freshness of air and odors in winter. Perception of thermal comfort and indoor air quality was much better for summer months; however significant variations of responses exist. One occupant explained the ability to open windows for fresh air during summer improved perception of air quality. This suggests the need for hybrid responses to ventilation design incorporating both mechanical and natural strategies. </w:t>
      </w:r>
    </w:p>
    <w:p w:rsidR="00582018" w:rsidRPr="00582018" w:rsidRDefault="00582018" w:rsidP="00582018">
      <w:pPr>
        <w:pStyle w:val="06BodyMaintext"/>
        <w:spacing w:line="240" w:lineRule="auto"/>
        <w:ind w:firstLine="0"/>
        <w:rPr>
          <w:rFonts w:ascii="Arial Unicode MS" w:eastAsia="Arial Unicode MS" w:hAnsi="Arial Unicode MS" w:cs="Arial Unicode MS"/>
          <w:sz w:val="20"/>
        </w:rPr>
      </w:pPr>
    </w:p>
    <w:p w:rsidR="00582018" w:rsidRPr="00582018" w:rsidRDefault="00582018" w:rsidP="00582018">
      <w:pPr>
        <w:pStyle w:val="06BodyMaintext"/>
        <w:spacing w:line="240" w:lineRule="auto"/>
        <w:ind w:firstLine="0"/>
        <w:rPr>
          <w:rFonts w:ascii="Arial Unicode MS" w:eastAsia="Arial Unicode MS" w:hAnsi="Arial Unicode MS" w:cs="Arial Unicode MS"/>
          <w:sz w:val="20"/>
        </w:rPr>
      </w:pPr>
      <w:r w:rsidRPr="00582018">
        <w:rPr>
          <w:rFonts w:ascii="Arial Unicode MS" w:eastAsia="Arial Unicode MS" w:hAnsi="Arial Unicode MS" w:cs="Arial Unicode MS"/>
          <w:sz w:val="20"/>
        </w:rPr>
        <w:t xml:space="preserve">The presence of building related Sick Building Syndrome (SBS) symptoms in two case study homes (No.3 and No.5) suggest the need for further investigation to identify the cause. The most prevalent building related symptom was dry throat (19%), followed by itchy/watery eyes (13%). In house No.3, one occupant explained the prevalence of ‘dry throat’ was worse during the morning time, and suggested the use of the electric heater in the bedroom could be the cause. The prevalence of ‘dry throat’ for another occupant of house No.3 was worse in winter, particularly on rainy days. The occupant explained the symptom may be related to </w:t>
      </w:r>
      <w:r w:rsidRPr="00657189">
        <w:rPr>
          <w:rFonts w:ascii="Arial Unicode MS" w:eastAsia="Arial Unicode MS" w:hAnsi="Arial Unicode MS" w:cs="Arial Unicode MS"/>
          <w:sz w:val="20"/>
          <w:lang w:val="en-GB"/>
        </w:rPr>
        <w:t>mould</w:t>
      </w:r>
      <w:r w:rsidRPr="00582018">
        <w:rPr>
          <w:rFonts w:ascii="Arial Unicode MS" w:eastAsia="Arial Unicode MS" w:hAnsi="Arial Unicode MS" w:cs="Arial Unicode MS"/>
          <w:sz w:val="20"/>
        </w:rPr>
        <w:t xml:space="preserve"> growing on furniture in the bedroom. Further investigation in these homes, including identificati</w:t>
      </w:r>
      <w:r w:rsidR="008E38F8">
        <w:rPr>
          <w:rFonts w:ascii="Arial Unicode MS" w:eastAsia="Arial Unicode MS" w:hAnsi="Arial Unicode MS" w:cs="Arial Unicode MS"/>
          <w:sz w:val="20"/>
        </w:rPr>
        <w:t>on of ventilation effectiveness and</w:t>
      </w:r>
      <w:r w:rsidRPr="00582018">
        <w:rPr>
          <w:rFonts w:ascii="Arial Unicode MS" w:eastAsia="Arial Unicode MS" w:hAnsi="Arial Unicode MS" w:cs="Arial Unicode MS"/>
          <w:sz w:val="20"/>
        </w:rPr>
        <w:t xml:space="preserve"> sampling of fungal spores will provide important information to help establish causal factors for these symptoms. </w:t>
      </w:r>
    </w:p>
    <w:p w:rsidR="00582018" w:rsidRPr="00582018" w:rsidRDefault="00582018" w:rsidP="00582018">
      <w:pPr>
        <w:pStyle w:val="06BodyMaintext"/>
        <w:spacing w:line="240" w:lineRule="auto"/>
        <w:ind w:firstLine="0"/>
        <w:rPr>
          <w:rFonts w:ascii="Arial Unicode MS" w:eastAsia="Arial Unicode MS" w:hAnsi="Arial Unicode MS" w:cs="Arial Unicode MS"/>
          <w:sz w:val="20"/>
        </w:rPr>
      </w:pPr>
    </w:p>
    <w:p w:rsidR="00582018" w:rsidRPr="00582018" w:rsidRDefault="00582018" w:rsidP="00582018">
      <w:pPr>
        <w:pStyle w:val="06BodyMaintext"/>
        <w:spacing w:line="240" w:lineRule="auto"/>
        <w:ind w:firstLine="0"/>
        <w:rPr>
          <w:rFonts w:ascii="Arial Unicode MS" w:eastAsia="Arial Unicode MS" w:hAnsi="Arial Unicode MS" w:cs="Arial Unicode MS"/>
          <w:sz w:val="20"/>
        </w:rPr>
      </w:pPr>
      <w:r w:rsidRPr="00582018">
        <w:rPr>
          <w:rFonts w:ascii="Arial Unicode MS" w:eastAsia="Arial Unicode MS" w:hAnsi="Arial Unicode MS" w:cs="Arial Unicode MS"/>
          <w:sz w:val="20"/>
        </w:rPr>
        <w:t xml:space="preserve">Over-all, the objective and subjective measurements of thermal comfort present divergence of results. Throughout the measurement period, all homes remained within comfortable levels. However, findings from the interviews suggest occupants did not find the homes significantly comfortable or satisfactory during the winter months. This may be as a result of higher expectations of comfort in energy efficient homes or possibly lower perception of thermal comfort due to the omission of a central heating system. Since only the main living space </w:t>
      </w:r>
      <w:r w:rsidR="00245C7A">
        <w:rPr>
          <w:rFonts w:ascii="Arial Unicode MS" w:eastAsia="Arial Unicode MS" w:hAnsi="Arial Unicode MS" w:cs="Arial Unicode MS"/>
          <w:sz w:val="20"/>
        </w:rPr>
        <w:t xml:space="preserve">and bedroom </w:t>
      </w:r>
      <w:r w:rsidRPr="00582018">
        <w:rPr>
          <w:rFonts w:ascii="Arial Unicode MS" w:eastAsia="Arial Unicode MS" w:hAnsi="Arial Unicode MS" w:cs="Arial Unicode MS"/>
          <w:sz w:val="20"/>
        </w:rPr>
        <w:t>was monitored, temperature fluctuations may exist</w:t>
      </w:r>
      <w:r w:rsidR="00245C7A">
        <w:rPr>
          <w:rFonts w:ascii="Arial Unicode MS" w:eastAsia="Arial Unicode MS" w:hAnsi="Arial Unicode MS" w:cs="Arial Unicode MS"/>
          <w:sz w:val="20"/>
        </w:rPr>
        <w:t xml:space="preserve"> in other areas of the building</w:t>
      </w:r>
      <w:r w:rsidRPr="00582018">
        <w:rPr>
          <w:rFonts w:ascii="Arial Unicode MS" w:eastAsia="Arial Unicode MS" w:hAnsi="Arial Unicode MS" w:cs="Arial Unicode MS"/>
          <w:sz w:val="20"/>
        </w:rPr>
        <w:t xml:space="preserve">. As some occupants pointed out, upstairs was perceived to be much colder than downstairs. Thus further monitoring may be useful to identify temperature variations between different rooms in the homes. </w:t>
      </w:r>
    </w:p>
    <w:p w:rsidR="00582018" w:rsidRPr="00582018" w:rsidRDefault="00582018" w:rsidP="00582018">
      <w:pPr>
        <w:pStyle w:val="06BodyMaintext"/>
        <w:spacing w:line="240" w:lineRule="auto"/>
        <w:ind w:firstLine="0"/>
        <w:rPr>
          <w:rFonts w:ascii="Arial Unicode MS" w:eastAsia="Arial Unicode MS" w:hAnsi="Arial Unicode MS" w:cs="Arial Unicode MS"/>
          <w:sz w:val="20"/>
        </w:rPr>
      </w:pPr>
    </w:p>
    <w:p w:rsidR="00582018" w:rsidRPr="00582018" w:rsidRDefault="00582018" w:rsidP="00582018">
      <w:pPr>
        <w:pStyle w:val="06BodyMaintext"/>
        <w:spacing w:line="240" w:lineRule="auto"/>
        <w:ind w:firstLine="0"/>
        <w:rPr>
          <w:rFonts w:ascii="Arial Unicode MS" w:eastAsia="Arial Unicode MS" w:hAnsi="Arial Unicode MS" w:cs="Arial Unicode MS"/>
          <w:sz w:val="20"/>
        </w:rPr>
      </w:pPr>
      <w:r w:rsidRPr="00582018">
        <w:rPr>
          <w:rFonts w:ascii="Arial Unicode MS" w:eastAsia="Arial Unicode MS" w:hAnsi="Arial Unicode MS" w:cs="Arial Unicode MS"/>
          <w:sz w:val="20"/>
        </w:rPr>
        <w:t xml:space="preserve">In contrast, the objective and subjective measurements of indoor air quality suggest a degree of convergence in results. For instance, perceived indoor air quality suggests problems with freshness of air and odors, which is supported by the high levels of carbon dioxide observed during the measurement periods. The presence of </w:t>
      </w:r>
      <w:r w:rsidRPr="00245C7A">
        <w:rPr>
          <w:rFonts w:ascii="Arial Unicode MS" w:eastAsia="Arial Unicode MS" w:hAnsi="Arial Unicode MS" w:cs="Arial Unicode MS"/>
          <w:sz w:val="20"/>
          <w:lang w:val="en-GB"/>
        </w:rPr>
        <w:t>mould</w:t>
      </w:r>
      <w:r w:rsidRPr="00582018">
        <w:rPr>
          <w:rFonts w:ascii="Arial Unicode MS" w:eastAsia="Arial Unicode MS" w:hAnsi="Arial Unicode MS" w:cs="Arial Unicode MS"/>
          <w:sz w:val="20"/>
        </w:rPr>
        <w:t xml:space="preserve"> is supported by high levels of relative humidity in three of the case study homes</w:t>
      </w:r>
      <w:r w:rsidR="00245C7A">
        <w:rPr>
          <w:rFonts w:ascii="Arial Unicode MS" w:eastAsia="Arial Unicode MS" w:hAnsi="Arial Unicode MS" w:cs="Arial Unicode MS"/>
          <w:sz w:val="20"/>
        </w:rPr>
        <w:t xml:space="preserve"> during winter and five homes during summer</w:t>
      </w:r>
      <w:r w:rsidRPr="00582018">
        <w:rPr>
          <w:rFonts w:ascii="Arial Unicode MS" w:eastAsia="Arial Unicode MS" w:hAnsi="Arial Unicode MS" w:cs="Arial Unicode MS"/>
          <w:sz w:val="20"/>
        </w:rPr>
        <w:t xml:space="preserve">. Furthermore, the presence of SBS symptoms in two of the case study homes suggests problems with indoor air quality. The cause of these symptoms however is not clear, thus further investigation may be required. </w:t>
      </w:r>
    </w:p>
    <w:p w:rsidR="00582018" w:rsidRPr="00582018" w:rsidRDefault="00582018" w:rsidP="00582018">
      <w:pPr>
        <w:pStyle w:val="06BodyMaintext"/>
        <w:spacing w:line="240" w:lineRule="auto"/>
        <w:ind w:firstLine="0"/>
        <w:rPr>
          <w:rFonts w:ascii="Arial Unicode MS" w:eastAsia="Arial Unicode MS" w:hAnsi="Arial Unicode MS" w:cs="Arial Unicode MS"/>
          <w:sz w:val="20"/>
        </w:rPr>
      </w:pPr>
    </w:p>
    <w:p w:rsidR="00582018" w:rsidRDefault="00582018" w:rsidP="00582018">
      <w:pPr>
        <w:pStyle w:val="06BodyMaintext"/>
        <w:spacing w:line="240" w:lineRule="auto"/>
        <w:ind w:firstLine="0"/>
        <w:rPr>
          <w:rFonts w:ascii="Arial Unicode MS" w:eastAsia="Arial Unicode MS" w:hAnsi="Arial Unicode MS" w:cs="Arial Unicode MS"/>
          <w:sz w:val="20"/>
        </w:rPr>
      </w:pPr>
      <w:r w:rsidRPr="00582018">
        <w:rPr>
          <w:rFonts w:ascii="Arial Unicode MS" w:eastAsia="Arial Unicode MS" w:hAnsi="Arial Unicode MS" w:cs="Arial Unicode MS"/>
          <w:sz w:val="20"/>
        </w:rPr>
        <w:t xml:space="preserve">The case study homes are compliant with Code for Sustainable Home’s level 4, with energy aspects equivalent to level 5. The Code for Sustainable homes provides a step change to meet </w:t>
      </w:r>
      <w:r w:rsidR="00BD3C9F">
        <w:rPr>
          <w:rFonts w:ascii="Arial Unicode MS" w:eastAsia="Arial Unicode MS" w:hAnsi="Arial Unicode MS" w:cs="Arial Unicode MS"/>
          <w:sz w:val="20"/>
        </w:rPr>
        <w:t>zero carbon by 2016, thus will “</w:t>
      </w:r>
      <w:r w:rsidRPr="00582018">
        <w:rPr>
          <w:rFonts w:ascii="Arial Unicode MS" w:eastAsia="Arial Unicode MS" w:hAnsi="Arial Unicode MS" w:cs="Arial Unicode MS"/>
          <w:sz w:val="20"/>
        </w:rPr>
        <w:t>form the basis for future developments of the Building Regulations in relation to carbon emission</w:t>
      </w:r>
      <w:r w:rsidR="00BD3C9F">
        <w:rPr>
          <w:rFonts w:ascii="Arial Unicode MS" w:eastAsia="Arial Unicode MS" w:hAnsi="Arial Unicode MS" w:cs="Arial Unicode MS"/>
          <w:sz w:val="20"/>
        </w:rPr>
        <w:t>s from, and energy use in homes</w:t>
      </w:r>
      <w:r w:rsidR="00BD3C9F" w:rsidRPr="00BD3C9F">
        <w:rPr>
          <w:rFonts w:ascii="Arial Unicode MS" w:eastAsia="Arial Unicode MS" w:hAnsi="Arial Unicode MS" w:cs="Arial Unicode MS"/>
          <w:sz w:val="20"/>
        </w:rPr>
        <w:t>”</w:t>
      </w:r>
      <w:r w:rsidRPr="00BD3C9F">
        <w:rPr>
          <w:rFonts w:ascii="Arial Unicode MS" w:eastAsia="Arial Unicode MS" w:hAnsi="Arial Unicode MS" w:cs="Arial Unicode MS"/>
          <w:sz w:val="20"/>
        </w:rPr>
        <w:t xml:space="preserve"> </w:t>
      </w:r>
      <w:r w:rsidR="007F40FF" w:rsidRPr="00BD3C9F">
        <w:rPr>
          <w:rFonts w:ascii="Arial Unicode MS" w:eastAsia="Arial Unicode MS" w:hAnsi="Arial Unicode MS" w:cs="Arial Unicode MS"/>
          <w:sz w:val="20"/>
        </w:rPr>
        <w:fldChar w:fldCharType="begin"/>
      </w:r>
      <w:r w:rsidR="00000E26" w:rsidRPr="00BD3C9F">
        <w:rPr>
          <w:rFonts w:ascii="Arial Unicode MS" w:eastAsia="Arial Unicode MS" w:hAnsi="Arial Unicode MS" w:cs="Arial Unicode MS"/>
          <w:sz w:val="20"/>
        </w:rPr>
        <w:instrText>ADDIN RW.CITE{{494 DepartmentofCommunitiesandLocalGovernment 2006}}</w:instrText>
      </w:r>
      <w:r w:rsidR="007F40FF" w:rsidRPr="00BD3C9F">
        <w:rPr>
          <w:rFonts w:ascii="Arial Unicode MS" w:eastAsia="Arial Unicode MS" w:hAnsi="Arial Unicode MS" w:cs="Arial Unicode MS"/>
          <w:sz w:val="20"/>
        </w:rPr>
        <w:fldChar w:fldCharType="separate"/>
      </w:r>
      <w:r w:rsidR="00AF0C6D" w:rsidRPr="00AF0C6D">
        <w:rPr>
          <w:rFonts w:ascii="Arial Unicode MS" w:eastAsia="Arial Unicode MS" w:hAnsi="Arial Unicode MS" w:cs="Arial Unicode MS"/>
          <w:sz w:val="20"/>
        </w:rPr>
        <w:t>(Department of Communities and Local Government</w:t>
      </w:r>
      <w:r w:rsidR="00657189">
        <w:rPr>
          <w:rFonts w:ascii="Arial Unicode MS" w:eastAsia="Arial Unicode MS" w:hAnsi="Arial Unicode MS" w:cs="Arial Unicode MS"/>
          <w:sz w:val="20"/>
        </w:rPr>
        <w:t>,</w:t>
      </w:r>
      <w:r w:rsidR="00AF0C6D" w:rsidRPr="00AF0C6D">
        <w:rPr>
          <w:rFonts w:ascii="Arial Unicode MS" w:eastAsia="Arial Unicode MS" w:hAnsi="Arial Unicode MS" w:cs="Arial Unicode MS"/>
          <w:sz w:val="20"/>
        </w:rPr>
        <w:t xml:space="preserve"> 2006)</w:t>
      </w:r>
      <w:r w:rsidR="007F40FF" w:rsidRPr="00BD3C9F">
        <w:rPr>
          <w:rFonts w:ascii="Arial Unicode MS" w:eastAsia="Arial Unicode MS" w:hAnsi="Arial Unicode MS" w:cs="Arial Unicode MS"/>
          <w:sz w:val="20"/>
        </w:rPr>
        <w:fldChar w:fldCharType="end"/>
      </w:r>
      <w:r w:rsidRPr="00BD3C9F">
        <w:rPr>
          <w:rFonts w:ascii="Arial Unicode MS" w:eastAsia="Arial Unicode MS" w:hAnsi="Arial Unicode MS" w:cs="Arial Unicode MS"/>
          <w:sz w:val="20"/>
        </w:rPr>
        <w:t>.</w:t>
      </w:r>
      <w:r w:rsidRPr="00582018">
        <w:rPr>
          <w:rFonts w:ascii="Arial Unicode MS" w:eastAsia="Arial Unicode MS" w:hAnsi="Arial Unicode MS" w:cs="Arial Unicode MS"/>
          <w:sz w:val="20"/>
        </w:rPr>
        <w:t xml:space="preserve"> The findings from this study suggest the Code for Sustainable Homes rating system does not adequately satisfy indoor air quality requirements. In fact, the code does not directly address any issue regarding indoor air quality. This is particularly alarming and suggests the need for significant improvements to the assessment tool in order to ensure the protection of occupant health in low energy dwellings.</w:t>
      </w:r>
    </w:p>
    <w:p w:rsidR="00C9764D" w:rsidRDefault="00C9764D" w:rsidP="00C574B2">
      <w:pPr>
        <w:pStyle w:val="Heading10"/>
        <w:numPr>
          <w:ilvl w:val="0"/>
          <w:numId w:val="15"/>
        </w:numPr>
      </w:pPr>
      <w:r w:rsidRPr="00B5675D">
        <w:t>Conclusion</w:t>
      </w:r>
      <w:r w:rsidR="004941C4" w:rsidRPr="00B5675D">
        <w:t>s</w:t>
      </w:r>
    </w:p>
    <w:p w:rsidR="00582018" w:rsidRPr="00582018" w:rsidRDefault="00582018" w:rsidP="00582018">
      <w:pPr>
        <w:pStyle w:val="06BodyMaintext"/>
        <w:spacing w:line="240" w:lineRule="auto"/>
        <w:ind w:firstLine="0"/>
        <w:rPr>
          <w:rFonts w:ascii="Arial Unicode MS" w:eastAsia="Arial Unicode MS" w:hAnsi="Arial Unicode MS" w:cs="Arial Unicode MS"/>
          <w:sz w:val="20"/>
        </w:rPr>
      </w:pPr>
      <w:r w:rsidRPr="00582018">
        <w:rPr>
          <w:rFonts w:ascii="Arial Unicode MS" w:eastAsia="Arial Unicode MS" w:hAnsi="Arial Unicode MS" w:cs="Arial Unicode MS"/>
          <w:sz w:val="20"/>
        </w:rPr>
        <w:t xml:space="preserve">This study investigated the indoor air quality of energy efficient case study homes in the UK during the winter </w:t>
      </w:r>
      <w:r w:rsidR="00245C7A">
        <w:rPr>
          <w:rFonts w:ascii="Arial Unicode MS" w:eastAsia="Arial Unicode MS" w:hAnsi="Arial Unicode MS" w:cs="Arial Unicode MS"/>
          <w:sz w:val="20"/>
        </w:rPr>
        <w:t xml:space="preserve">and summer </w:t>
      </w:r>
      <w:r w:rsidRPr="00582018">
        <w:rPr>
          <w:rFonts w:ascii="Arial Unicode MS" w:eastAsia="Arial Unicode MS" w:hAnsi="Arial Unicode MS" w:cs="Arial Unicode MS"/>
          <w:sz w:val="20"/>
        </w:rPr>
        <w:t>months. The results of the sampling suggest high levels of carbon dioxide, relative humidity</w:t>
      </w:r>
      <w:r w:rsidR="00245C7A">
        <w:rPr>
          <w:rFonts w:ascii="Arial Unicode MS" w:eastAsia="Arial Unicode MS" w:hAnsi="Arial Unicode MS" w:cs="Arial Unicode MS"/>
          <w:sz w:val="20"/>
        </w:rPr>
        <w:t>, formaldehyde and summer time temperatures</w:t>
      </w:r>
      <w:r w:rsidRPr="00582018">
        <w:rPr>
          <w:rFonts w:ascii="Arial Unicode MS" w:eastAsia="Arial Unicode MS" w:hAnsi="Arial Unicode MS" w:cs="Arial Unicode MS"/>
          <w:sz w:val="20"/>
        </w:rPr>
        <w:t xml:space="preserve">. Occupant interviews found concerns with perceived indoor air quality and thermal comfort, occupant engagement with the ventilation system, the use of purge ventilation, prevalence of drying clothes indoors, presence of sick building syndrome symptoms and issues with overheating. Further research is required to identify the extent of this problem in energy efficient homes in the UK, since data of this kind is essentially lacking. </w:t>
      </w:r>
    </w:p>
    <w:p w:rsidR="00582018" w:rsidRPr="00582018" w:rsidRDefault="00582018" w:rsidP="00582018">
      <w:pPr>
        <w:pStyle w:val="06BodyMaintext"/>
        <w:spacing w:line="240" w:lineRule="auto"/>
        <w:ind w:firstLine="0"/>
        <w:rPr>
          <w:rFonts w:ascii="Arial Unicode MS" w:eastAsia="Arial Unicode MS" w:hAnsi="Arial Unicode MS" w:cs="Arial Unicode MS"/>
          <w:sz w:val="20"/>
        </w:rPr>
      </w:pPr>
    </w:p>
    <w:p w:rsidR="00582018" w:rsidRDefault="00582018" w:rsidP="00245C7A">
      <w:pPr>
        <w:pStyle w:val="06BodyMaintext"/>
        <w:spacing w:line="240" w:lineRule="auto"/>
        <w:ind w:firstLine="0"/>
        <w:rPr>
          <w:rFonts w:ascii="Arial Unicode MS" w:eastAsia="Arial Unicode MS" w:hAnsi="Arial Unicode MS" w:cs="Arial Unicode MS"/>
          <w:sz w:val="20"/>
        </w:rPr>
      </w:pPr>
      <w:r w:rsidRPr="00582018">
        <w:rPr>
          <w:rFonts w:ascii="Arial Unicode MS" w:eastAsia="Arial Unicode MS" w:hAnsi="Arial Unicode MS" w:cs="Arial Unicode MS"/>
          <w:sz w:val="20"/>
        </w:rPr>
        <w:t>The case study dwellings are considered an innovative exam</w:t>
      </w:r>
      <w:r w:rsidRPr="00582018">
        <w:rPr>
          <w:rFonts w:ascii="Arial Unicode MS" w:eastAsia="Arial Unicode MS" w:hAnsi="Arial Unicode MS" w:cs="Arial Unicode MS"/>
          <w:color w:val="000000" w:themeColor="text1"/>
          <w:sz w:val="20"/>
        </w:rPr>
        <w:t>p</w:t>
      </w:r>
      <w:r w:rsidRPr="00582018">
        <w:rPr>
          <w:rFonts w:ascii="Arial Unicode MS" w:eastAsia="Arial Unicode MS" w:hAnsi="Arial Unicode MS" w:cs="Arial Unicode MS"/>
          <w:sz w:val="20"/>
        </w:rPr>
        <w:t>le of energy efficient building design. While these homes substantially reduce energy demand and carbon emissions, there is still significant research required to ensure indoor air quality is not sacrificed as a result. It is hoped that this information may be used to aid the design of effective sustainable residential buildings that consider not only energy efficiency, but also adequately address occupant health and expo</w:t>
      </w:r>
      <w:r w:rsidR="00245C7A">
        <w:rPr>
          <w:rFonts w:ascii="Arial Unicode MS" w:eastAsia="Arial Unicode MS" w:hAnsi="Arial Unicode MS" w:cs="Arial Unicode MS"/>
          <w:sz w:val="20"/>
        </w:rPr>
        <w:t xml:space="preserve">sure to indoor air pollutants. </w:t>
      </w:r>
    </w:p>
    <w:p w:rsidR="00A43625" w:rsidRDefault="00A43625" w:rsidP="00A43625">
      <w:pPr>
        <w:pStyle w:val="06BodyMaintext"/>
        <w:spacing w:before="240" w:after="240" w:line="240" w:lineRule="auto"/>
        <w:ind w:firstLine="0"/>
        <w:rPr>
          <w:rFonts w:ascii="Arial Unicode MS" w:eastAsia="Arial Unicode MS" w:hAnsi="Arial Unicode MS" w:cs="Arial Unicode MS"/>
          <w:sz w:val="20"/>
        </w:rPr>
      </w:pPr>
    </w:p>
    <w:p w:rsidR="00A43625" w:rsidRPr="00245C7A" w:rsidRDefault="00A43625" w:rsidP="00A43625">
      <w:pPr>
        <w:pStyle w:val="06BodyMaintext"/>
        <w:spacing w:before="240" w:after="240" w:line="240" w:lineRule="auto"/>
        <w:ind w:firstLine="0"/>
        <w:rPr>
          <w:rFonts w:ascii="Arial Unicode MS" w:eastAsia="Arial Unicode MS" w:hAnsi="Arial Unicode MS" w:cs="Arial Unicode MS"/>
          <w:sz w:val="20"/>
        </w:rPr>
      </w:pPr>
    </w:p>
    <w:p w:rsidR="00C9764D" w:rsidRDefault="00C9764D" w:rsidP="00C574B2">
      <w:pPr>
        <w:pStyle w:val="Heading10"/>
        <w:numPr>
          <w:ilvl w:val="0"/>
          <w:numId w:val="15"/>
        </w:numPr>
      </w:pPr>
      <w:r w:rsidRPr="003F5352">
        <w:t>References</w:t>
      </w:r>
    </w:p>
    <w:p w:rsidR="00657189" w:rsidRPr="00657189" w:rsidRDefault="007F40FF" w:rsidP="00657189">
      <w:pPr>
        <w:pStyle w:val="NormalWeb"/>
        <w:ind w:left="450" w:hanging="450"/>
        <w:rPr>
          <w:rFonts w:ascii="Arial Unicode MS" w:eastAsia="Arial Unicode MS" w:hAnsi="Arial Unicode MS" w:cs="Arial Unicode MS"/>
          <w:sz w:val="20"/>
        </w:rPr>
      </w:pPr>
      <w:r>
        <w:fldChar w:fldCharType="begin"/>
      </w:r>
      <w:r w:rsidR="00657189">
        <w:instrText>ADDIN RW.BIB</w:instrText>
      </w:r>
      <w:r>
        <w:fldChar w:fldCharType="separate"/>
      </w:r>
      <w:r w:rsidR="00657189" w:rsidRPr="00657189">
        <w:rPr>
          <w:rFonts w:ascii="Arial Unicode MS" w:eastAsia="Arial Unicode MS" w:hAnsi="Arial Unicode MS" w:cs="Arial Unicode MS"/>
          <w:sz w:val="20"/>
        </w:rPr>
        <w:t xml:space="preserve">Agle, E. &amp; Galbraith, S. 1991, </w:t>
      </w:r>
      <w:r w:rsidR="00657189" w:rsidRPr="00657189">
        <w:rPr>
          <w:rFonts w:ascii="Arial Unicode MS" w:eastAsia="Arial Unicode MS" w:hAnsi="Arial Unicode MS" w:cs="Arial Unicode MS"/>
          <w:i/>
          <w:iCs/>
          <w:sz w:val="20"/>
        </w:rPr>
        <w:t xml:space="preserve">Building Air Quality: A Guide for Building Owners and Facility Managers. </w:t>
      </w:r>
      <w:r w:rsidR="00657189" w:rsidRPr="00657189">
        <w:rPr>
          <w:rFonts w:ascii="Arial Unicode MS" w:eastAsia="Arial Unicode MS" w:hAnsi="Arial Unicode MS" w:cs="Arial Unicode MS"/>
          <w:sz w:val="20"/>
        </w:rPr>
        <w:t>ERIC.</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ASHRAE 2010, </w:t>
      </w:r>
      <w:r w:rsidRPr="00657189">
        <w:rPr>
          <w:rFonts w:ascii="Arial Unicode MS" w:eastAsia="Arial Unicode MS" w:hAnsi="Arial Unicode MS" w:cs="Arial Unicode MS"/>
          <w:i/>
          <w:iCs/>
          <w:sz w:val="20"/>
        </w:rPr>
        <w:t>Ventilation for acceptable indoor air quality, ANSI/ ASHRAE standard 62.1-2010. Atlanta, GA: American Society of Heating, Refrigerating and Ai</w:t>
      </w:r>
      <w:r>
        <w:rPr>
          <w:rFonts w:ascii="Arial Unicode MS" w:eastAsia="Arial Unicode MS" w:hAnsi="Arial Unicode MS" w:cs="Arial Unicode MS"/>
          <w:i/>
          <w:iCs/>
          <w:sz w:val="20"/>
        </w:rPr>
        <w:t>r Conditioning Engineers</w:t>
      </w:r>
      <w:r w:rsidRPr="00657189">
        <w:rPr>
          <w:rFonts w:ascii="Arial Unicode MS" w:eastAsia="Arial Unicode MS" w:hAnsi="Arial Unicode MS" w:cs="Arial Unicode MS"/>
          <w:i/>
          <w:iCs/>
          <w:sz w:val="20"/>
        </w:rPr>
        <w:t> </w:t>
      </w:r>
      <w:r w:rsidRPr="00657189">
        <w:rPr>
          <w:rFonts w:ascii="Arial Unicode MS" w:eastAsia="Arial Unicode MS" w:hAnsi="Arial Unicode MS" w:cs="Arial Unicode MS"/>
          <w:sz w:val="20"/>
        </w:rPr>
        <w:t>.</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Berry, R.W., Brown, V.M., Coward, S.K.D., Crump, D.R., Gavin, M., Grimes, C.P., Higham, D.F., Hull, A.V., Hunter, C.A., Jeffery, I.G., Lea, R.G., Llewellyn, J.W. &amp; Raw, G.J. 1996, </w:t>
      </w:r>
      <w:r w:rsidRPr="00657189">
        <w:rPr>
          <w:rFonts w:ascii="Arial Unicode MS" w:eastAsia="Arial Unicode MS" w:hAnsi="Arial Unicode MS" w:cs="Arial Unicode MS"/>
          <w:i/>
          <w:iCs/>
          <w:sz w:val="20"/>
        </w:rPr>
        <w:t xml:space="preserve">Indoor air quality in homes Part 2: Annexes, The Building Research Establishment Indoor Environment Study, </w:t>
      </w:r>
      <w:r w:rsidRPr="00657189">
        <w:rPr>
          <w:rFonts w:ascii="Arial Unicode MS" w:eastAsia="Arial Unicode MS" w:hAnsi="Arial Unicode MS" w:cs="Arial Unicode MS"/>
          <w:sz w:val="20"/>
        </w:rPr>
        <w:t>BRE Press, Watford.</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Bone, A., Murray, V., Myers, I., Dengel, A. &amp; Crump, D. 2010, "Will drivers for home energy efficiency harm occupant health", </w:t>
      </w:r>
      <w:r w:rsidRPr="00657189">
        <w:rPr>
          <w:rFonts w:ascii="Arial Unicode MS" w:eastAsia="Arial Unicode MS" w:hAnsi="Arial Unicode MS" w:cs="Arial Unicode MS"/>
          <w:i/>
          <w:iCs/>
          <w:sz w:val="20"/>
        </w:rPr>
        <w:t xml:space="preserve">Perspect. Public Health, </w:t>
      </w:r>
      <w:r w:rsidRPr="00657189">
        <w:rPr>
          <w:rFonts w:ascii="Arial Unicode MS" w:eastAsia="Arial Unicode MS" w:hAnsi="Arial Unicode MS" w:cs="Arial Unicode MS"/>
          <w:sz w:val="20"/>
        </w:rPr>
        <w:t>vol. 130, no. 5, pp. 233-238.</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Building Research Establishment 2006, </w:t>
      </w:r>
      <w:r w:rsidRPr="00657189">
        <w:rPr>
          <w:rFonts w:ascii="Arial Unicode MS" w:eastAsia="Arial Unicode MS" w:hAnsi="Arial Unicode MS" w:cs="Arial Unicode MS"/>
          <w:i/>
          <w:iCs/>
          <w:sz w:val="20"/>
        </w:rPr>
        <w:t xml:space="preserve">Energy efficient ventilation in dwellings: A guide for specifiers, GPG268, </w:t>
      </w:r>
      <w:r w:rsidRPr="00657189">
        <w:rPr>
          <w:rFonts w:ascii="Arial Unicode MS" w:eastAsia="Arial Unicode MS" w:hAnsi="Arial Unicode MS" w:cs="Arial Unicode MS"/>
          <w:sz w:val="20"/>
        </w:rPr>
        <w:t>Energy Saving Trust, London.</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Burge, P., Robertson, A. &amp; Hedge, A. 1990, "Validation of self-administered questionnaire in the diagnosis of sick building syndrome", </w:t>
      </w:r>
      <w:r w:rsidRPr="00657189">
        <w:rPr>
          <w:rFonts w:ascii="Arial Unicode MS" w:eastAsia="Arial Unicode MS" w:hAnsi="Arial Unicode MS" w:cs="Arial Unicode MS"/>
          <w:i/>
          <w:iCs/>
          <w:sz w:val="20"/>
        </w:rPr>
        <w:t xml:space="preserve">Indoor air, </w:t>
      </w:r>
      <w:r w:rsidRPr="00657189">
        <w:rPr>
          <w:rFonts w:ascii="Arial Unicode MS" w:eastAsia="Arial Unicode MS" w:hAnsi="Arial Unicode MS" w:cs="Arial Unicode MS"/>
          <w:sz w:val="20"/>
        </w:rPr>
        <w:t>vol. 90, no. 1, pp. 575-581.</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Burge, S., Robertson, A. &amp; Hedge, A. 1993, "The development of a questionnaire suitable for the surveillance of office buildings to assess the building symptom index a measure of the sick building syndrome", </w:t>
      </w:r>
      <w:r w:rsidRPr="00657189">
        <w:rPr>
          <w:rFonts w:ascii="Arial Unicode MS" w:eastAsia="Arial Unicode MS" w:hAnsi="Arial Unicode MS" w:cs="Arial Unicode MS"/>
          <w:i/>
          <w:iCs/>
          <w:sz w:val="20"/>
        </w:rPr>
        <w:t xml:space="preserve">Indoor air, </w:t>
      </w:r>
      <w:r w:rsidRPr="00657189">
        <w:rPr>
          <w:rFonts w:ascii="Arial Unicode MS" w:eastAsia="Arial Unicode MS" w:hAnsi="Arial Unicode MS" w:cs="Arial Unicode MS"/>
          <w:sz w:val="20"/>
        </w:rPr>
        <w:t>vol. 93, pp. 731-736.</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Clausen, G., De Oliveira Fernandes, E., De Gids, W., Delmotte, C., Hanssen, S.O., Kephalopoulos, S., Lemaire, M., Lindvall, T., Nicol, F., Santamouris, M., Seppanen, O., J M Van Den Bogaard, Cor., Wilson, M. &amp; Wouters, P. 2003, </w:t>
      </w:r>
      <w:r w:rsidRPr="00657189">
        <w:rPr>
          <w:rFonts w:ascii="Arial Unicode MS" w:eastAsia="Arial Unicode MS" w:hAnsi="Arial Unicode MS" w:cs="Arial Unicode MS"/>
          <w:i/>
          <w:iCs/>
          <w:sz w:val="20"/>
        </w:rPr>
        <w:t>Ventilation, Good Indoor Air Quality and Rational Use of Energy, Environment and quality of life, European Commission; Luxembourg,</w:t>
      </w:r>
      <w:r>
        <w:rPr>
          <w:rFonts w:ascii="Arial Unicode MS" w:eastAsia="Arial Unicode MS" w:hAnsi="Arial Unicode MS" w:cs="Arial Unicode MS"/>
          <w:i/>
          <w:iCs/>
          <w:sz w:val="20"/>
        </w:rPr>
        <w:t xml:space="preserve"> Report No.23, EUR 20741</w:t>
      </w:r>
      <w:r w:rsidRPr="00657189">
        <w:rPr>
          <w:rFonts w:ascii="Arial Unicode MS" w:eastAsia="Arial Unicode MS" w:hAnsi="Arial Unicode MS" w:cs="Arial Unicode MS"/>
          <w:i/>
          <w:iCs/>
          <w:sz w:val="20"/>
        </w:rPr>
        <w:t> </w:t>
      </w:r>
      <w:r w:rsidRPr="00657189">
        <w:rPr>
          <w:rFonts w:ascii="Arial Unicode MS" w:eastAsia="Arial Unicode MS" w:hAnsi="Arial Unicode MS" w:cs="Arial Unicode MS"/>
          <w:sz w:val="20"/>
        </w:rPr>
        <w:t>.</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Crook, B., Burton, N.C., Crook, B. &amp; Burton, N.C. 2010, "Indoor moulds, Sick Building Syndrome and building related illness", </w:t>
      </w:r>
      <w:r w:rsidRPr="00657189">
        <w:rPr>
          <w:rFonts w:ascii="Arial Unicode MS" w:eastAsia="Arial Unicode MS" w:hAnsi="Arial Unicode MS" w:cs="Arial Unicode MS"/>
          <w:i/>
          <w:iCs/>
          <w:sz w:val="20"/>
        </w:rPr>
        <w:t xml:space="preserve">Fungal Biology Reviews, </w:t>
      </w:r>
      <w:r w:rsidRPr="00657189">
        <w:rPr>
          <w:rFonts w:ascii="Arial Unicode MS" w:eastAsia="Arial Unicode MS" w:hAnsi="Arial Unicode MS" w:cs="Arial Unicode MS"/>
          <w:sz w:val="20"/>
        </w:rPr>
        <w:t>vol. 24, no. 3-4, pp. 106-113.</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Davis, I. &amp; Harvey, V. 2008, </w:t>
      </w:r>
      <w:r w:rsidRPr="00657189">
        <w:rPr>
          <w:rFonts w:ascii="Arial Unicode MS" w:eastAsia="Arial Unicode MS" w:hAnsi="Arial Unicode MS" w:cs="Arial Unicode MS"/>
          <w:i/>
          <w:iCs/>
          <w:sz w:val="20"/>
        </w:rPr>
        <w:t xml:space="preserve">Zero Carbon: What Does it Mean to Homeowners and Housebuilders (NF9), </w:t>
      </w:r>
      <w:r w:rsidRPr="00657189">
        <w:rPr>
          <w:rFonts w:ascii="Arial Unicode MS" w:eastAsia="Arial Unicode MS" w:hAnsi="Arial Unicode MS" w:cs="Arial Unicode MS"/>
          <w:sz w:val="20"/>
        </w:rPr>
        <w:t>NHBC Foundation, Bucks.</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DEFRA 2007, </w:t>
      </w:r>
      <w:r w:rsidRPr="00657189">
        <w:rPr>
          <w:rFonts w:ascii="Arial Unicode MS" w:eastAsia="Arial Unicode MS" w:hAnsi="Arial Unicode MS" w:cs="Arial Unicode MS"/>
          <w:i/>
          <w:iCs/>
          <w:sz w:val="20"/>
        </w:rPr>
        <w:t>, Climate Change Bill Summary</w:t>
      </w:r>
      <w:r w:rsidRPr="00657189">
        <w:rPr>
          <w:rFonts w:ascii="Arial Unicode MS" w:eastAsia="Arial Unicode MS" w:hAnsi="Arial Unicode MS" w:cs="Arial Unicode MS"/>
          <w:sz w:val="20"/>
        </w:rPr>
        <w:t xml:space="preserve">. Available: </w:t>
      </w:r>
      <w:hyperlink r:id="rId15" w:tgtFrame="_blank" w:history="1">
        <w:r w:rsidRPr="00657189">
          <w:rPr>
            <w:rStyle w:val="Hyperlink"/>
            <w:rFonts w:ascii="Arial Unicode MS" w:eastAsia="Arial Unicode MS" w:hAnsi="Arial Unicode MS" w:cs="Arial Unicode MS"/>
            <w:sz w:val="20"/>
          </w:rPr>
          <w:t>http://webarchive.nationalarchives.gov.uk/20130123162956/http:/www.defra.gov.uk/environment/climatechange/uk/legislation/pdf/CCBill-summary.pdf</w:t>
        </w:r>
      </w:hyperlink>
      <w:r w:rsidRPr="00657189">
        <w:rPr>
          <w:rFonts w:ascii="Arial Unicode MS" w:eastAsia="Arial Unicode MS" w:hAnsi="Arial Unicode MS" w:cs="Arial Unicode MS"/>
          <w:sz w:val="20"/>
        </w:rPr>
        <w:t xml:space="preserve"> [2014, 02/11].</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Department of Communities and Local Government 2006, </w:t>
      </w:r>
      <w:r w:rsidRPr="00657189">
        <w:rPr>
          <w:rFonts w:ascii="Arial Unicode MS" w:eastAsia="Arial Unicode MS" w:hAnsi="Arial Unicode MS" w:cs="Arial Unicode MS"/>
          <w:i/>
          <w:iCs/>
          <w:sz w:val="20"/>
        </w:rPr>
        <w:t>Code for Sustainable Homes: A step change in sustainable home building practice</w:t>
      </w:r>
      <w:r w:rsidRPr="00657189">
        <w:rPr>
          <w:rFonts w:ascii="Arial Unicode MS" w:eastAsia="Arial Unicode MS" w:hAnsi="Arial Unicode MS" w:cs="Arial Unicode MS"/>
          <w:sz w:val="20"/>
        </w:rPr>
        <w:t>, Communities and Local Government Publications, London.</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DFPNI (Department of Finance and Personnel NI) 2012, </w:t>
      </w:r>
      <w:r w:rsidRPr="00657189">
        <w:rPr>
          <w:rFonts w:ascii="Arial Unicode MS" w:eastAsia="Arial Unicode MS" w:hAnsi="Arial Unicode MS" w:cs="Arial Unicode MS"/>
          <w:i/>
          <w:iCs/>
          <w:sz w:val="20"/>
        </w:rPr>
        <w:t>Building Regulations (Northern Ireland) Guidance, Technical Booklet F1, Conservation of fuel and power in dwellings, DFPN</w:t>
      </w:r>
      <w:r>
        <w:rPr>
          <w:rFonts w:ascii="Arial Unicode MS" w:eastAsia="Arial Unicode MS" w:hAnsi="Arial Unicode MS" w:cs="Arial Unicode MS"/>
          <w:i/>
          <w:iCs/>
          <w:sz w:val="20"/>
        </w:rPr>
        <w:t>I publications, October </w:t>
      </w:r>
      <w:r w:rsidRPr="00657189">
        <w:rPr>
          <w:rFonts w:ascii="Arial Unicode MS" w:eastAsia="Arial Unicode MS" w:hAnsi="Arial Unicode MS" w:cs="Arial Unicode MS"/>
          <w:sz w:val="20"/>
        </w:rPr>
        <w:t>.</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Dimitroulopoulou, C. 2012, "Ventilation in European dwellings: A review", </w:t>
      </w:r>
      <w:r w:rsidRPr="00657189">
        <w:rPr>
          <w:rFonts w:ascii="Arial Unicode MS" w:eastAsia="Arial Unicode MS" w:hAnsi="Arial Unicode MS" w:cs="Arial Unicode MS"/>
          <w:i/>
          <w:iCs/>
          <w:sz w:val="20"/>
        </w:rPr>
        <w:t xml:space="preserve">Building and Environment, </w:t>
      </w:r>
      <w:r w:rsidRPr="00657189">
        <w:rPr>
          <w:rFonts w:ascii="Arial Unicode MS" w:eastAsia="Arial Unicode MS" w:hAnsi="Arial Unicode MS" w:cs="Arial Unicode MS"/>
          <w:sz w:val="20"/>
        </w:rPr>
        <w:t>vol. 47, pp. 109-125.</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Eick, S.A. &amp; Richardson, G. 2011, "Investigation of different approaches to reduce allergens in asthmatic children's homes — The Breath of Fresh Air Project, Cornwall, United Kingdom", </w:t>
      </w:r>
      <w:r w:rsidRPr="00657189">
        <w:rPr>
          <w:rFonts w:ascii="Arial Unicode MS" w:eastAsia="Arial Unicode MS" w:hAnsi="Arial Unicode MS" w:cs="Arial Unicode MS"/>
          <w:i/>
          <w:iCs/>
          <w:sz w:val="20"/>
        </w:rPr>
        <w:t xml:space="preserve">Science of The Total Environment, </w:t>
      </w:r>
      <w:r w:rsidRPr="00657189">
        <w:rPr>
          <w:rFonts w:ascii="Arial Unicode MS" w:eastAsia="Arial Unicode MS" w:hAnsi="Arial Unicode MS" w:cs="Arial Unicode MS"/>
          <w:sz w:val="20"/>
        </w:rPr>
        <w:t>vol. 409, no. 19, pp. 3628-3633.</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Energy Saving Trust 2007, </w:t>
      </w:r>
      <w:r w:rsidRPr="00657189">
        <w:rPr>
          <w:rFonts w:ascii="Arial Unicode MS" w:eastAsia="Arial Unicode MS" w:hAnsi="Arial Unicode MS" w:cs="Arial Unicode MS"/>
          <w:i/>
          <w:iCs/>
          <w:sz w:val="20"/>
        </w:rPr>
        <w:t>Achieving airtightness in new dwellings: case studies, London: Energy Saving Trust</w:t>
      </w:r>
      <w:r w:rsidRPr="00657189">
        <w:rPr>
          <w:rFonts w:ascii="Arial Unicode MS" w:eastAsia="Arial Unicode MS" w:hAnsi="Arial Unicode MS" w:cs="Arial Unicode MS"/>
          <w:sz w:val="20"/>
        </w:rPr>
        <w:t>.</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German Working Group on Indoor Guideline Values of the Federal Environmental Agency and the State’s Health Authority 2008, </w:t>
      </w:r>
      <w:r w:rsidRPr="00657189">
        <w:rPr>
          <w:rFonts w:ascii="Arial Unicode MS" w:eastAsia="Arial Unicode MS" w:hAnsi="Arial Unicode MS" w:cs="Arial Unicode MS"/>
          <w:i/>
          <w:iCs/>
          <w:sz w:val="20"/>
        </w:rPr>
        <w:t>Health evaluation of carbon dioxide in indoor air | Gesundheitliche Bewertung von Kohlendioxid in der Innenraumluft</w:t>
      </w:r>
      <w:r w:rsidRPr="00657189">
        <w:rPr>
          <w:rFonts w:ascii="Arial Unicode MS" w:eastAsia="Arial Unicode MS" w:hAnsi="Arial Unicode MS" w:cs="Arial Unicode MS"/>
          <w:sz w:val="20"/>
        </w:rPr>
        <w:t>.</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Gilbert, N.L., Guay, M., Gauvin, D., Dietz, R.N., Chan, C.C., Lévesque, B., Gilbert, N.L., Guay, M., Gauvin, D., Dietz, R.N., Chan, C.C. &amp; Lévesque, B. 2008, "Air change rate and concentration of formaldehyde in residential indoor air", </w:t>
      </w:r>
      <w:r w:rsidRPr="00657189">
        <w:rPr>
          <w:rFonts w:ascii="Arial Unicode MS" w:eastAsia="Arial Unicode MS" w:hAnsi="Arial Unicode MS" w:cs="Arial Unicode MS"/>
          <w:i/>
          <w:iCs/>
          <w:sz w:val="20"/>
        </w:rPr>
        <w:t xml:space="preserve">Atmospheric Environment, </w:t>
      </w:r>
      <w:r w:rsidRPr="00657189">
        <w:rPr>
          <w:rFonts w:ascii="Arial Unicode MS" w:eastAsia="Arial Unicode MS" w:hAnsi="Arial Unicode MS" w:cs="Arial Unicode MS"/>
          <w:sz w:val="20"/>
        </w:rPr>
        <w:t>vol. 42, no. 10, pp. 2424-2428.</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HM Government 2008, </w:t>
      </w:r>
      <w:r w:rsidRPr="00657189">
        <w:rPr>
          <w:rFonts w:ascii="Arial Unicode MS" w:eastAsia="Arial Unicode MS" w:hAnsi="Arial Unicode MS" w:cs="Arial Unicode MS"/>
          <w:i/>
          <w:iCs/>
          <w:sz w:val="20"/>
        </w:rPr>
        <w:t>Climate Change Act, Chapter 27</w:t>
      </w:r>
      <w:r w:rsidRPr="00657189">
        <w:rPr>
          <w:rFonts w:ascii="Arial Unicode MS" w:eastAsia="Arial Unicode MS" w:hAnsi="Arial Unicode MS" w:cs="Arial Unicode MS"/>
          <w:sz w:val="20"/>
        </w:rPr>
        <w:t>, Her Majesty's Stationary Office, London.</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Innovation &amp; Growth Team 2010, </w:t>
      </w:r>
      <w:r w:rsidRPr="00657189">
        <w:rPr>
          <w:rFonts w:ascii="Arial Unicode MS" w:eastAsia="Arial Unicode MS" w:hAnsi="Arial Unicode MS" w:cs="Arial Unicode MS"/>
          <w:i/>
          <w:iCs/>
          <w:sz w:val="20"/>
        </w:rPr>
        <w:t>Low Carbon Construction:</w:t>
      </w:r>
      <w:r>
        <w:rPr>
          <w:rFonts w:ascii="Arial Unicode MS" w:eastAsia="Arial Unicode MS" w:hAnsi="Arial Unicode MS" w:cs="Arial Unicode MS"/>
          <w:i/>
          <w:iCs/>
          <w:sz w:val="20"/>
        </w:rPr>
        <w:t xml:space="preserve"> </w:t>
      </w:r>
      <w:r w:rsidRPr="00657189">
        <w:rPr>
          <w:rFonts w:ascii="Arial Unicode MS" w:eastAsia="Arial Unicode MS" w:hAnsi="Arial Unicode MS" w:cs="Arial Unicode MS"/>
          <w:i/>
          <w:iCs/>
          <w:sz w:val="20"/>
        </w:rPr>
        <w:t xml:space="preserve">Final Report, </w:t>
      </w:r>
      <w:r w:rsidRPr="00657189">
        <w:rPr>
          <w:rFonts w:ascii="Arial Unicode MS" w:eastAsia="Arial Unicode MS" w:hAnsi="Arial Unicode MS" w:cs="Arial Unicode MS"/>
          <w:sz w:val="20"/>
        </w:rPr>
        <w:t>HM Gov., London.</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Jaggs, M. &amp; Scivyer, C. 2009, "A Practical Guide to Building Airtight Dwellings</w:t>
      </w:r>
      <w:r>
        <w:rPr>
          <w:rFonts w:ascii="Arial Unicode MS" w:eastAsia="Arial Unicode MS" w:hAnsi="Arial Unicode MS" w:cs="Arial Unicode MS"/>
          <w:sz w:val="20"/>
        </w:rPr>
        <w:t>"</w:t>
      </w:r>
      <w:r w:rsidRPr="00657189">
        <w:rPr>
          <w:rFonts w:ascii="Arial Unicode MS" w:eastAsia="Arial Unicode MS" w:hAnsi="Arial Unicode MS" w:cs="Arial Unicode MS"/>
          <w:sz w:val="20"/>
        </w:rPr>
        <w:t>. NHB</w:t>
      </w:r>
      <w:r>
        <w:rPr>
          <w:rFonts w:ascii="Arial Unicode MS" w:eastAsia="Arial Unicode MS" w:hAnsi="Arial Unicode MS" w:cs="Arial Unicode MS"/>
          <w:sz w:val="20"/>
        </w:rPr>
        <w:t>C Foundation: Bucks, UK, NF 16</w:t>
      </w:r>
      <w:r w:rsidRPr="00657189">
        <w:rPr>
          <w:rFonts w:ascii="Arial Unicode MS" w:eastAsia="Arial Unicode MS" w:hAnsi="Arial Unicode MS" w:cs="Arial Unicode MS"/>
          <w:sz w:val="20"/>
        </w:rPr>
        <w:t>.</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Mardiana-Idayu, A. &amp; Riffat, S.B. 2012, "Review on heat recovery technologies for building applications", </w:t>
      </w:r>
      <w:r w:rsidRPr="00657189">
        <w:rPr>
          <w:rFonts w:ascii="Arial Unicode MS" w:eastAsia="Arial Unicode MS" w:hAnsi="Arial Unicode MS" w:cs="Arial Unicode MS"/>
          <w:i/>
          <w:iCs/>
          <w:sz w:val="20"/>
        </w:rPr>
        <w:t xml:space="preserve">Renewable and Sustainable Energy Reviews, </w:t>
      </w:r>
      <w:r w:rsidRPr="00657189">
        <w:rPr>
          <w:rFonts w:ascii="Arial Unicode MS" w:eastAsia="Arial Unicode MS" w:hAnsi="Arial Unicode MS" w:cs="Arial Unicode MS"/>
          <w:sz w:val="20"/>
        </w:rPr>
        <w:t>vol. 16, no. 2, pp. 1241-1255.</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Menon, R. &amp; Porteous, C. 2012, "Design Guide: Healthy Low Energy Home Laundering", </w:t>
      </w:r>
      <w:r w:rsidRPr="00657189">
        <w:rPr>
          <w:rFonts w:ascii="Arial Unicode MS" w:eastAsia="Arial Unicode MS" w:hAnsi="Arial Unicode MS" w:cs="Arial Unicode MS"/>
          <w:i/>
          <w:iCs/>
          <w:sz w:val="20"/>
        </w:rPr>
        <w:t>MEARU (Mackintosh Environmental Architecture Research Unit), The Glasgow School of Art (</w:t>
      </w:r>
      <w:r>
        <w:rPr>
          <w:rFonts w:ascii="Arial Unicode MS" w:eastAsia="Arial Unicode MS" w:hAnsi="Arial Unicode MS" w:cs="Arial Unicode MS"/>
          <w:i/>
          <w:iCs/>
          <w:sz w:val="20"/>
        </w:rPr>
        <w:t>output from this EPSRC project)</w:t>
      </w:r>
      <w:r w:rsidRPr="00657189">
        <w:rPr>
          <w:rFonts w:ascii="Arial Unicode MS" w:eastAsia="Arial Unicode MS" w:hAnsi="Arial Unicode MS" w:cs="Arial Unicode MS"/>
          <w:i/>
          <w:iCs/>
          <w:sz w:val="20"/>
        </w:rPr>
        <w:t xml:space="preserve"> </w:t>
      </w:r>
      <w:r w:rsidRPr="00657189">
        <w:rPr>
          <w:rFonts w:ascii="Arial Unicode MS" w:eastAsia="Arial Unicode MS" w:hAnsi="Arial Unicode MS" w:cs="Arial Unicode MS"/>
          <w:sz w:val="20"/>
        </w:rPr>
        <w:t>.</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Molina, C., Pickering, C., Valbjoern., O. &amp; Bortoli, M.D. 1989, </w:t>
      </w:r>
      <w:r w:rsidRPr="00657189">
        <w:rPr>
          <w:rFonts w:ascii="Arial Unicode MS" w:eastAsia="Arial Unicode MS" w:hAnsi="Arial Unicode MS" w:cs="Arial Unicode MS"/>
          <w:i/>
          <w:iCs/>
          <w:sz w:val="20"/>
        </w:rPr>
        <w:t>Sick building syndrome: A practical guide, Environment and Quality of Life, European Concerted Action: Indoor Air Quality &amp; it’s Impact on Man, COST Project 613, Report No.4, Luxembourg: Commission of the</w:t>
      </w:r>
      <w:r>
        <w:rPr>
          <w:rFonts w:ascii="Arial Unicode MS" w:eastAsia="Arial Unicode MS" w:hAnsi="Arial Unicode MS" w:cs="Arial Unicode MS"/>
          <w:i/>
          <w:iCs/>
          <w:sz w:val="20"/>
        </w:rPr>
        <w:t xml:space="preserve"> European Communities </w:t>
      </w:r>
      <w:r w:rsidRPr="00657189">
        <w:rPr>
          <w:rFonts w:ascii="Arial Unicode MS" w:eastAsia="Arial Unicode MS" w:hAnsi="Arial Unicode MS" w:cs="Arial Unicode MS"/>
          <w:sz w:val="20"/>
        </w:rPr>
        <w:t>.</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Murphy, M. 2006, </w:t>
      </w:r>
      <w:r w:rsidRPr="00657189">
        <w:rPr>
          <w:rFonts w:ascii="Arial Unicode MS" w:eastAsia="Arial Unicode MS" w:hAnsi="Arial Unicode MS" w:cs="Arial Unicode MS"/>
          <w:i/>
          <w:iCs/>
          <w:sz w:val="20"/>
        </w:rPr>
        <w:t xml:space="preserve">Sick building syndrome and the problem of uncertainty: Environmental politics, technoscience, and women workers, </w:t>
      </w:r>
      <w:r w:rsidRPr="00657189">
        <w:rPr>
          <w:rFonts w:ascii="Arial Unicode MS" w:eastAsia="Arial Unicode MS" w:hAnsi="Arial Unicode MS" w:cs="Arial Unicode MS"/>
          <w:sz w:val="20"/>
        </w:rPr>
        <w:t>Duke University Press.</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Nazaroff, W. 2013, "Exploring the consequences of climate change for indoor air quality", </w:t>
      </w:r>
      <w:r w:rsidRPr="00657189">
        <w:rPr>
          <w:rFonts w:ascii="Arial Unicode MS" w:eastAsia="Arial Unicode MS" w:hAnsi="Arial Unicode MS" w:cs="Arial Unicode MS"/>
          <w:i/>
          <w:iCs/>
          <w:sz w:val="20"/>
        </w:rPr>
        <w:t xml:space="preserve">Environmental Research Letters (ERL), </w:t>
      </w:r>
      <w:r w:rsidRPr="00657189">
        <w:rPr>
          <w:rFonts w:ascii="Arial Unicode MS" w:eastAsia="Arial Unicode MS" w:hAnsi="Arial Unicode MS" w:cs="Arial Unicode MS"/>
          <w:sz w:val="20"/>
        </w:rPr>
        <w:t>vol. 8, no. 1, pp. 1-20.</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NHBC 2009, </w:t>
      </w:r>
      <w:r w:rsidRPr="00657189">
        <w:rPr>
          <w:rFonts w:ascii="Arial Unicode MS" w:eastAsia="Arial Unicode MS" w:hAnsi="Arial Unicode MS" w:cs="Arial Unicode MS"/>
          <w:i/>
          <w:iCs/>
          <w:sz w:val="20"/>
        </w:rPr>
        <w:t>Standards Extra 44, NHBC’s technical newsletter, April 2009, NHBC (National House Building Council), HB2503 04/09</w:t>
      </w:r>
      <w:r w:rsidRPr="00657189">
        <w:rPr>
          <w:rFonts w:ascii="Arial Unicode MS" w:eastAsia="Arial Unicode MS" w:hAnsi="Arial Unicode MS" w:cs="Arial Unicode MS"/>
          <w:sz w:val="20"/>
        </w:rPr>
        <w:t>, NHBC.</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Offermann, F.J. 2009, </w:t>
      </w:r>
      <w:r w:rsidRPr="00657189">
        <w:rPr>
          <w:rFonts w:ascii="Arial Unicode MS" w:eastAsia="Arial Unicode MS" w:hAnsi="Arial Unicode MS" w:cs="Arial Unicode MS"/>
          <w:i/>
          <w:iCs/>
          <w:sz w:val="20"/>
        </w:rPr>
        <w:t xml:space="preserve">Ventilation and indoor air quality in new homes. PIER collaborative  report. </w:t>
      </w:r>
      <w:r w:rsidRPr="00657189">
        <w:rPr>
          <w:rFonts w:ascii="Arial Unicode MS" w:eastAsia="Arial Unicode MS" w:hAnsi="Arial Unicode MS" w:cs="Arial Unicode MS"/>
          <w:sz w:val="20"/>
        </w:rPr>
        <w:t>California Energy Commission &amp; California Environmental Protection Agency Air Resources Board, California.</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Palmer, J., Cooper, I., Cheng, V., CAR, A.T., Summerton, P., CE, R.M., Shorrock, L., BRE, J.U. &amp; Econometrics, C. 2011, "Great Britain’s housing energy fact file</w:t>
      </w:r>
      <w:r>
        <w:rPr>
          <w:rFonts w:ascii="Arial Unicode MS" w:eastAsia="Arial Unicode MS" w:hAnsi="Arial Unicode MS" w:cs="Arial Unicode MS"/>
          <w:sz w:val="20"/>
        </w:rPr>
        <w:t>", URN: 11D/866, DECC: London</w:t>
      </w:r>
      <w:r w:rsidRPr="00657189">
        <w:rPr>
          <w:rFonts w:ascii="Arial Unicode MS" w:eastAsia="Arial Unicode MS" w:hAnsi="Arial Unicode MS" w:cs="Arial Unicode MS"/>
          <w:sz w:val="20"/>
        </w:rPr>
        <w:t>, , pp. 1-117.</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Raw, G., Whitehead, C., Robertson, A., Burge, S., Kely, C. &amp; Leinster, P. 1995, </w:t>
      </w:r>
      <w:r w:rsidRPr="00657189">
        <w:rPr>
          <w:rFonts w:ascii="Arial Unicode MS" w:eastAsia="Arial Unicode MS" w:hAnsi="Arial Unicode MS" w:cs="Arial Unicode MS"/>
          <w:i/>
          <w:iCs/>
          <w:sz w:val="20"/>
        </w:rPr>
        <w:t xml:space="preserve">A questionnaire for studies of sick building syndrome: A report to the Royal Society of Health advisory group on sick building syndrome, </w:t>
      </w:r>
      <w:r w:rsidRPr="00657189">
        <w:rPr>
          <w:rFonts w:ascii="Arial Unicode MS" w:eastAsia="Arial Unicode MS" w:hAnsi="Arial Unicode MS" w:cs="Arial Unicode MS"/>
          <w:sz w:val="20"/>
        </w:rPr>
        <w:t>Building Research Establishment, Watford.</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Seppänen, O. &amp; Fisk, W.J. 2004, "Summary of human responses to ventilation", </w:t>
      </w:r>
      <w:r w:rsidRPr="00657189">
        <w:rPr>
          <w:rFonts w:ascii="Arial Unicode MS" w:eastAsia="Arial Unicode MS" w:hAnsi="Arial Unicode MS" w:cs="Arial Unicode MS"/>
          <w:i/>
          <w:iCs/>
          <w:sz w:val="20"/>
        </w:rPr>
        <w:t xml:space="preserve">Indoor air, </w:t>
      </w:r>
      <w:r w:rsidRPr="00657189">
        <w:rPr>
          <w:rFonts w:ascii="Arial Unicode MS" w:eastAsia="Arial Unicode MS" w:hAnsi="Arial Unicode MS" w:cs="Arial Unicode MS"/>
          <w:sz w:val="20"/>
        </w:rPr>
        <w:t>vol. 14, no. s7, pp. 102-118.</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Stellman, J.M. 1998, </w:t>
      </w:r>
      <w:r w:rsidRPr="00657189">
        <w:rPr>
          <w:rFonts w:ascii="Arial Unicode MS" w:eastAsia="Arial Unicode MS" w:hAnsi="Arial Unicode MS" w:cs="Arial Unicode MS"/>
          <w:i/>
          <w:iCs/>
          <w:sz w:val="20"/>
        </w:rPr>
        <w:t xml:space="preserve">Encyclopaedia of occupational health and safety, </w:t>
      </w:r>
      <w:r w:rsidRPr="00657189">
        <w:rPr>
          <w:rFonts w:ascii="Arial Unicode MS" w:eastAsia="Arial Unicode MS" w:hAnsi="Arial Unicode MS" w:cs="Arial Unicode MS"/>
          <w:sz w:val="20"/>
        </w:rPr>
        <w:t>International Labour Organization</w:t>
      </w:r>
      <w:r>
        <w:rPr>
          <w:rFonts w:ascii="Arial Unicode MS" w:eastAsia="Arial Unicode MS" w:hAnsi="Arial Unicode MS" w:cs="Arial Unicode MS"/>
          <w:sz w:val="20"/>
        </w:rPr>
        <w:t>, Switzerland</w:t>
      </w:r>
      <w:r w:rsidRPr="00657189">
        <w:rPr>
          <w:rFonts w:ascii="Arial Unicode MS" w:eastAsia="Arial Unicode MS" w:hAnsi="Arial Unicode MS" w:cs="Arial Unicode MS"/>
          <w:sz w:val="20"/>
        </w:rPr>
        <w:t>.</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Sullivan, L., Smith, N., Adams, D., Andrews, I., Aston, W., Bromley, </w:t>
      </w:r>
      <w:r>
        <w:rPr>
          <w:rFonts w:ascii="Arial Unicode MS" w:eastAsia="Arial Unicode MS" w:hAnsi="Arial Unicode MS" w:cs="Arial Unicode MS"/>
          <w:sz w:val="20"/>
        </w:rPr>
        <w:t>et al</w:t>
      </w:r>
      <w:r w:rsidRPr="00657189">
        <w:rPr>
          <w:rFonts w:ascii="Arial Unicode MS" w:eastAsia="Arial Unicode MS" w:hAnsi="Arial Unicode MS" w:cs="Arial Unicode MS"/>
          <w:sz w:val="20"/>
        </w:rPr>
        <w:t xml:space="preserve">. 2012, </w:t>
      </w:r>
      <w:r w:rsidRPr="00657189">
        <w:rPr>
          <w:rFonts w:ascii="Arial Unicode MS" w:eastAsia="Arial Unicode MS" w:hAnsi="Arial Unicode MS" w:cs="Arial Unicode MS"/>
          <w:i/>
          <w:iCs/>
          <w:sz w:val="20"/>
        </w:rPr>
        <w:t xml:space="preserve">Mechanical Ventilation with Heat Recovery in New Homes, </w:t>
      </w:r>
      <w:r w:rsidRPr="00657189">
        <w:rPr>
          <w:rFonts w:ascii="Arial Unicode MS" w:eastAsia="Arial Unicode MS" w:hAnsi="Arial Unicode MS" w:cs="Arial Unicode MS"/>
          <w:sz w:val="20"/>
        </w:rPr>
        <w:t>Zero Carbon Hub and NHBC, Milton Keynes.</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Sundell, J., Levin, H., Nazaroff, W.W., Cain, W.S., Fisk, W.J., Grimsrud, D.T., </w:t>
      </w:r>
      <w:r>
        <w:rPr>
          <w:rFonts w:ascii="Arial Unicode MS" w:eastAsia="Arial Unicode MS" w:hAnsi="Arial Unicode MS" w:cs="Arial Unicode MS"/>
          <w:sz w:val="20"/>
        </w:rPr>
        <w:t>et al.</w:t>
      </w:r>
      <w:r w:rsidRPr="00657189">
        <w:rPr>
          <w:rFonts w:ascii="Arial Unicode MS" w:eastAsia="Arial Unicode MS" w:hAnsi="Arial Unicode MS" w:cs="Arial Unicode MS"/>
          <w:sz w:val="20"/>
        </w:rPr>
        <w:t xml:space="preserve"> 2011, "Ventilation rates and health: multidisciplinary review of the scientific literature", </w:t>
      </w:r>
      <w:r w:rsidRPr="00657189">
        <w:rPr>
          <w:rFonts w:ascii="Arial Unicode MS" w:eastAsia="Arial Unicode MS" w:hAnsi="Arial Unicode MS" w:cs="Arial Unicode MS"/>
          <w:i/>
          <w:iCs/>
          <w:sz w:val="20"/>
        </w:rPr>
        <w:t xml:space="preserve">Indoor air, </w:t>
      </w:r>
      <w:r w:rsidRPr="00657189">
        <w:rPr>
          <w:rFonts w:ascii="Arial Unicode MS" w:eastAsia="Arial Unicode MS" w:hAnsi="Arial Unicode MS" w:cs="Arial Unicode MS"/>
          <w:sz w:val="20"/>
        </w:rPr>
        <w:t>vol. 21, no. 3, pp. 191-204.</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Turner, W.J.N., Logue, J.M. &amp; Wray, C.P. 2013, "A combined energy and IAQ assessment of the potential value of commissioning residential mechanical ventilation systems", </w:t>
      </w:r>
      <w:r w:rsidRPr="00657189">
        <w:rPr>
          <w:rFonts w:ascii="Arial Unicode MS" w:eastAsia="Arial Unicode MS" w:hAnsi="Arial Unicode MS" w:cs="Arial Unicode MS"/>
          <w:i/>
          <w:iCs/>
          <w:sz w:val="20"/>
        </w:rPr>
        <w:t xml:space="preserve">Building and Environment, </w:t>
      </w:r>
      <w:r w:rsidRPr="00657189">
        <w:rPr>
          <w:rFonts w:ascii="Arial Unicode MS" w:eastAsia="Arial Unicode MS" w:hAnsi="Arial Unicode MS" w:cs="Arial Unicode MS"/>
          <w:sz w:val="20"/>
        </w:rPr>
        <w:t>vol. 60, no. 0, pp. 194-201.</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Wal, J.F., Moons, A.M. &amp; Cornelissen, H.J. 1991, "Indoor air quality in renovated Dutch homes", </w:t>
      </w:r>
      <w:r w:rsidRPr="00657189">
        <w:rPr>
          <w:rFonts w:ascii="Arial Unicode MS" w:eastAsia="Arial Unicode MS" w:hAnsi="Arial Unicode MS" w:cs="Arial Unicode MS"/>
          <w:i/>
          <w:iCs/>
          <w:sz w:val="20"/>
        </w:rPr>
        <w:t xml:space="preserve">Indoor air, </w:t>
      </w:r>
      <w:r w:rsidRPr="00657189">
        <w:rPr>
          <w:rFonts w:ascii="Arial Unicode MS" w:eastAsia="Arial Unicode MS" w:hAnsi="Arial Unicode MS" w:cs="Arial Unicode MS"/>
          <w:sz w:val="20"/>
        </w:rPr>
        <w:t>vol. 1, no. 4, pp. 621-633.</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World Health Organisation 2009, </w:t>
      </w:r>
      <w:r w:rsidRPr="00657189">
        <w:rPr>
          <w:rFonts w:ascii="Arial Unicode MS" w:eastAsia="Arial Unicode MS" w:hAnsi="Arial Unicode MS" w:cs="Arial Unicode MS"/>
          <w:i/>
          <w:iCs/>
          <w:sz w:val="20"/>
        </w:rPr>
        <w:t>WHO Guidelines for Indoor Air Quality, Dampness and Mould</w:t>
      </w:r>
      <w:r w:rsidRPr="00657189">
        <w:rPr>
          <w:rFonts w:ascii="Arial Unicode MS" w:eastAsia="Arial Unicode MS" w:hAnsi="Arial Unicode MS" w:cs="Arial Unicode MS"/>
          <w:sz w:val="20"/>
        </w:rPr>
        <w:t>, Druckpartner Moser, Germany.</w:t>
      </w:r>
    </w:p>
    <w:p w:rsidR="00657189" w:rsidRPr="00657189" w:rsidRDefault="00657189" w:rsidP="00657189">
      <w:pPr>
        <w:pStyle w:val="NormalWeb"/>
        <w:ind w:left="450" w:hanging="450"/>
        <w:rPr>
          <w:rFonts w:ascii="Arial Unicode MS" w:eastAsia="Arial Unicode MS" w:hAnsi="Arial Unicode MS" w:cs="Arial Unicode MS"/>
          <w:sz w:val="20"/>
        </w:rPr>
      </w:pPr>
      <w:r w:rsidRPr="00657189">
        <w:rPr>
          <w:rFonts w:ascii="Arial Unicode MS" w:eastAsia="Arial Unicode MS" w:hAnsi="Arial Unicode MS" w:cs="Arial Unicode MS"/>
          <w:sz w:val="20"/>
        </w:rPr>
        <w:t xml:space="preserve">Yu, C.W.F. &amp; Kim, J.T. 2012, "Low-carbon housings and indoor air quality", </w:t>
      </w:r>
      <w:r w:rsidRPr="00657189">
        <w:rPr>
          <w:rFonts w:ascii="Arial Unicode MS" w:eastAsia="Arial Unicode MS" w:hAnsi="Arial Unicode MS" w:cs="Arial Unicode MS"/>
          <w:i/>
          <w:iCs/>
          <w:sz w:val="20"/>
        </w:rPr>
        <w:t xml:space="preserve">Indoor and Built Environment, </w:t>
      </w:r>
      <w:r w:rsidRPr="00657189">
        <w:rPr>
          <w:rFonts w:ascii="Arial Unicode MS" w:eastAsia="Arial Unicode MS" w:hAnsi="Arial Unicode MS" w:cs="Arial Unicode MS"/>
          <w:sz w:val="20"/>
        </w:rPr>
        <w:t>vol. 21, no. 1, pp. 5-15.</w:t>
      </w:r>
    </w:p>
    <w:p w:rsidR="00A75A0B" w:rsidRPr="00000E26" w:rsidRDefault="00657189" w:rsidP="00A43625">
      <w:pPr>
        <w:pStyle w:val="NormalWeb"/>
        <w:ind w:left="450" w:hanging="450"/>
      </w:pPr>
      <w:r w:rsidRPr="00657189">
        <w:rPr>
          <w:rFonts w:ascii="Arial Unicode MS" w:eastAsia="Arial Unicode MS" w:hAnsi="Arial Unicode MS" w:cs="Arial Unicode MS"/>
          <w:sz w:val="20"/>
        </w:rPr>
        <w:t xml:space="preserve">Zero carbon hub &amp; NHBC 2013, </w:t>
      </w:r>
      <w:r w:rsidRPr="00657189">
        <w:rPr>
          <w:rFonts w:ascii="Arial Unicode MS" w:eastAsia="Arial Unicode MS" w:hAnsi="Arial Unicode MS" w:cs="Arial Unicode MS"/>
          <w:i/>
          <w:iCs/>
          <w:sz w:val="20"/>
        </w:rPr>
        <w:t>Zero carbon strategies for tomorrows new homes, Milton Keynes: Zero carbon hub &amp; NHBC foundation</w:t>
      </w:r>
      <w:r w:rsidRPr="00657189">
        <w:rPr>
          <w:rFonts w:ascii="Arial Unicode MS" w:eastAsia="Arial Unicode MS" w:hAnsi="Arial Unicode MS" w:cs="Arial Unicode MS"/>
          <w:sz w:val="20"/>
        </w:rPr>
        <w:t>, Zero carbon hub; NHBC foundation, Milton Keynes.</w:t>
      </w:r>
      <w:r w:rsidR="007F40FF">
        <w:fldChar w:fldCharType="end"/>
      </w:r>
    </w:p>
    <w:sectPr w:rsidR="00A75A0B" w:rsidRPr="00000E26" w:rsidSect="0024105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043" w:rsidRDefault="00475043" w:rsidP="003F5352">
      <w:r>
        <w:separator/>
      </w:r>
    </w:p>
  </w:endnote>
  <w:endnote w:type="continuationSeparator" w:id="0">
    <w:p w:rsidR="00475043" w:rsidRDefault="00475043" w:rsidP="003F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Times New Roman PS MT">
    <w:panose1 w:val="00000000000000000000"/>
    <w:charset w:val="00"/>
    <w:family w:val="moder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25265"/>
      <w:docPartObj>
        <w:docPartGallery w:val="Page Numbers (Bottom of Page)"/>
        <w:docPartUnique/>
      </w:docPartObj>
    </w:sdtPr>
    <w:sdtEndPr/>
    <w:sdtContent>
      <w:p w:rsidR="00FC111A" w:rsidRDefault="00475043">
        <w:pPr>
          <w:pStyle w:val="Footer"/>
          <w:jc w:val="right"/>
        </w:pPr>
        <w:r>
          <w:fldChar w:fldCharType="begin"/>
        </w:r>
        <w:r>
          <w:instrText xml:space="preserve"> PAGE   \*</w:instrText>
        </w:r>
        <w:r>
          <w:instrText xml:space="preserve"> MERGEFORMAT </w:instrText>
        </w:r>
        <w:r>
          <w:fldChar w:fldCharType="separate"/>
        </w:r>
        <w:r w:rsidR="00C70487">
          <w:rPr>
            <w:noProof/>
          </w:rPr>
          <w:t>1</w:t>
        </w:r>
        <w:r>
          <w:rPr>
            <w:noProof/>
          </w:rPr>
          <w:fldChar w:fldCharType="end"/>
        </w:r>
      </w:p>
    </w:sdtContent>
  </w:sdt>
  <w:p w:rsidR="00FC111A" w:rsidRDefault="00FC1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043" w:rsidRDefault="00475043" w:rsidP="003F5352">
      <w:r>
        <w:separator/>
      </w:r>
    </w:p>
  </w:footnote>
  <w:footnote w:type="continuationSeparator" w:id="0">
    <w:p w:rsidR="00475043" w:rsidRDefault="00475043" w:rsidP="003F5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1">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D7628A"/>
    <w:multiLevelType w:val="multilevel"/>
    <w:tmpl w:val="5D78290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8B32E5"/>
    <w:multiLevelType w:val="multilevel"/>
    <w:tmpl w:val="B706E490"/>
    <w:lvl w:ilvl="0">
      <w:start w:val="1"/>
      <w:numFmt w:val="decimal"/>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4">
    <w:nsid w:val="132C3D81"/>
    <w:multiLevelType w:val="multilevel"/>
    <w:tmpl w:val="5B08B68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56D2743"/>
    <w:multiLevelType w:val="multilevel"/>
    <w:tmpl w:val="463E4DA2"/>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851"/>
        </w:tabs>
        <w:ind w:left="851"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nsid w:val="25B12E59"/>
    <w:multiLevelType w:val="multilevel"/>
    <w:tmpl w:val="7B2A95F4"/>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FB520E"/>
    <w:multiLevelType w:val="multilevel"/>
    <w:tmpl w:val="96744DA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1C47AA7"/>
    <w:multiLevelType w:val="multilevel"/>
    <w:tmpl w:val="127EC912"/>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E9A61C3"/>
    <w:multiLevelType w:val="multilevel"/>
    <w:tmpl w:val="59C088D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6984D5B"/>
    <w:multiLevelType w:val="multilevel"/>
    <w:tmpl w:val="45566C5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3">
    <w:nsid w:val="70EB4140"/>
    <w:multiLevelType w:val="multilevel"/>
    <w:tmpl w:val="3CC0EF1A"/>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72354B1"/>
    <w:multiLevelType w:val="multilevel"/>
    <w:tmpl w:val="D8D63F8C"/>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738779A"/>
    <w:multiLevelType w:val="multilevel"/>
    <w:tmpl w:val="77EC1FB2"/>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B274BC8"/>
    <w:multiLevelType w:val="multilevel"/>
    <w:tmpl w:val="ECECD2E8"/>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7">
    <w:nsid w:val="7D9521C8"/>
    <w:multiLevelType w:val="multilevel"/>
    <w:tmpl w:val="8BE8B38E"/>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2010"/>
        </w:tabs>
        <w:ind w:left="2010" w:hanging="360"/>
      </w:pPr>
      <w:rPr>
        <w:rFonts w:hint="default"/>
      </w:rPr>
    </w:lvl>
    <w:lvl w:ilvl="2">
      <w:start w:val="1"/>
      <w:numFmt w:val="lowerRoman"/>
      <w:lvlText w:val="%3."/>
      <w:lvlJc w:val="right"/>
      <w:pPr>
        <w:tabs>
          <w:tab w:val="num" w:pos="2730"/>
        </w:tabs>
        <w:ind w:left="2730" w:hanging="180"/>
      </w:pPr>
      <w:rPr>
        <w:rFonts w:hint="default"/>
      </w:rPr>
    </w:lvl>
    <w:lvl w:ilvl="3">
      <w:start w:val="1"/>
      <w:numFmt w:val="decimal"/>
      <w:lvlText w:val="%4."/>
      <w:lvlJc w:val="left"/>
      <w:pPr>
        <w:tabs>
          <w:tab w:val="num" w:pos="3450"/>
        </w:tabs>
        <w:ind w:left="3450" w:hanging="360"/>
      </w:pPr>
      <w:rPr>
        <w:rFonts w:hint="default"/>
      </w:rPr>
    </w:lvl>
    <w:lvl w:ilvl="4">
      <w:start w:val="1"/>
      <w:numFmt w:val="lowerLetter"/>
      <w:lvlText w:val="%5."/>
      <w:lvlJc w:val="left"/>
      <w:pPr>
        <w:tabs>
          <w:tab w:val="num" w:pos="4170"/>
        </w:tabs>
        <w:ind w:left="4170" w:hanging="360"/>
      </w:pPr>
      <w:rPr>
        <w:rFonts w:hint="default"/>
      </w:rPr>
    </w:lvl>
    <w:lvl w:ilvl="5">
      <w:start w:val="1"/>
      <w:numFmt w:val="lowerRoman"/>
      <w:lvlText w:val="%6."/>
      <w:lvlJc w:val="right"/>
      <w:pPr>
        <w:tabs>
          <w:tab w:val="num" w:pos="4890"/>
        </w:tabs>
        <w:ind w:left="4890" w:hanging="180"/>
      </w:pPr>
      <w:rPr>
        <w:rFonts w:hint="default"/>
      </w:rPr>
    </w:lvl>
    <w:lvl w:ilvl="6">
      <w:start w:val="1"/>
      <w:numFmt w:val="decimal"/>
      <w:lvlText w:val="%7."/>
      <w:lvlJc w:val="left"/>
      <w:pPr>
        <w:tabs>
          <w:tab w:val="num" w:pos="5610"/>
        </w:tabs>
        <w:ind w:left="5610" w:hanging="360"/>
      </w:pPr>
      <w:rPr>
        <w:rFonts w:hint="default"/>
      </w:rPr>
    </w:lvl>
    <w:lvl w:ilvl="7">
      <w:start w:val="1"/>
      <w:numFmt w:val="lowerLetter"/>
      <w:lvlText w:val="%8."/>
      <w:lvlJc w:val="left"/>
      <w:pPr>
        <w:tabs>
          <w:tab w:val="num" w:pos="6330"/>
        </w:tabs>
        <w:ind w:left="6330" w:hanging="360"/>
      </w:pPr>
      <w:rPr>
        <w:rFonts w:hint="default"/>
      </w:rPr>
    </w:lvl>
    <w:lvl w:ilvl="8">
      <w:start w:val="1"/>
      <w:numFmt w:val="lowerRoman"/>
      <w:lvlText w:val="%9."/>
      <w:lvlJc w:val="right"/>
      <w:pPr>
        <w:tabs>
          <w:tab w:val="num" w:pos="7050"/>
        </w:tabs>
        <w:ind w:left="7050" w:hanging="180"/>
      </w:pPr>
      <w:rPr>
        <w:rFonts w:hint="default"/>
      </w:rPr>
    </w:lvl>
  </w:abstractNum>
  <w:num w:numId="1">
    <w:abstractNumId w:val="16"/>
  </w:num>
  <w:num w:numId="2">
    <w:abstractNumId w:val="15"/>
  </w:num>
  <w:num w:numId="3">
    <w:abstractNumId w:val="17"/>
  </w:num>
  <w:num w:numId="4">
    <w:abstractNumId w:val="1"/>
  </w:num>
  <w:num w:numId="5">
    <w:abstractNumId w:val="0"/>
  </w:num>
  <w:num w:numId="6">
    <w:abstractNumId w:val="6"/>
  </w:num>
  <w:num w:numId="7">
    <w:abstractNumId w:val="12"/>
  </w:num>
  <w:num w:numId="8">
    <w:abstractNumId w:val="3"/>
  </w:num>
  <w:num w:numId="9">
    <w:abstractNumId w:val="5"/>
  </w:num>
  <w:num w:numId="10">
    <w:abstractNumId w:val="7"/>
  </w:num>
  <w:num w:numId="11">
    <w:abstractNumId w:val="4"/>
  </w:num>
  <w:num w:numId="12">
    <w:abstractNumId w:val="10"/>
  </w:num>
  <w:num w:numId="13">
    <w:abstractNumId w:val="8"/>
  </w:num>
  <w:num w:numId="14">
    <w:abstractNumId w:val="9"/>
  </w:num>
  <w:num w:numId="15">
    <w:abstractNumId w:val="11"/>
  </w:num>
  <w:num w:numId="16">
    <w:abstractNumId w:val="2"/>
  </w:num>
  <w:num w:numId="17">
    <w:abstractNumId w:val="14"/>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4D"/>
    <w:rsid w:val="0000006C"/>
    <w:rsid w:val="00000E26"/>
    <w:rsid w:val="00004B79"/>
    <w:rsid w:val="000079E0"/>
    <w:rsid w:val="00007B04"/>
    <w:rsid w:val="00010468"/>
    <w:rsid w:val="00011B80"/>
    <w:rsid w:val="00011EB0"/>
    <w:rsid w:val="00020677"/>
    <w:rsid w:val="00020E48"/>
    <w:rsid w:val="000211F2"/>
    <w:rsid w:val="0003409E"/>
    <w:rsid w:val="000340F1"/>
    <w:rsid w:val="0003412A"/>
    <w:rsid w:val="0003631A"/>
    <w:rsid w:val="00040A88"/>
    <w:rsid w:val="00040CDB"/>
    <w:rsid w:val="00040DC1"/>
    <w:rsid w:val="000412A8"/>
    <w:rsid w:val="0005323F"/>
    <w:rsid w:val="00056E72"/>
    <w:rsid w:val="000570A8"/>
    <w:rsid w:val="00062AC9"/>
    <w:rsid w:val="00071DE2"/>
    <w:rsid w:val="00072475"/>
    <w:rsid w:val="0007252F"/>
    <w:rsid w:val="0007602E"/>
    <w:rsid w:val="0007699E"/>
    <w:rsid w:val="00083394"/>
    <w:rsid w:val="00090AEF"/>
    <w:rsid w:val="0009161B"/>
    <w:rsid w:val="000950AC"/>
    <w:rsid w:val="0009611E"/>
    <w:rsid w:val="00096AD6"/>
    <w:rsid w:val="000A1F6C"/>
    <w:rsid w:val="000A498E"/>
    <w:rsid w:val="000A7FF1"/>
    <w:rsid w:val="000B0A5A"/>
    <w:rsid w:val="000B1E65"/>
    <w:rsid w:val="000C5660"/>
    <w:rsid w:val="000C60F4"/>
    <w:rsid w:val="000D1DBB"/>
    <w:rsid w:val="000D3718"/>
    <w:rsid w:val="000D78C0"/>
    <w:rsid w:val="000D7F34"/>
    <w:rsid w:val="000E0FA4"/>
    <w:rsid w:val="000E1736"/>
    <w:rsid w:val="000E1B87"/>
    <w:rsid w:val="000E4994"/>
    <w:rsid w:val="000E501B"/>
    <w:rsid w:val="000F6D7C"/>
    <w:rsid w:val="00112424"/>
    <w:rsid w:val="00115E2F"/>
    <w:rsid w:val="0012103A"/>
    <w:rsid w:val="001210EB"/>
    <w:rsid w:val="00131C49"/>
    <w:rsid w:val="00141CCF"/>
    <w:rsid w:val="0014353A"/>
    <w:rsid w:val="001454E3"/>
    <w:rsid w:val="00151E57"/>
    <w:rsid w:val="00152D35"/>
    <w:rsid w:val="00156B40"/>
    <w:rsid w:val="0017066F"/>
    <w:rsid w:val="00173221"/>
    <w:rsid w:val="00182200"/>
    <w:rsid w:val="00196E54"/>
    <w:rsid w:val="001970C9"/>
    <w:rsid w:val="001A0211"/>
    <w:rsid w:val="001A2FAA"/>
    <w:rsid w:val="001A4E99"/>
    <w:rsid w:val="001B0BC5"/>
    <w:rsid w:val="001C2DBA"/>
    <w:rsid w:val="001C41F7"/>
    <w:rsid w:val="001C7875"/>
    <w:rsid w:val="001D28F6"/>
    <w:rsid w:val="001D52EA"/>
    <w:rsid w:val="001D7622"/>
    <w:rsid w:val="001D775C"/>
    <w:rsid w:val="001D7F09"/>
    <w:rsid w:val="001E038D"/>
    <w:rsid w:val="001E2FC8"/>
    <w:rsid w:val="001E32C1"/>
    <w:rsid w:val="001E6CA7"/>
    <w:rsid w:val="001F5474"/>
    <w:rsid w:val="001F7572"/>
    <w:rsid w:val="00201674"/>
    <w:rsid w:val="002041A0"/>
    <w:rsid w:val="00213E7A"/>
    <w:rsid w:val="00222C78"/>
    <w:rsid w:val="002358D8"/>
    <w:rsid w:val="002366E2"/>
    <w:rsid w:val="002368A6"/>
    <w:rsid w:val="00241051"/>
    <w:rsid w:val="0024147F"/>
    <w:rsid w:val="002426DC"/>
    <w:rsid w:val="00245C7A"/>
    <w:rsid w:val="00254C05"/>
    <w:rsid w:val="00254F8B"/>
    <w:rsid w:val="00255A5C"/>
    <w:rsid w:val="00257C98"/>
    <w:rsid w:val="002621FC"/>
    <w:rsid w:val="0027314A"/>
    <w:rsid w:val="00284637"/>
    <w:rsid w:val="00284DA5"/>
    <w:rsid w:val="002A7F19"/>
    <w:rsid w:val="002B6EA1"/>
    <w:rsid w:val="002C0877"/>
    <w:rsid w:val="002E3FB6"/>
    <w:rsid w:val="002E714C"/>
    <w:rsid w:val="002F38C8"/>
    <w:rsid w:val="002F4515"/>
    <w:rsid w:val="002F7918"/>
    <w:rsid w:val="0031242E"/>
    <w:rsid w:val="00313DBE"/>
    <w:rsid w:val="003173A0"/>
    <w:rsid w:val="003251D0"/>
    <w:rsid w:val="00332DCA"/>
    <w:rsid w:val="00335B3C"/>
    <w:rsid w:val="00342EFE"/>
    <w:rsid w:val="00346FC2"/>
    <w:rsid w:val="003535A6"/>
    <w:rsid w:val="0035388C"/>
    <w:rsid w:val="003576C0"/>
    <w:rsid w:val="00363D5C"/>
    <w:rsid w:val="00366689"/>
    <w:rsid w:val="00370D1C"/>
    <w:rsid w:val="003713CC"/>
    <w:rsid w:val="0037189C"/>
    <w:rsid w:val="00372199"/>
    <w:rsid w:val="00377113"/>
    <w:rsid w:val="00377E1E"/>
    <w:rsid w:val="003843B3"/>
    <w:rsid w:val="0038526C"/>
    <w:rsid w:val="00391518"/>
    <w:rsid w:val="003925DA"/>
    <w:rsid w:val="00394EA0"/>
    <w:rsid w:val="003A1E8E"/>
    <w:rsid w:val="003A4CC1"/>
    <w:rsid w:val="003B0AE2"/>
    <w:rsid w:val="003B1A2C"/>
    <w:rsid w:val="003C1ABA"/>
    <w:rsid w:val="003C21BD"/>
    <w:rsid w:val="003C3AB2"/>
    <w:rsid w:val="003D06FF"/>
    <w:rsid w:val="003D27A6"/>
    <w:rsid w:val="003D7F0B"/>
    <w:rsid w:val="003E4719"/>
    <w:rsid w:val="003E5B7F"/>
    <w:rsid w:val="003E7FC1"/>
    <w:rsid w:val="003F2A9B"/>
    <w:rsid w:val="003F3FE2"/>
    <w:rsid w:val="003F5352"/>
    <w:rsid w:val="003F748F"/>
    <w:rsid w:val="00401F54"/>
    <w:rsid w:val="0040218A"/>
    <w:rsid w:val="0040306D"/>
    <w:rsid w:val="00407AB6"/>
    <w:rsid w:val="00412542"/>
    <w:rsid w:val="004175CD"/>
    <w:rsid w:val="004202E3"/>
    <w:rsid w:val="0042259C"/>
    <w:rsid w:val="004242B0"/>
    <w:rsid w:val="00424513"/>
    <w:rsid w:val="0043038B"/>
    <w:rsid w:val="00441C2C"/>
    <w:rsid w:val="0044653E"/>
    <w:rsid w:val="004503DE"/>
    <w:rsid w:val="00452041"/>
    <w:rsid w:val="0045238D"/>
    <w:rsid w:val="00452397"/>
    <w:rsid w:val="00453850"/>
    <w:rsid w:val="0045644E"/>
    <w:rsid w:val="00456988"/>
    <w:rsid w:val="0045700C"/>
    <w:rsid w:val="00460C9C"/>
    <w:rsid w:val="00462989"/>
    <w:rsid w:val="00462F79"/>
    <w:rsid w:val="00463816"/>
    <w:rsid w:val="0047119E"/>
    <w:rsid w:val="00472335"/>
    <w:rsid w:val="004736C5"/>
    <w:rsid w:val="00474D16"/>
    <w:rsid w:val="00475043"/>
    <w:rsid w:val="004815E9"/>
    <w:rsid w:val="00484A0D"/>
    <w:rsid w:val="004854FF"/>
    <w:rsid w:val="00491C4E"/>
    <w:rsid w:val="004941C4"/>
    <w:rsid w:val="004A0869"/>
    <w:rsid w:val="004C02F1"/>
    <w:rsid w:val="004C0A47"/>
    <w:rsid w:val="004C7E5B"/>
    <w:rsid w:val="004D01A4"/>
    <w:rsid w:val="004D3B1F"/>
    <w:rsid w:val="004D71B9"/>
    <w:rsid w:val="004E00DA"/>
    <w:rsid w:val="004E3B8B"/>
    <w:rsid w:val="004E4D69"/>
    <w:rsid w:val="004F3328"/>
    <w:rsid w:val="005038BC"/>
    <w:rsid w:val="00510DAF"/>
    <w:rsid w:val="0051135D"/>
    <w:rsid w:val="00513A08"/>
    <w:rsid w:val="00514767"/>
    <w:rsid w:val="00514F16"/>
    <w:rsid w:val="005160F9"/>
    <w:rsid w:val="00531A05"/>
    <w:rsid w:val="00532A5F"/>
    <w:rsid w:val="00533C75"/>
    <w:rsid w:val="00543A5F"/>
    <w:rsid w:val="00553F45"/>
    <w:rsid w:val="005551F5"/>
    <w:rsid w:val="00555FBA"/>
    <w:rsid w:val="0055777A"/>
    <w:rsid w:val="0056579F"/>
    <w:rsid w:val="005717EA"/>
    <w:rsid w:val="005743E0"/>
    <w:rsid w:val="00582018"/>
    <w:rsid w:val="005838FE"/>
    <w:rsid w:val="005926C0"/>
    <w:rsid w:val="00593889"/>
    <w:rsid w:val="00593B16"/>
    <w:rsid w:val="00595375"/>
    <w:rsid w:val="00595A1D"/>
    <w:rsid w:val="005A39B5"/>
    <w:rsid w:val="005A501A"/>
    <w:rsid w:val="005A5513"/>
    <w:rsid w:val="005B17F2"/>
    <w:rsid w:val="005B2CA1"/>
    <w:rsid w:val="005B44BD"/>
    <w:rsid w:val="005B62AA"/>
    <w:rsid w:val="005B6815"/>
    <w:rsid w:val="005C2052"/>
    <w:rsid w:val="005C7227"/>
    <w:rsid w:val="005D2483"/>
    <w:rsid w:val="005D403F"/>
    <w:rsid w:val="005D53EE"/>
    <w:rsid w:val="005D62D0"/>
    <w:rsid w:val="005D7D3A"/>
    <w:rsid w:val="005E2660"/>
    <w:rsid w:val="005E2A36"/>
    <w:rsid w:val="005E30AB"/>
    <w:rsid w:val="005E608F"/>
    <w:rsid w:val="005F7B60"/>
    <w:rsid w:val="006010B9"/>
    <w:rsid w:val="006029EE"/>
    <w:rsid w:val="00606D46"/>
    <w:rsid w:val="006103CA"/>
    <w:rsid w:val="00614E8A"/>
    <w:rsid w:val="00617A13"/>
    <w:rsid w:val="0062252C"/>
    <w:rsid w:val="00626F3B"/>
    <w:rsid w:val="006271E2"/>
    <w:rsid w:val="006316C7"/>
    <w:rsid w:val="00632F9E"/>
    <w:rsid w:val="00633EBF"/>
    <w:rsid w:val="00636021"/>
    <w:rsid w:val="00640415"/>
    <w:rsid w:val="00643A42"/>
    <w:rsid w:val="00644F7C"/>
    <w:rsid w:val="00657189"/>
    <w:rsid w:val="00664380"/>
    <w:rsid w:val="00664F7E"/>
    <w:rsid w:val="00670E4B"/>
    <w:rsid w:val="0067161C"/>
    <w:rsid w:val="00676A1E"/>
    <w:rsid w:val="0068278C"/>
    <w:rsid w:val="00683F3A"/>
    <w:rsid w:val="00684055"/>
    <w:rsid w:val="00687643"/>
    <w:rsid w:val="00696A4E"/>
    <w:rsid w:val="006B52D7"/>
    <w:rsid w:val="006B6F6F"/>
    <w:rsid w:val="006C1B6C"/>
    <w:rsid w:val="006C3EC7"/>
    <w:rsid w:val="006C6978"/>
    <w:rsid w:val="006D16B9"/>
    <w:rsid w:val="006D33D9"/>
    <w:rsid w:val="006D5300"/>
    <w:rsid w:val="006E1E26"/>
    <w:rsid w:val="006E3042"/>
    <w:rsid w:val="006E67C7"/>
    <w:rsid w:val="006F192D"/>
    <w:rsid w:val="006F4D7E"/>
    <w:rsid w:val="006F617B"/>
    <w:rsid w:val="006F63F5"/>
    <w:rsid w:val="006F66E0"/>
    <w:rsid w:val="00701432"/>
    <w:rsid w:val="00707A28"/>
    <w:rsid w:val="00710EA7"/>
    <w:rsid w:val="00712E2D"/>
    <w:rsid w:val="00716D64"/>
    <w:rsid w:val="007206CD"/>
    <w:rsid w:val="00721CB0"/>
    <w:rsid w:val="0072360B"/>
    <w:rsid w:val="00727038"/>
    <w:rsid w:val="007336FA"/>
    <w:rsid w:val="00735340"/>
    <w:rsid w:val="00736030"/>
    <w:rsid w:val="0074327F"/>
    <w:rsid w:val="00746F6C"/>
    <w:rsid w:val="00747FE0"/>
    <w:rsid w:val="00750E96"/>
    <w:rsid w:val="00751D57"/>
    <w:rsid w:val="00755B4E"/>
    <w:rsid w:val="00755C7E"/>
    <w:rsid w:val="007576E4"/>
    <w:rsid w:val="00767A0D"/>
    <w:rsid w:val="0079152E"/>
    <w:rsid w:val="007942D4"/>
    <w:rsid w:val="007967EF"/>
    <w:rsid w:val="007A10E4"/>
    <w:rsid w:val="007A2961"/>
    <w:rsid w:val="007A2B58"/>
    <w:rsid w:val="007A66D5"/>
    <w:rsid w:val="007A6839"/>
    <w:rsid w:val="007B235E"/>
    <w:rsid w:val="007B4BBA"/>
    <w:rsid w:val="007C0B4C"/>
    <w:rsid w:val="007D3A41"/>
    <w:rsid w:val="007D4CFB"/>
    <w:rsid w:val="007D54AF"/>
    <w:rsid w:val="007E4CAC"/>
    <w:rsid w:val="007F40FF"/>
    <w:rsid w:val="007F6F39"/>
    <w:rsid w:val="0080338D"/>
    <w:rsid w:val="00812070"/>
    <w:rsid w:val="00817920"/>
    <w:rsid w:val="00820F06"/>
    <w:rsid w:val="00821FFC"/>
    <w:rsid w:val="00826F03"/>
    <w:rsid w:val="008273B5"/>
    <w:rsid w:val="008273F0"/>
    <w:rsid w:val="0083225E"/>
    <w:rsid w:val="008326C4"/>
    <w:rsid w:val="00832B0B"/>
    <w:rsid w:val="008379EC"/>
    <w:rsid w:val="00851E15"/>
    <w:rsid w:val="00854363"/>
    <w:rsid w:val="00867032"/>
    <w:rsid w:val="008727D0"/>
    <w:rsid w:val="00873117"/>
    <w:rsid w:val="00873669"/>
    <w:rsid w:val="00875B7A"/>
    <w:rsid w:val="008856B2"/>
    <w:rsid w:val="00891E92"/>
    <w:rsid w:val="00892483"/>
    <w:rsid w:val="00893C89"/>
    <w:rsid w:val="00894BD4"/>
    <w:rsid w:val="008A009F"/>
    <w:rsid w:val="008A0C66"/>
    <w:rsid w:val="008A1C87"/>
    <w:rsid w:val="008A4EE4"/>
    <w:rsid w:val="008A5A81"/>
    <w:rsid w:val="008B4217"/>
    <w:rsid w:val="008C20F2"/>
    <w:rsid w:val="008C506D"/>
    <w:rsid w:val="008C7C4F"/>
    <w:rsid w:val="008C7FE2"/>
    <w:rsid w:val="008D0BD1"/>
    <w:rsid w:val="008D3A73"/>
    <w:rsid w:val="008E0C83"/>
    <w:rsid w:val="008E25EC"/>
    <w:rsid w:val="008E29C0"/>
    <w:rsid w:val="008E32FD"/>
    <w:rsid w:val="008E38F8"/>
    <w:rsid w:val="008E3A3B"/>
    <w:rsid w:val="008E5A77"/>
    <w:rsid w:val="008E7F44"/>
    <w:rsid w:val="008F1F8B"/>
    <w:rsid w:val="008F502C"/>
    <w:rsid w:val="008F6D2E"/>
    <w:rsid w:val="00900142"/>
    <w:rsid w:val="00900168"/>
    <w:rsid w:val="00900D95"/>
    <w:rsid w:val="00901CBA"/>
    <w:rsid w:val="0090275B"/>
    <w:rsid w:val="00913398"/>
    <w:rsid w:val="00920916"/>
    <w:rsid w:val="00921AD0"/>
    <w:rsid w:val="00923005"/>
    <w:rsid w:val="0092303C"/>
    <w:rsid w:val="00931DF3"/>
    <w:rsid w:val="00940E60"/>
    <w:rsid w:val="0094140B"/>
    <w:rsid w:val="00951FA4"/>
    <w:rsid w:val="00960366"/>
    <w:rsid w:val="0096048E"/>
    <w:rsid w:val="009633F9"/>
    <w:rsid w:val="00963CF1"/>
    <w:rsid w:val="009679F5"/>
    <w:rsid w:val="00976036"/>
    <w:rsid w:val="00981723"/>
    <w:rsid w:val="00981A1C"/>
    <w:rsid w:val="00983D77"/>
    <w:rsid w:val="00985198"/>
    <w:rsid w:val="0098726B"/>
    <w:rsid w:val="00992A9E"/>
    <w:rsid w:val="009934D3"/>
    <w:rsid w:val="00993C30"/>
    <w:rsid w:val="009A07B7"/>
    <w:rsid w:val="009A36A9"/>
    <w:rsid w:val="009A4019"/>
    <w:rsid w:val="009A71E0"/>
    <w:rsid w:val="009B5EC2"/>
    <w:rsid w:val="009B7BFD"/>
    <w:rsid w:val="009C0E15"/>
    <w:rsid w:val="009C1043"/>
    <w:rsid w:val="009C4800"/>
    <w:rsid w:val="009D09CF"/>
    <w:rsid w:val="009D7AEC"/>
    <w:rsid w:val="009E2B39"/>
    <w:rsid w:val="009E5834"/>
    <w:rsid w:val="009F32A1"/>
    <w:rsid w:val="009F3907"/>
    <w:rsid w:val="009F4B75"/>
    <w:rsid w:val="009F6CD5"/>
    <w:rsid w:val="009F718A"/>
    <w:rsid w:val="00A009D2"/>
    <w:rsid w:val="00A038DD"/>
    <w:rsid w:val="00A04E56"/>
    <w:rsid w:val="00A06CA6"/>
    <w:rsid w:val="00A13192"/>
    <w:rsid w:val="00A14210"/>
    <w:rsid w:val="00A22518"/>
    <w:rsid w:val="00A25E76"/>
    <w:rsid w:val="00A26C4C"/>
    <w:rsid w:val="00A27743"/>
    <w:rsid w:val="00A43625"/>
    <w:rsid w:val="00A47BD7"/>
    <w:rsid w:val="00A50599"/>
    <w:rsid w:val="00A546B2"/>
    <w:rsid w:val="00A559F6"/>
    <w:rsid w:val="00A579C8"/>
    <w:rsid w:val="00A61CDC"/>
    <w:rsid w:val="00A678D9"/>
    <w:rsid w:val="00A75A0B"/>
    <w:rsid w:val="00A808FD"/>
    <w:rsid w:val="00A82183"/>
    <w:rsid w:val="00A83FAE"/>
    <w:rsid w:val="00A87164"/>
    <w:rsid w:val="00A876E0"/>
    <w:rsid w:val="00A90623"/>
    <w:rsid w:val="00AA6F93"/>
    <w:rsid w:val="00AB2C5A"/>
    <w:rsid w:val="00AB53D5"/>
    <w:rsid w:val="00AB5D74"/>
    <w:rsid w:val="00AC54C7"/>
    <w:rsid w:val="00AC655B"/>
    <w:rsid w:val="00AD5BA5"/>
    <w:rsid w:val="00AD639D"/>
    <w:rsid w:val="00AE4B1F"/>
    <w:rsid w:val="00AE5ABE"/>
    <w:rsid w:val="00AE5EB2"/>
    <w:rsid w:val="00AE6D4F"/>
    <w:rsid w:val="00AF0C6D"/>
    <w:rsid w:val="00AF33AE"/>
    <w:rsid w:val="00AF70F5"/>
    <w:rsid w:val="00B04CC5"/>
    <w:rsid w:val="00B06543"/>
    <w:rsid w:val="00B114D6"/>
    <w:rsid w:val="00B1267A"/>
    <w:rsid w:val="00B2292B"/>
    <w:rsid w:val="00B23FC6"/>
    <w:rsid w:val="00B25FDC"/>
    <w:rsid w:val="00B27957"/>
    <w:rsid w:val="00B31091"/>
    <w:rsid w:val="00B317BD"/>
    <w:rsid w:val="00B36547"/>
    <w:rsid w:val="00B4109E"/>
    <w:rsid w:val="00B41D96"/>
    <w:rsid w:val="00B42A47"/>
    <w:rsid w:val="00B477AF"/>
    <w:rsid w:val="00B50AFD"/>
    <w:rsid w:val="00B51554"/>
    <w:rsid w:val="00B52786"/>
    <w:rsid w:val="00B52A0A"/>
    <w:rsid w:val="00B53F65"/>
    <w:rsid w:val="00B5675D"/>
    <w:rsid w:val="00B56AF6"/>
    <w:rsid w:val="00B605A4"/>
    <w:rsid w:val="00B61EDB"/>
    <w:rsid w:val="00B627BB"/>
    <w:rsid w:val="00B65317"/>
    <w:rsid w:val="00B722DF"/>
    <w:rsid w:val="00B73802"/>
    <w:rsid w:val="00B74EBA"/>
    <w:rsid w:val="00B85F9D"/>
    <w:rsid w:val="00B9734F"/>
    <w:rsid w:val="00BA2B47"/>
    <w:rsid w:val="00BA37A4"/>
    <w:rsid w:val="00BB0759"/>
    <w:rsid w:val="00BB7610"/>
    <w:rsid w:val="00BC0C6A"/>
    <w:rsid w:val="00BC3AFD"/>
    <w:rsid w:val="00BC4D97"/>
    <w:rsid w:val="00BC56B2"/>
    <w:rsid w:val="00BD366F"/>
    <w:rsid w:val="00BD3C9F"/>
    <w:rsid w:val="00BD589F"/>
    <w:rsid w:val="00BD7553"/>
    <w:rsid w:val="00BE126B"/>
    <w:rsid w:val="00BE387A"/>
    <w:rsid w:val="00BE615F"/>
    <w:rsid w:val="00BE6F5B"/>
    <w:rsid w:val="00BE7027"/>
    <w:rsid w:val="00BF0524"/>
    <w:rsid w:val="00BF27E6"/>
    <w:rsid w:val="00BF3F4C"/>
    <w:rsid w:val="00BF60D8"/>
    <w:rsid w:val="00BF7611"/>
    <w:rsid w:val="00BF7F77"/>
    <w:rsid w:val="00C07CE1"/>
    <w:rsid w:val="00C158D0"/>
    <w:rsid w:val="00C205D8"/>
    <w:rsid w:val="00C2718A"/>
    <w:rsid w:val="00C37E83"/>
    <w:rsid w:val="00C40390"/>
    <w:rsid w:val="00C442D0"/>
    <w:rsid w:val="00C574B2"/>
    <w:rsid w:val="00C638F8"/>
    <w:rsid w:val="00C63CB3"/>
    <w:rsid w:val="00C67F9C"/>
    <w:rsid w:val="00C70487"/>
    <w:rsid w:val="00C7278A"/>
    <w:rsid w:val="00C733CC"/>
    <w:rsid w:val="00C82214"/>
    <w:rsid w:val="00C846B8"/>
    <w:rsid w:val="00C870F4"/>
    <w:rsid w:val="00C92DDA"/>
    <w:rsid w:val="00C9764D"/>
    <w:rsid w:val="00CA430E"/>
    <w:rsid w:val="00CA7F87"/>
    <w:rsid w:val="00CB4E25"/>
    <w:rsid w:val="00CB55A5"/>
    <w:rsid w:val="00CC2EB1"/>
    <w:rsid w:val="00CD0131"/>
    <w:rsid w:val="00CD08BC"/>
    <w:rsid w:val="00CD2275"/>
    <w:rsid w:val="00CD49D5"/>
    <w:rsid w:val="00CE3FD4"/>
    <w:rsid w:val="00CE4ED0"/>
    <w:rsid w:val="00CF0A77"/>
    <w:rsid w:val="00CF1753"/>
    <w:rsid w:val="00CF531F"/>
    <w:rsid w:val="00CF54C4"/>
    <w:rsid w:val="00D02450"/>
    <w:rsid w:val="00D12412"/>
    <w:rsid w:val="00D16C00"/>
    <w:rsid w:val="00D17294"/>
    <w:rsid w:val="00D216FC"/>
    <w:rsid w:val="00D23BC7"/>
    <w:rsid w:val="00D244F2"/>
    <w:rsid w:val="00D248F5"/>
    <w:rsid w:val="00D25CB6"/>
    <w:rsid w:val="00D304A0"/>
    <w:rsid w:val="00D31B01"/>
    <w:rsid w:val="00D3600A"/>
    <w:rsid w:val="00D41A32"/>
    <w:rsid w:val="00D46611"/>
    <w:rsid w:val="00D466FD"/>
    <w:rsid w:val="00D477CE"/>
    <w:rsid w:val="00D47998"/>
    <w:rsid w:val="00D51716"/>
    <w:rsid w:val="00D53E60"/>
    <w:rsid w:val="00D6053D"/>
    <w:rsid w:val="00D61CE5"/>
    <w:rsid w:val="00D63167"/>
    <w:rsid w:val="00D65EDF"/>
    <w:rsid w:val="00D711D2"/>
    <w:rsid w:val="00D71A07"/>
    <w:rsid w:val="00D71BF3"/>
    <w:rsid w:val="00D73287"/>
    <w:rsid w:val="00D81CE7"/>
    <w:rsid w:val="00D82EF7"/>
    <w:rsid w:val="00D83869"/>
    <w:rsid w:val="00D92C0D"/>
    <w:rsid w:val="00D94700"/>
    <w:rsid w:val="00DA11EF"/>
    <w:rsid w:val="00DA421E"/>
    <w:rsid w:val="00DA794F"/>
    <w:rsid w:val="00DB0A39"/>
    <w:rsid w:val="00DC59F1"/>
    <w:rsid w:val="00DC5C3C"/>
    <w:rsid w:val="00DD4A10"/>
    <w:rsid w:val="00DE2394"/>
    <w:rsid w:val="00DE2D63"/>
    <w:rsid w:val="00DF05C1"/>
    <w:rsid w:val="00DF2385"/>
    <w:rsid w:val="00E0090E"/>
    <w:rsid w:val="00E01634"/>
    <w:rsid w:val="00E04E51"/>
    <w:rsid w:val="00E10E92"/>
    <w:rsid w:val="00E14ABC"/>
    <w:rsid w:val="00E16093"/>
    <w:rsid w:val="00E179CA"/>
    <w:rsid w:val="00E212CA"/>
    <w:rsid w:val="00E361F8"/>
    <w:rsid w:val="00E40E9E"/>
    <w:rsid w:val="00E41C90"/>
    <w:rsid w:val="00E46D99"/>
    <w:rsid w:val="00E53303"/>
    <w:rsid w:val="00E564A1"/>
    <w:rsid w:val="00E5665C"/>
    <w:rsid w:val="00E56D22"/>
    <w:rsid w:val="00E70B11"/>
    <w:rsid w:val="00E74241"/>
    <w:rsid w:val="00E77006"/>
    <w:rsid w:val="00E77FBD"/>
    <w:rsid w:val="00E81CBF"/>
    <w:rsid w:val="00E8261A"/>
    <w:rsid w:val="00E9104D"/>
    <w:rsid w:val="00E957C0"/>
    <w:rsid w:val="00E96AC6"/>
    <w:rsid w:val="00EA1B27"/>
    <w:rsid w:val="00EA4FC6"/>
    <w:rsid w:val="00EB17FC"/>
    <w:rsid w:val="00EB6701"/>
    <w:rsid w:val="00EC16B8"/>
    <w:rsid w:val="00EC297C"/>
    <w:rsid w:val="00ED0272"/>
    <w:rsid w:val="00ED6FD5"/>
    <w:rsid w:val="00EF3AFC"/>
    <w:rsid w:val="00EF3F05"/>
    <w:rsid w:val="00EF7B73"/>
    <w:rsid w:val="00F01201"/>
    <w:rsid w:val="00F14F66"/>
    <w:rsid w:val="00F16D36"/>
    <w:rsid w:val="00F21D35"/>
    <w:rsid w:val="00F22DD4"/>
    <w:rsid w:val="00F24789"/>
    <w:rsid w:val="00F31631"/>
    <w:rsid w:val="00F33835"/>
    <w:rsid w:val="00F476EA"/>
    <w:rsid w:val="00F51973"/>
    <w:rsid w:val="00F5232D"/>
    <w:rsid w:val="00F57A92"/>
    <w:rsid w:val="00F61430"/>
    <w:rsid w:val="00F640AC"/>
    <w:rsid w:val="00F712ED"/>
    <w:rsid w:val="00F71507"/>
    <w:rsid w:val="00F74A4C"/>
    <w:rsid w:val="00F75B14"/>
    <w:rsid w:val="00F76A15"/>
    <w:rsid w:val="00F80A8A"/>
    <w:rsid w:val="00F84835"/>
    <w:rsid w:val="00F90611"/>
    <w:rsid w:val="00F919E2"/>
    <w:rsid w:val="00FB3968"/>
    <w:rsid w:val="00FB3BCC"/>
    <w:rsid w:val="00FC111A"/>
    <w:rsid w:val="00FC1C3B"/>
    <w:rsid w:val="00FF1D00"/>
    <w:rsid w:val="00FF34A1"/>
    <w:rsid w:val="00FF5CF9"/>
    <w:rsid w:val="00FF6AB6"/>
    <w:rsid w:val="00FF7B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51"/>
    <w:rPr>
      <w:rFonts w:ascii="Arial Unicode MS" w:eastAsia="Times New Roman" w:hAnsi="Arial Unicode MS"/>
      <w:szCs w:val="24"/>
    </w:rPr>
  </w:style>
  <w:style w:type="paragraph" w:styleId="Heading10">
    <w:name w:val="heading 1"/>
    <w:basedOn w:val="Normal"/>
    <w:next w:val="Normal"/>
    <w:link w:val="Heading1Char"/>
    <w:qFormat/>
    <w:rsid w:val="004941C4"/>
    <w:pPr>
      <w:keepNext/>
      <w:keepLines/>
      <w:suppressAutoHyphens/>
      <w:spacing w:before="360" w:after="240" w:line="300" w:lineRule="atLeast"/>
      <w:ind w:left="567" w:hanging="567"/>
      <w:outlineLvl w:val="0"/>
    </w:pPr>
    <w:rPr>
      <w:rFonts w:ascii="Arial" w:hAnsi="Arial"/>
      <w:b/>
      <w:sz w:val="24"/>
    </w:rPr>
  </w:style>
  <w:style w:type="paragraph" w:styleId="Heading20">
    <w:name w:val="heading 2"/>
    <w:basedOn w:val="Normal"/>
    <w:next w:val="Normal"/>
    <w:link w:val="Heading2Char"/>
    <w:qFormat/>
    <w:rsid w:val="00F90611"/>
    <w:pPr>
      <w:keepNext/>
      <w:keepLines/>
      <w:suppressAutoHyphens/>
      <w:spacing w:before="480" w:after="280"/>
      <w:ind w:left="567" w:hanging="567"/>
      <w:outlineLvl w:val="1"/>
    </w:pPr>
    <w:rPr>
      <w:rFonts w:ascii="Arial" w:hAnsi="Arial"/>
      <w:b/>
    </w:rPr>
  </w:style>
  <w:style w:type="paragraph" w:styleId="Heading3">
    <w:name w:val="heading 3"/>
    <w:basedOn w:val="Normal"/>
    <w:next w:val="Normal"/>
    <w:link w:val="Heading3Char"/>
    <w:qFormat/>
    <w:rsid w:val="006029EE"/>
    <w:pPr>
      <w:spacing w:before="480" w:after="120"/>
      <w:outlineLvl w:val="2"/>
    </w:pPr>
    <w:rPr>
      <w:i/>
    </w:rPr>
  </w:style>
  <w:style w:type="paragraph" w:styleId="Heading4">
    <w:name w:val="heading 4"/>
    <w:basedOn w:val="Normal"/>
    <w:next w:val="Normal"/>
    <w:link w:val="Heading4Char"/>
    <w:qFormat/>
    <w:rsid w:val="00C9764D"/>
    <w:pPr>
      <w:spacing w:before="240"/>
      <w:outlineLvl w:val="3"/>
    </w:pPr>
  </w:style>
  <w:style w:type="paragraph" w:styleId="Heading5">
    <w:name w:val="heading 5"/>
    <w:basedOn w:val="Normal"/>
    <w:next w:val="Normal"/>
    <w:link w:val="Heading5Char"/>
    <w:qFormat/>
    <w:rsid w:val="00C9764D"/>
    <w:pPr>
      <w:spacing w:before="240"/>
      <w:outlineLvl w:val="4"/>
    </w:pPr>
  </w:style>
  <w:style w:type="paragraph" w:styleId="Heading6">
    <w:name w:val="heading 6"/>
    <w:basedOn w:val="Normal"/>
    <w:next w:val="Normal"/>
    <w:link w:val="Heading6Char"/>
    <w:qFormat/>
    <w:rsid w:val="00C9764D"/>
    <w:pPr>
      <w:spacing w:before="240"/>
      <w:outlineLvl w:val="5"/>
    </w:pPr>
  </w:style>
  <w:style w:type="paragraph" w:styleId="Heading7">
    <w:name w:val="heading 7"/>
    <w:basedOn w:val="Normal"/>
    <w:next w:val="Normal"/>
    <w:link w:val="Heading7Char"/>
    <w:qFormat/>
    <w:rsid w:val="00C9764D"/>
    <w:pPr>
      <w:spacing w:before="240"/>
      <w:outlineLvl w:val="6"/>
    </w:pPr>
  </w:style>
  <w:style w:type="paragraph" w:styleId="Heading8">
    <w:name w:val="heading 8"/>
    <w:basedOn w:val="Normal"/>
    <w:next w:val="Normal"/>
    <w:link w:val="Heading8Char"/>
    <w:qFormat/>
    <w:rsid w:val="00C9764D"/>
    <w:pPr>
      <w:spacing w:before="240"/>
      <w:outlineLvl w:val="7"/>
    </w:pPr>
  </w:style>
  <w:style w:type="paragraph" w:styleId="Heading9">
    <w:name w:val="heading 9"/>
    <w:basedOn w:val="Normal"/>
    <w:next w:val="Normal"/>
    <w:link w:val="Heading9Char"/>
    <w:qFormat/>
    <w:rsid w:val="00C9764D"/>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4941C4"/>
    <w:rPr>
      <w:rFonts w:ascii="Arial" w:eastAsia="Times New Roman" w:hAnsi="Arial"/>
      <w:b/>
      <w:sz w:val="24"/>
      <w:szCs w:val="24"/>
    </w:rPr>
  </w:style>
  <w:style w:type="character" w:customStyle="1" w:styleId="Heading2Char">
    <w:name w:val="Heading 2 Char"/>
    <w:link w:val="Heading20"/>
    <w:rsid w:val="00F90611"/>
    <w:rPr>
      <w:rFonts w:ascii="Arial" w:eastAsia="Times New Roman" w:hAnsi="Arial"/>
      <w:b/>
      <w:szCs w:val="24"/>
    </w:rPr>
  </w:style>
  <w:style w:type="character" w:customStyle="1" w:styleId="Heading3Char">
    <w:name w:val="Heading 3 Char"/>
    <w:link w:val="Heading3"/>
    <w:rsid w:val="006029EE"/>
    <w:rPr>
      <w:rFonts w:ascii="Arial Unicode MS" w:eastAsia="Times New Roman" w:hAnsi="Arial Unicode MS"/>
      <w:i/>
      <w:szCs w:val="24"/>
    </w:rPr>
  </w:style>
  <w:style w:type="character" w:customStyle="1" w:styleId="Heading4Char">
    <w:name w:val="Heading 4 Char"/>
    <w:link w:val="Heading4"/>
    <w:rsid w:val="00C9764D"/>
    <w:rPr>
      <w:rFonts w:ascii="Times New Roman" w:eastAsia="Times New Roman" w:hAnsi="Times New Roman" w:cs="Times New Roman"/>
      <w:sz w:val="24"/>
      <w:szCs w:val="24"/>
      <w:lang w:eastAsia="en-GB"/>
    </w:rPr>
  </w:style>
  <w:style w:type="character" w:customStyle="1" w:styleId="Heading5Char">
    <w:name w:val="Heading 5 Char"/>
    <w:link w:val="Heading5"/>
    <w:rsid w:val="00C9764D"/>
    <w:rPr>
      <w:rFonts w:ascii="Times New Roman" w:eastAsia="Times New Roman" w:hAnsi="Times New Roman" w:cs="Times New Roman"/>
      <w:sz w:val="24"/>
      <w:szCs w:val="24"/>
      <w:lang w:eastAsia="en-GB"/>
    </w:rPr>
  </w:style>
  <w:style w:type="character" w:customStyle="1" w:styleId="Heading6Char">
    <w:name w:val="Heading 6 Char"/>
    <w:link w:val="Heading6"/>
    <w:rsid w:val="00C9764D"/>
    <w:rPr>
      <w:rFonts w:ascii="Times New Roman" w:eastAsia="Times New Roman" w:hAnsi="Times New Roman" w:cs="Times New Roman"/>
      <w:sz w:val="24"/>
      <w:szCs w:val="24"/>
      <w:lang w:eastAsia="en-GB"/>
    </w:rPr>
  </w:style>
  <w:style w:type="character" w:customStyle="1" w:styleId="Heading7Char">
    <w:name w:val="Heading 7 Char"/>
    <w:link w:val="Heading7"/>
    <w:rsid w:val="00C9764D"/>
    <w:rPr>
      <w:rFonts w:ascii="Times New Roman" w:eastAsia="Times New Roman" w:hAnsi="Times New Roman" w:cs="Times New Roman"/>
      <w:sz w:val="24"/>
      <w:szCs w:val="24"/>
      <w:lang w:eastAsia="en-GB"/>
    </w:rPr>
  </w:style>
  <w:style w:type="character" w:customStyle="1" w:styleId="Heading8Char">
    <w:name w:val="Heading 8 Char"/>
    <w:link w:val="Heading8"/>
    <w:rsid w:val="00C9764D"/>
    <w:rPr>
      <w:rFonts w:ascii="Times New Roman" w:eastAsia="Times New Roman" w:hAnsi="Times New Roman" w:cs="Times New Roman"/>
      <w:sz w:val="24"/>
      <w:szCs w:val="24"/>
      <w:lang w:eastAsia="en-GB"/>
    </w:rPr>
  </w:style>
  <w:style w:type="character" w:customStyle="1" w:styleId="Heading9Char">
    <w:name w:val="Heading 9 Char"/>
    <w:link w:val="Heading9"/>
    <w:rsid w:val="00C9764D"/>
    <w:rPr>
      <w:rFonts w:ascii="Times New Roman" w:eastAsia="Times New Roman" w:hAnsi="Times New Roman" w:cs="Times New Roman"/>
      <w:sz w:val="24"/>
      <w:szCs w:val="24"/>
      <w:lang w:eastAsia="en-GB"/>
    </w:rPr>
  </w:style>
  <w:style w:type="paragraph" w:customStyle="1" w:styleId="abstract">
    <w:name w:val="abstract"/>
    <w:basedOn w:val="Normal"/>
    <w:rsid w:val="00C9764D"/>
    <w:pPr>
      <w:spacing w:before="600" w:after="360" w:line="220" w:lineRule="atLeast"/>
      <w:ind w:left="567" w:right="567"/>
      <w:contextualSpacing/>
    </w:pPr>
    <w:rPr>
      <w:sz w:val="18"/>
      <w:szCs w:val="20"/>
      <w:lang w:val="en-US"/>
    </w:rPr>
  </w:style>
  <w:style w:type="paragraph" w:customStyle="1" w:styleId="address">
    <w:name w:val="address"/>
    <w:basedOn w:val="Normal"/>
    <w:rsid w:val="00C9764D"/>
    <w:pPr>
      <w:suppressAutoHyphens/>
      <w:spacing w:after="200" w:line="220" w:lineRule="atLeast"/>
      <w:contextualSpacing/>
      <w:jc w:val="center"/>
    </w:pPr>
    <w:rPr>
      <w:sz w:val="18"/>
    </w:rPr>
  </w:style>
  <w:style w:type="numbering" w:customStyle="1" w:styleId="arabnumitem">
    <w:name w:val="arabnumitem"/>
    <w:basedOn w:val="NoList"/>
    <w:semiHidden/>
    <w:rsid w:val="00C9764D"/>
    <w:pPr>
      <w:numPr>
        <w:numId w:val="1"/>
      </w:numPr>
    </w:pPr>
  </w:style>
  <w:style w:type="paragraph" w:customStyle="1" w:styleId="author">
    <w:name w:val="author"/>
    <w:basedOn w:val="Normal"/>
    <w:next w:val="address"/>
    <w:rsid w:val="00C9764D"/>
    <w:pPr>
      <w:suppressAutoHyphens/>
      <w:spacing w:after="200"/>
      <w:jc w:val="center"/>
    </w:pPr>
    <w:rPr>
      <w:szCs w:val="20"/>
      <w:lang w:val="en-US"/>
    </w:rPr>
  </w:style>
  <w:style w:type="paragraph" w:customStyle="1" w:styleId="bulletitem">
    <w:name w:val="bulletitem"/>
    <w:basedOn w:val="Normal"/>
    <w:rsid w:val="00C9764D"/>
    <w:pPr>
      <w:numPr>
        <w:numId w:val="6"/>
      </w:numPr>
      <w:spacing w:before="160" w:after="160"/>
      <w:contextualSpacing/>
    </w:pPr>
  </w:style>
  <w:style w:type="paragraph" w:customStyle="1" w:styleId="dashitem">
    <w:name w:val="dashitem"/>
    <w:basedOn w:val="Normal"/>
    <w:rsid w:val="00C9764D"/>
    <w:pPr>
      <w:numPr>
        <w:numId w:val="7"/>
      </w:numPr>
      <w:spacing w:before="160" w:after="160"/>
      <w:contextualSpacing/>
    </w:pPr>
  </w:style>
  <w:style w:type="character" w:customStyle="1" w:styleId="e-mail">
    <w:name w:val="e-mail"/>
    <w:rsid w:val="00C9764D"/>
    <w:rPr>
      <w:rFonts w:ascii="Courier" w:hAnsi="Courier"/>
      <w:noProof/>
      <w:spacing w:val="-6"/>
      <w:lang w:val="en-US"/>
    </w:rPr>
  </w:style>
  <w:style w:type="paragraph" w:customStyle="1" w:styleId="equation">
    <w:name w:val="equation"/>
    <w:basedOn w:val="Normal"/>
    <w:next w:val="Normal"/>
    <w:rsid w:val="00C9764D"/>
    <w:pPr>
      <w:tabs>
        <w:tab w:val="center" w:pos="3289"/>
        <w:tab w:val="right" w:pos="6917"/>
      </w:tabs>
      <w:spacing w:before="160" w:after="160"/>
    </w:pPr>
    <w:rPr>
      <w:szCs w:val="20"/>
      <w:lang w:val="en-US"/>
    </w:rPr>
  </w:style>
  <w:style w:type="paragraph" w:customStyle="1" w:styleId="figurecaption">
    <w:name w:val="figurecaption"/>
    <w:basedOn w:val="Normal"/>
    <w:next w:val="Normal"/>
    <w:rsid w:val="00C9764D"/>
    <w:pPr>
      <w:keepLines/>
      <w:spacing w:before="120" w:after="240" w:line="220" w:lineRule="atLeast"/>
      <w:jc w:val="center"/>
    </w:pPr>
    <w:rPr>
      <w:sz w:val="18"/>
    </w:rPr>
  </w:style>
  <w:style w:type="paragraph" w:customStyle="1" w:styleId="p1a">
    <w:name w:val="p1a"/>
    <w:basedOn w:val="Normal"/>
    <w:rsid w:val="00C9764D"/>
  </w:style>
  <w:style w:type="character" w:styleId="FootnoteReference">
    <w:name w:val="footnote reference"/>
    <w:rsid w:val="00C9764D"/>
    <w:rPr>
      <w:position w:val="0"/>
      <w:vertAlign w:val="superscript"/>
    </w:rPr>
  </w:style>
  <w:style w:type="paragraph" w:customStyle="1" w:styleId="heading1">
    <w:name w:val="heading1"/>
    <w:basedOn w:val="Heading10"/>
    <w:next w:val="Normal"/>
    <w:rsid w:val="00C9764D"/>
    <w:pPr>
      <w:numPr>
        <w:numId w:val="9"/>
      </w:numPr>
    </w:pPr>
    <w:rPr>
      <w:bCs/>
      <w:szCs w:val="20"/>
      <w:lang w:val="en-US"/>
    </w:rPr>
  </w:style>
  <w:style w:type="paragraph" w:customStyle="1" w:styleId="heading2">
    <w:name w:val="heading2"/>
    <w:basedOn w:val="Heading20"/>
    <w:next w:val="Normal"/>
    <w:rsid w:val="00C9764D"/>
    <w:pPr>
      <w:numPr>
        <w:ilvl w:val="1"/>
        <w:numId w:val="9"/>
      </w:numPr>
    </w:pPr>
    <w:rPr>
      <w:bCs/>
      <w:iCs/>
    </w:rPr>
  </w:style>
  <w:style w:type="character" w:customStyle="1" w:styleId="heading30">
    <w:name w:val="heading3"/>
    <w:rsid w:val="00C9764D"/>
    <w:rPr>
      <w:b/>
    </w:rPr>
  </w:style>
  <w:style w:type="character" w:customStyle="1" w:styleId="heading40">
    <w:name w:val="heading4"/>
    <w:rsid w:val="00C9764D"/>
    <w:rPr>
      <w:i/>
    </w:rPr>
  </w:style>
  <w:style w:type="numbering" w:customStyle="1" w:styleId="headings">
    <w:name w:val="headings"/>
    <w:basedOn w:val="arabnumitem"/>
    <w:rsid w:val="00C9764D"/>
    <w:pPr>
      <w:numPr>
        <w:numId w:val="2"/>
      </w:numPr>
    </w:pPr>
  </w:style>
  <w:style w:type="character" w:styleId="Hyperlink">
    <w:name w:val="Hyperlink"/>
    <w:uiPriority w:val="99"/>
    <w:rsid w:val="00C9764D"/>
    <w:rPr>
      <w:color w:val="auto"/>
      <w:u w:val="none"/>
    </w:rPr>
  </w:style>
  <w:style w:type="paragraph" w:customStyle="1" w:styleId="image">
    <w:name w:val="image"/>
    <w:basedOn w:val="Normal"/>
    <w:next w:val="Normal"/>
    <w:rsid w:val="00C9764D"/>
    <w:pPr>
      <w:spacing w:before="240" w:after="120"/>
      <w:jc w:val="center"/>
    </w:pPr>
    <w:rPr>
      <w:szCs w:val="20"/>
      <w:lang w:val="en-US"/>
    </w:rPr>
  </w:style>
  <w:style w:type="table" w:styleId="TableGrid">
    <w:name w:val="Table Grid"/>
    <w:basedOn w:val="TableNormal"/>
    <w:uiPriority w:val="59"/>
    <w:rsid w:val="00C9764D"/>
    <w:pPr>
      <w:overflowPunct w:val="0"/>
      <w:autoSpaceDE w:val="0"/>
      <w:autoSpaceDN w:val="0"/>
      <w:adjustRightInd w:val="0"/>
      <w:spacing w:line="240" w:lineRule="atLeast"/>
      <w:ind w:firstLine="227"/>
      <w:jc w:val="both"/>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words">
    <w:name w:val="keywords"/>
    <w:basedOn w:val="abstract"/>
    <w:next w:val="heading1"/>
    <w:rsid w:val="00C9764D"/>
    <w:pPr>
      <w:spacing w:before="220"/>
      <w:contextualSpacing w:val="0"/>
    </w:pPr>
  </w:style>
  <w:style w:type="paragraph" w:customStyle="1" w:styleId="numitem">
    <w:name w:val="numitem"/>
    <w:basedOn w:val="Normal"/>
    <w:rsid w:val="00C9764D"/>
    <w:pPr>
      <w:numPr>
        <w:numId w:val="8"/>
      </w:numPr>
      <w:spacing w:before="160" w:after="160"/>
      <w:contextualSpacing/>
    </w:pPr>
    <w:rPr>
      <w:szCs w:val="20"/>
      <w:lang w:val="en-US"/>
    </w:rPr>
  </w:style>
  <w:style w:type="paragraph" w:styleId="FootnoteText">
    <w:name w:val="footnote text"/>
    <w:basedOn w:val="Normal"/>
    <w:link w:val="FootnoteTextChar"/>
    <w:rsid w:val="00C9764D"/>
    <w:pPr>
      <w:spacing w:line="220" w:lineRule="atLeast"/>
      <w:ind w:left="227" w:hanging="227"/>
    </w:pPr>
    <w:rPr>
      <w:sz w:val="18"/>
    </w:rPr>
  </w:style>
  <w:style w:type="character" w:customStyle="1" w:styleId="FootnoteTextChar">
    <w:name w:val="Footnote Text Char"/>
    <w:link w:val="FootnoteText"/>
    <w:rsid w:val="00C9764D"/>
    <w:rPr>
      <w:rFonts w:ascii="Times New Roman" w:eastAsia="Times New Roman" w:hAnsi="Times New Roman" w:cs="Times New Roman"/>
      <w:sz w:val="18"/>
      <w:szCs w:val="24"/>
      <w:lang w:eastAsia="en-GB"/>
    </w:rPr>
  </w:style>
  <w:style w:type="paragraph" w:customStyle="1" w:styleId="programcode">
    <w:name w:val="programcode"/>
    <w:basedOn w:val="Normal"/>
    <w:rsid w:val="00C9764D"/>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contextualSpacing/>
    </w:pPr>
    <w:rPr>
      <w:rFonts w:ascii="Courier" w:hAnsi="Courier"/>
      <w:szCs w:val="20"/>
      <w:lang w:val="en-US"/>
    </w:rPr>
  </w:style>
  <w:style w:type="paragraph" w:customStyle="1" w:styleId="referenceitem">
    <w:name w:val="referenceitem"/>
    <w:basedOn w:val="Normal"/>
    <w:rsid w:val="00C9764D"/>
    <w:pPr>
      <w:numPr>
        <w:numId w:val="3"/>
      </w:numPr>
      <w:spacing w:line="220" w:lineRule="atLeast"/>
    </w:pPr>
    <w:rPr>
      <w:sz w:val="18"/>
      <w:szCs w:val="20"/>
      <w:lang w:val="en-US"/>
    </w:rPr>
  </w:style>
  <w:style w:type="numbering" w:customStyle="1" w:styleId="referencelist">
    <w:name w:val="referencelist"/>
    <w:basedOn w:val="NoList"/>
    <w:semiHidden/>
    <w:rsid w:val="00C9764D"/>
    <w:pPr>
      <w:numPr>
        <w:numId w:val="3"/>
      </w:numPr>
    </w:pPr>
  </w:style>
  <w:style w:type="paragraph" w:customStyle="1" w:styleId="runninghead-left">
    <w:name w:val="running head - left"/>
    <w:basedOn w:val="Normal"/>
    <w:rsid w:val="00C9764D"/>
    <w:rPr>
      <w:sz w:val="18"/>
      <w:szCs w:val="18"/>
    </w:rPr>
  </w:style>
  <w:style w:type="paragraph" w:customStyle="1" w:styleId="runninghead-right">
    <w:name w:val="running head - right"/>
    <w:basedOn w:val="Normal"/>
    <w:rsid w:val="00C9764D"/>
    <w:pPr>
      <w:jc w:val="right"/>
    </w:pPr>
    <w:rPr>
      <w:bCs/>
      <w:sz w:val="18"/>
      <w:szCs w:val="18"/>
    </w:rPr>
  </w:style>
  <w:style w:type="character" w:styleId="PageNumber">
    <w:name w:val="page number"/>
    <w:rsid w:val="00C9764D"/>
    <w:rPr>
      <w:sz w:val="18"/>
    </w:rPr>
  </w:style>
  <w:style w:type="paragraph" w:customStyle="1" w:styleId="Title1">
    <w:name w:val="Title1"/>
    <w:basedOn w:val="Normal"/>
    <w:next w:val="author"/>
    <w:rsid w:val="00C9764D"/>
    <w:pPr>
      <w:keepNext/>
      <w:keepLines/>
      <w:suppressAutoHyphens/>
      <w:spacing w:after="480" w:line="360" w:lineRule="atLeast"/>
      <w:jc w:val="center"/>
    </w:pPr>
    <w:rPr>
      <w:b/>
      <w:sz w:val="28"/>
    </w:rPr>
  </w:style>
  <w:style w:type="paragraph" w:customStyle="1" w:styleId="Subtitle1">
    <w:name w:val="Subtitle1"/>
    <w:basedOn w:val="Title1"/>
    <w:next w:val="author"/>
    <w:rsid w:val="00C9764D"/>
    <w:pPr>
      <w:spacing w:before="120" w:line="280" w:lineRule="atLeast"/>
    </w:pPr>
    <w:rPr>
      <w:sz w:val="24"/>
    </w:rPr>
  </w:style>
  <w:style w:type="paragraph" w:customStyle="1" w:styleId="tablecaption">
    <w:name w:val="tablecaption"/>
    <w:basedOn w:val="Normal"/>
    <w:next w:val="Normal"/>
    <w:rsid w:val="00C9764D"/>
    <w:pPr>
      <w:keepNext/>
      <w:keepLines/>
      <w:spacing w:before="240" w:after="120" w:line="220" w:lineRule="atLeast"/>
      <w:jc w:val="center"/>
    </w:pPr>
    <w:rPr>
      <w:sz w:val="18"/>
      <w:lang w:val="de-DE"/>
    </w:rPr>
  </w:style>
  <w:style w:type="character" w:customStyle="1" w:styleId="url">
    <w:name w:val="url"/>
    <w:rsid w:val="00C9764D"/>
    <w:rPr>
      <w:rFonts w:ascii="Courier" w:hAnsi="Courier"/>
      <w:noProof/>
      <w:lang w:val="en-US"/>
    </w:rPr>
  </w:style>
  <w:style w:type="paragraph" w:styleId="Footer">
    <w:name w:val="footer"/>
    <w:basedOn w:val="Normal"/>
    <w:link w:val="FooterChar"/>
    <w:uiPriority w:val="99"/>
    <w:rsid w:val="00C9764D"/>
    <w:pPr>
      <w:tabs>
        <w:tab w:val="center" w:pos="4536"/>
        <w:tab w:val="right" w:pos="9072"/>
      </w:tabs>
    </w:pPr>
  </w:style>
  <w:style w:type="character" w:customStyle="1" w:styleId="FooterChar">
    <w:name w:val="Footer Char"/>
    <w:link w:val="Footer"/>
    <w:uiPriority w:val="99"/>
    <w:rsid w:val="00C9764D"/>
    <w:rPr>
      <w:rFonts w:ascii="Times New Roman" w:eastAsia="Times New Roman" w:hAnsi="Times New Roman" w:cs="Times New Roman"/>
      <w:sz w:val="24"/>
      <w:szCs w:val="24"/>
      <w:lang w:eastAsia="en-GB"/>
    </w:rPr>
  </w:style>
  <w:style w:type="paragraph" w:styleId="ListBullet">
    <w:name w:val="List Bullet"/>
    <w:basedOn w:val="Normal"/>
    <w:rsid w:val="00C9764D"/>
    <w:pPr>
      <w:numPr>
        <w:numId w:val="4"/>
      </w:numPr>
      <w:spacing w:before="120" w:after="120"/>
      <w:contextualSpacing/>
    </w:pPr>
  </w:style>
  <w:style w:type="paragraph" w:styleId="ListNumber">
    <w:name w:val="List Number"/>
    <w:basedOn w:val="Normal"/>
    <w:rsid w:val="00C9764D"/>
    <w:pPr>
      <w:numPr>
        <w:numId w:val="5"/>
      </w:numPr>
    </w:pPr>
  </w:style>
  <w:style w:type="numbering" w:customStyle="1" w:styleId="itemization1">
    <w:name w:val="itemization1"/>
    <w:basedOn w:val="NoList"/>
    <w:semiHidden/>
    <w:rsid w:val="00C9764D"/>
    <w:pPr>
      <w:numPr>
        <w:numId w:val="6"/>
      </w:numPr>
    </w:pPr>
  </w:style>
  <w:style w:type="numbering" w:customStyle="1" w:styleId="itemization2">
    <w:name w:val="itemization2"/>
    <w:basedOn w:val="NoList"/>
    <w:semiHidden/>
    <w:rsid w:val="00C9764D"/>
    <w:pPr>
      <w:numPr>
        <w:numId w:val="7"/>
      </w:numPr>
    </w:pPr>
  </w:style>
  <w:style w:type="paragraph" w:styleId="Header">
    <w:name w:val="header"/>
    <w:basedOn w:val="Normal"/>
    <w:link w:val="HeaderChar"/>
    <w:rsid w:val="00C9764D"/>
    <w:pPr>
      <w:tabs>
        <w:tab w:val="center" w:pos="4536"/>
        <w:tab w:val="right" w:pos="9072"/>
      </w:tabs>
    </w:pPr>
    <w:rPr>
      <w:sz w:val="18"/>
    </w:rPr>
  </w:style>
  <w:style w:type="character" w:customStyle="1" w:styleId="HeaderChar">
    <w:name w:val="Header Char"/>
    <w:link w:val="Header"/>
    <w:rsid w:val="00C9764D"/>
    <w:rPr>
      <w:rFonts w:ascii="Times New Roman" w:eastAsia="Times New Roman" w:hAnsi="Times New Roman" w:cs="Times New Roman"/>
      <w:sz w:val="18"/>
      <w:szCs w:val="24"/>
      <w:lang w:eastAsia="en-GB"/>
    </w:rPr>
  </w:style>
  <w:style w:type="paragraph" w:customStyle="1" w:styleId="Runninghead-left0">
    <w:name w:val="Running head - left"/>
    <w:basedOn w:val="Normal"/>
    <w:rsid w:val="00C9764D"/>
    <w:pPr>
      <w:tabs>
        <w:tab w:val="left" w:pos="680"/>
        <w:tab w:val="right" w:pos="6237"/>
        <w:tab w:val="right" w:pos="6917"/>
      </w:tabs>
      <w:spacing w:after="120" w:line="200" w:lineRule="exact"/>
    </w:pPr>
    <w:rPr>
      <w:sz w:val="17"/>
    </w:rPr>
  </w:style>
  <w:style w:type="paragraph" w:customStyle="1" w:styleId="Runninghead-right0">
    <w:name w:val="Running head - right"/>
    <w:basedOn w:val="Runninghead-left0"/>
    <w:rsid w:val="00C9764D"/>
    <w:pPr>
      <w:jc w:val="right"/>
    </w:pPr>
  </w:style>
  <w:style w:type="paragraph" w:customStyle="1" w:styleId="affiliation">
    <w:name w:val="affiliation"/>
    <w:basedOn w:val="Normal"/>
    <w:next w:val="Normal"/>
    <w:rsid w:val="00C9764D"/>
    <w:pPr>
      <w:suppressAutoHyphens/>
      <w:spacing w:before="120" w:line="200" w:lineRule="atLeast"/>
      <w:ind w:left="238"/>
    </w:pPr>
    <w:rPr>
      <w:sz w:val="17"/>
    </w:rPr>
  </w:style>
  <w:style w:type="paragraph" w:customStyle="1" w:styleId="quotation">
    <w:name w:val="quotation"/>
    <w:basedOn w:val="affiliation"/>
    <w:next w:val="Normal"/>
    <w:rsid w:val="00C9764D"/>
    <w:pPr>
      <w:spacing w:after="120"/>
      <w:ind w:right="238"/>
      <w:contextualSpacing/>
    </w:pPr>
  </w:style>
  <w:style w:type="paragraph" w:styleId="NoSpacing">
    <w:name w:val="No Spacing"/>
    <w:uiPriority w:val="1"/>
    <w:qFormat/>
    <w:rsid w:val="00C9764D"/>
    <w:rPr>
      <w:sz w:val="22"/>
      <w:szCs w:val="22"/>
      <w:lang w:eastAsia="en-US"/>
    </w:rPr>
  </w:style>
  <w:style w:type="paragraph" w:styleId="Quote">
    <w:name w:val="Quote"/>
    <w:basedOn w:val="Normal"/>
    <w:next w:val="Normal"/>
    <w:link w:val="QuoteChar"/>
    <w:uiPriority w:val="29"/>
    <w:qFormat/>
    <w:rsid w:val="00C9764D"/>
    <w:pPr>
      <w:spacing w:before="120" w:after="320" w:line="276" w:lineRule="auto"/>
    </w:pPr>
    <w:rPr>
      <w:rFonts w:ascii="Arial" w:eastAsia="Calibri" w:hAnsi="Arial"/>
      <w:i/>
      <w:iCs/>
      <w:color w:val="000000"/>
      <w:szCs w:val="20"/>
    </w:rPr>
  </w:style>
  <w:style w:type="character" w:customStyle="1" w:styleId="QuoteChar">
    <w:name w:val="Quote Char"/>
    <w:link w:val="Quote"/>
    <w:uiPriority w:val="29"/>
    <w:rsid w:val="00C9764D"/>
    <w:rPr>
      <w:rFonts w:ascii="Arial" w:hAnsi="Arial"/>
      <w:i/>
      <w:iCs/>
      <w:color w:val="000000"/>
    </w:rPr>
  </w:style>
  <w:style w:type="paragraph" w:styleId="BalloonText">
    <w:name w:val="Balloon Text"/>
    <w:basedOn w:val="Normal"/>
    <w:link w:val="BalloonTextChar"/>
    <w:rsid w:val="00C9764D"/>
    <w:rPr>
      <w:rFonts w:ascii="Tahoma" w:hAnsi="Tahoma"/>
      <w:sz w:val="16"/>
      <w:szCs w:val="16"/>
    </w:rPr>
  </w:style>
  <w:style w:type="character" w:customStyle="1" w:styleId="BalloonTextChar">
    <w:name w:val="Balloon Text Char"/>
    <w:link w:val="BalloonText"/>
    <w:rsid w:val="00C9764D"/>
    <w:rPr>
      <w:rFonts w:ascii="Tahoma" w:eastAsia="Times New Roman" w:hAnsi="Tahoma" w:cs="Tahoma"/>
      <w:sz w:val="16"/>
      <w:szCs w:val="16"/>
      <w:lang w:eastAsia="en-GB"/>
    </w:rPr>
  </w:style>
  <w:style w:type="character" w:styleId="CommentReference">
    <w:name w:val="annotation reference"/>
    <w:uiPriority w:val="99"/>
    <w:semiHidden/>
    <w:unhideWhenUsed/>
    <w:rsid w:val="00BA2B47"/>
    <w:rPr>
      <w:sz w:val="16"/>
      <w:szCs w:val="16"/>
    </w:rPr>
  </w:style>
  <w:style w:type="paragraph" w:styleId="CommentText">
    <w:name w:val="annotation text"/>
    <w:basedOn w:val="Normal"/>
    <w:link w:val="CommentTextChar"/>
    <w:uiPriority w:val="99"/>
    <w:semiHidden/>
    <w:unhideWhenUsed/>
    <w:rsid w:val="00BA2B47"/>
    <w:rPr>
      <w:szCs w:val="20"/>
    </w:rPr>
  </w:style>
  <w:style w:type="character" w:customStyle="1" w:styleId="CommentTextChar">
    <w:name w:val="Comment Text Char"/>
    <w:link w:val="CommentText"/>
    <w:uiPriority w:val="99"/>
    <w:semiHidden/>
    <w:rsid w:val="00BA2B4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A2B47"/>
    <w:rPr>
      <w:b/>
      <w:bCs/>
    </w:rPr>
  </w:style>
  <w:style w:type="character" w:customStyle="1" w:styleId="CommentSubjectChar">
    <w:name w:val="Comment Subject Char"/>
    <w:link w:val="CommentSubject"/>
    <w:uiPriority w:val="99"/>
    <w:semiHidden/>
    <w:rsid w:val="00BA2B47"/>
    <w:rPr>
      <w:rFonts w:ascii="Times New Roman" w:eastAsia="Times New Roman" w:hAnsi="Times New Roman"/>
      <w:b/>
      <w:bCs/>
    </w:rPr>
  </w:style>
  <w:style w:type="paragraph" w:styleId="ListParagraph">
    <w:name w:val="List Paragraph"/>
    <w:basedOn w:val="Normal"/>
    <w:uiPriority w:val="34"/>
    <w:qFormat/>
    <w:rsid w:val="00D73287"/>
    <w:pPr>
      <w:ind w:left="720"/>
      <w:contextualSpacing/>
    </w:pPr>
  </w:style>
  <w:style w:type="character" w:customStyle="1" w:styleId="googqs-tidbit1">
    <w:name w:val="goog_qs-tidbit1"/>
    <w:basedOn w:val="DefaultParagraphFont"/>
    <w:rsid w:val="00377E1E"/>
    <w:rPr>
      <w:vanish w:val="0"/>
      <w:webHidden w:val="0"/>
      <w:specVanish w:val="0"/>
    </w:rPr>
  </w:style>
  <w:style w:type="character" w:styleId="FollowedHyperlink">
    <w:name w:val="FollowedHyperlink"/>
    <w:basedOn w:val="DefaultParagraphFont"/>
    <w:uiPriority w:val="99"/>
    <w:semiHidden/>
    <w:unhideWhenUsed/>
    <w:rsid w:val="00D477CE"/>
    <w:rPr>
      <w:color w:val="800080" w:themeColor="followedHyperlink"/>
      <w:u w:val="single"/>
    </w:rPr>
  </w:style>
  <w:style w:type="paragraph" w:styleId="NormalWeb">
    <w:name w:val="Normal (Web)"/>
    <w:basedOn w:val="Normal"/>
    <w:uiPriority w:val="99"/>
    <w:unhideWhenUsed/>
    <w:rsid w:val="0017066F"/>
    <w:pPr>
      <w:spacing w:before="100" w:beforeAutospacing="1" w:after="100" w:afterAutospacing="1"/>
    </w:pPr>
    <w:rPr>
      <w:rFonts w:ascii="Times New Roman" w:eastAsiaTheme="minorEastAsia" w:hAnsi="Times New Roman"/>
      <w:sz w:val="24"/>
    </w:rPr>
  </w:style>
  <w:style w:type="paragraph" w:styleId="Revision">
    <w:name w:val="Revision"/>
    <w:hidden/>
    <w:uiPriority w:val="99"/>
    <w:semiHidden/>
    <w:rsid w:val="000B0A5A"/>
    <w:rPr>
      <w:rFonts w:ascii="Arial Unicode MS" w:eastAsia="Times New Roman" w:hAnsi="Arial Unicode MS"/>
      <w:szCs w:val="24"/>
    </w:rPr>
  </w:style>
  <w:style w:type="paragraph" w:customStyle="1" w:styleId="01PaperTitle">
    <w:name w:val="01. Paper Title"/>
    <w:basedOn w:val="Normal"/>
    <w:qFormat/>
    <w:rsid w:val="005A501A"/>
    <w:pPr>
      <w:spacing w:before="240" w:after="960"/>
    </w:pPr>
    <w:rPr>
      <w:rFonts w:ascii="Helvetica" w:eastAsia="Calibri" w:hAnsi="Helvetica"/>
      <w:b/>
      <w:sz w:val="48"/>
      <w:szCs w:val="48"/>
      <w:lang w:val="en-US" w:eastAsia="en-US"/>
    </w:rPr>
  </w:style>
  <w:style w:type="paragraph" w:customStyle="1" w:styleId="05AbstractBodyApplytomaintextofAbstract">
    <w:name w:val="05. Abstract Body [Apply to main text of Abstract]"/>
    <w:basedOn w:val="Normal"/>
    <w:qFormat/>
    <w:rsid w:val="005A501A"/>
    <w:pPr>
      <w:tabs>
        <w:tab w:val="left" w:pos="3960"/>
        <w:tab w:val="left" w:pos="7560"/>
      </w:tabs>
      <w:spacing w:before="60" w:line="288" w:lineRule="auto"/>
      <w:jc w:val="both"/>
    </w:pPr>
    <w:rPr>
      <w:rFonts w:ascii="Garamond" w:eastAsia="Calibri" w:hAnsi="Garamond"/>
      <w:i/>
      <w:sz w:val="21"/>
      <w:szCs w:val="18"/>
      <w:lang w:val="en-US" w:eastAsia="en-US"/>
    </w:rPr>
  </w:style>
  <w:style w:type="paragraph" w:customStyle="1" w:styleId="06BodyMaintext">
    <w:name w:val="06. Body [Main text]"/>
    <w:basedOn w:val="Normal"/>
    <w:qFormat/>
    <w:rsid w:val="005A501A"/>
    <w:pPr>
      <w:widowControl w:val="0"/>
      <w:autoSpaceDE w:val="0"/>
      <w:autoSpaceDN w:val="0"/>
      <w:adjustRightInd w:val="0"/>
      <w:spacing w:line="288" w:lineRule="auto"/>
      <w:ind w:firstLine="446"/>
      <w:jc w:val="both"/>
      <w:textAlignment w:val="center"/>
    </w:pPr>
    <w:rPr>
      <w:rFonts w:ascii="Garamond" w:eastAsia="Calibri" w:hAnsi="Garamond"/>
      <w:color w:val="000000"/>
      <w:sz w:val="21"/>
      <w:szCs w:val="20"/>
      <w:lang w:val="en-US" w:eastAsia="en-US"/>
    </w:rPr>
  </w:style>
  <w:style w:type="paragraph" w:customStyle="1" w:styleId="08BodySpaceBelowApplytomaintextbeforeanumberedlist">
    <w:name w:val="08. Body Space Below [Apply to main text before a numbered list]"/>
    <w:basedOn w:val="06BodyMaintext"/>
    <w:qFormat/>
    <w:rsid w:val="005A501A"/>
    <w:pPr>
      <w:spacing w:after="240"/>
    </w:pPr>
  </w:style>
  <w:style w:type="paragraph" w:customStyle="1" w:styleId="15TableTitle">
    <w:name w:val="15. Table Title"/>
    <w:basedOn w:val="Normal"/>
    <w:qFormat/>
    <w:rsid w:val="005A501A"/>
    <w:pPr>
      <w:ind w:left="720" w:hanging="360"/>
      <w:jc w:val="center"/>
    </w:pPr>
    <w:rPr>
      <w:rFonts w:ascii="Helvetica" w:eastAsia="Calibri" w:hAnsi="Helvetica"/>
      <w:b/>
      <w:szCs w:val="20"/>
      <w:lang w:val="en-US" w:eastAsia="en-US"/>
    </w:rPr>
  </w:style>
  <w:style w:type="paragraph" w:customStyle="1" w:styleId="14TableHeading">
    <w:name w:val="14. Table Heading"/>
    <w:basedOn w:val="Normal"/>
    <w:qFormat/>
    <w:rsid w:val="005A501A"/>
    <w:pPr>
      <w:ind w:left="720" w:hanging="360"/>
      <w:jc w:val="center"/>
    </w:pPr>
    <w:rPr>
      <w:rFonts w:ascii="AGaramond" w:eastAsia="Calibri" w:hAnsi="AGaramond"/>
      <w:b/>
      <w:szCs w:val="20"/>
      <w:lang w:val="en-US" w:eastAsia="en-US"/>
    </w:rPr>
  </w:style>
  <w:style w:type="paragraph" w:customStyle="1" w:styleId="16TableText">
    <w:name w:val="16. Table Text"/>
    <w:basedOn w:val="Normal"/>
    <w:qFormat/>
    <w:rsid w:val="005A501A"/>
    <w:pPr>
      <w:ind w:left="720" w:hanging="360"/>
      <w:jc w:val="center"/>
    </w:pPr>
    <w:rPr>
      <w:rFonts w:ascii="Garamond" w:eastAsia="Calibri" w:hAnsi="Garamond"/>
      <w:sz w:val="21"/>
      <w:szCs w:val="20"/>
      <w:lang w:val="en-US" w:eastAsia="en-US"/>
    </w:rPr>
  </w:style>
  <w:style w:type="paragraph" w:customStyle="1" w:styleId="07BodySpaceAboveApplytomaintextafternumberedlist">
    <w:name w:val="07. Body Space Above [Apply to main text after numbered list]"/>
    <w:basedOn w:val="08BodySpaceBelowApplytomaintextbeforeanumberedlist"/>
    <w:qFormat/>
    <w:rsid w:val="005A501A"/>
    <w:pPr>
      <w:spacing w:before="240"/>
    </w:pPr>
  </w:style>
  <w:style w:type="paragraph" w:customStyle="1" w:styleId="11Level2Heading">
    <w:name w:val="11. Level 2 Heading"/>
    <w:basedOn w:val="Normal"/>
    <w:qFormat/>
    <w:rsid w:val="00096AD6"/>
    <w:pPr>
      <w:autoSpaceDE w:val="0"/>
      <w:autoSpaceDN w:val="0"/>
      <w:adjustRightInd w:val="0"/>
      <w:spacing w:before="240" w:after="120" w:line="288" w:lineRule="auto"/>
      <w:textAlignment w:val="center"/>
    </w:pPr>
    <w:rPr>
      <w:rFonts w:ascii="Helvetica" w:eastAsia="Calibri" w:hAnsi="Helvetica"/>
      <w:b/>
      <w:color w:val="000000"/>
      <w:szCs w:val="20"/>
      <w:lang w:val="en-US" w:eastAsia="en-US"/>
    </w:rPr>
  </w:style>
  <w:style w:type="paragraph" w:customStyle="1" w:styleId="09BodyafterTableApplytomaintextafteratable">
    <w:name w:val="09. Body after Table [Apply to main text after a table]"/>
    <w:basedOn w:val="07BodySpaceAboveApplytomaintextafternumberedlist"/>
    <w:qFormat/>
    <w:rsid w:val="00532A5F"/>
    <w:pPr>
      <w:ind w:firstLine="0"/>
    </w:pPr>
  </w:style>
  <w:style w:type="paragraph" w:customStyle="1" w:styleId="18References">
    <w:name w:val="18. References"/>
    <w:basedOn w:val="Normal"/>
    <w:qFormat/>
    <w:rsid w:val="00E910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s>
      <w:autoSpaceDE w:val="0"/>
      <w:autoSpaceDN w:val="0"/>
      <w:adjustRightInd w:val="0"/>
      <w:spacing w:line="240" w:lineRule="atLeast"/>
      <w:ind w:left="360" w:hanging="360"/>
      <w:jc w:val="both"/>
    </w:pPr>
    <w:rPr>
      <w:rFonts w:ascii="Garamond" w:eastAsia="Calibri" w:hAnsi="Garamond" w:cs="Times New Roman PS MT"/>
      <w:color w:val="000000"/>
      <w:sz w:val="21"/>
      <w:szCs w:val="20"/>
      <w:lang w:val="en-US" w:eastAsia="en-US"/>
    </w:rPr>
  </w:style>
  <w:style w:type="paragraph" w:customStyle="1" w:styleId="10Level1Heading">
    <w:name w:val="10. Level 1 Heading"/>
    <w:basedOn w:val="Normal"/>
    <w:qFormat/>
    <w:rsid w:val="00582018"/>
    <w:pPr>
      <w:autoSpaceDE w:val="0"/>
      <w:autoSpaceDN w:val="0"/>
      <w:adjustRightInd w:val="0"/>
      <w:spacing w:before="240" w:after="120" w:line="288" w:lineRule="auto"/>
      <w:textAlignment w:val="center"/>
    </w:pPr>
    <w:rPr>
      <w:rFonts w:ascii="Helvetica" w:eastAsia="Calibri" w:hAnsi="Helvetica"/>
      <w:b/>
      <w:caps/>
      <w:color w:val="000000"/>
      <w:szCs w:val="20"/>
      <w:lang w:val="en-US" w:eastAsia="en-US"/>
    </w:rPr>
  </w:style>
  <w:style w:type="character" w:customStyle="1" w:styleId="apple-converted-space">
    <w:name w:val="apple-converted-space"/>
    <w:rsid w:val="00582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51"/>
    <w:rPr>
      <w:rFonts w:ascii="Arial Unicode MS" w:eastAsia="Times New Roman" w:hAnsi="Arial Unicode MS"/>
      <w:szCs w:val="24"/>
    </w:rPr>
  </w:style>
  <w:style w:type="paragraph" w:styleId="Heading10">
    <w:name w:val="heading 1"/>
    <w:basedOn w:val="Normal"/>
    <w:next w:val="Normal"/>
    <w:link w:val="Heading1Char"/>
    <w:qFormat/>
    <w:rsid w:val="004941C4"/>
    <w:pPr>
      <w:keepNext/>
      <w:keepLines/>
      <w:suppressAutoHyphens/>
      <w:spacing w:before="360" w:after="240" w:line="300" w:lineRule="atLeast"/>
      <w:ind w:left="567" w:hanging="567"/>
      <w:outlineLvl w:val="0"/>
    </w:pPr>
    <w:rPr>
      <w:rFonts w:ascii="Arial" w:hAnsi="Arial"/>
      <w:b/>
      <w:sz w:val="24"/>
    </w:rPr>
  </w:style>
  <w:style w:type="paragraph" w:styleId="Heading20">
    <w:name w:val="heading 2"/>
    <w:basedOn w:val="Normal"/>
    <w:next w:val="Normal"/>
    <w:link w:val="Heading2Char"/>
    <w:qFormat/>
    <w:rsid w:val="00F90611"/>
    <w:pPr>
      <w:keepNext/>
      <w:keepLines/>
      <w:suppressAutoHyphens/>
      <w:spacing w:before="480" w:after="280"/>
      <w:ind w:left="567" w:hanging="567"/>
      <w:outlineLvl w:val="1"/>
    </w:pPr>
    <w:rPr>
      <w:rFonts w:ascii="Arial" w:hAnsi="Arial"/>
      <w:b/>
    </w:rPr>
  </w:style>
  <w:style w:type="paragraph" w:styleId="Heading3">
    <w:name w:val="heading 3"/>
    <w:basedOn w:val="Normal"/>
    <w:next w:val="Normal"/>
    <w:link w:val="Heading3Char"/>
    <w:qFormat/>
    <w:rsid w:val="006029EE"/>
    <w:pPr>
      <w:spacing w:before="480" w:after="120"/>
      <w:outlineLvl w:val="2"/>
    </w:pPr>
    <w:rPr>
      <w:i/>
    </w:rPr>
  </w:style>
  <w:style w:type="paragraph" w:styleId="Heading4">
    <w:name w:val="heading 4"/>
    <w:basedOn w:val="Normal"/>
    <w:next w:val="Normal"/>
    <w:link w:val="Heading4Char"/>
    <w:qFormat/>
    <w:rsid w:val="00C9764D"/>
    <w:pPr>
      <w:spacing w:before="240"/>
      <w:outlineLvl w:val="3"/>
    </w:pPr>
  </w:style>
  <w:style w:type="paragraph" w:styleId="Heading5">
    <w:name w:val="heading 5"/>
    <w:basedOn w:val="Normal"/>
    <w:next w:val="Normal"/>
    <w:link w:val="Heading5Char"/>
    <w:qFormat/>
    <w:rsid w:val="00C9764D"/>
    <w:pPr>
      <w:spacing w:before="240"/>
      <w:outlineLvl w:val="4"/>
    </w:pPr>
  </w:style>
  <w:style w:type="paragraph" w:styleId="Heading6">
    <w:name w:val="heading 6"/>
    <w:basedOn w:val="Normal"/>
    <w:next w:val="Normal"/>
    <w:link w:val="Heading6Char"/>
    <w:qFormat/>
    <w:rsid w:val="00C9764D"/>
    <w:pPr>
      <w:spacing w:before="240"/>
      <w:outlineLvl w:val="5"/>
    </w:pPr>
  </w:style>
  <w:style w:type="paragraph" w:styleId="Heading7">
    <w:name w:val="heading 7"/>
    <w:basedOn w:val="Normal"/>
    <w:next w:val="Normal"/>
    <w:link w:val="Heading7Char"/>
    <w:qFormat/>
    <w:rsid w:val="00C9764D"/>
    <w:pPr>
      <w:spacing w:before="240"/>
      <w:outlineLvl w:val="6"/>
    </w:pPr>
  </w:style>
  <w:style w:type="paragraph" w:styleId="Heading8">
    <w:name w:val="heading 8"/>
    <w:basedOn w:val="Normal"/>
    <w:next w:val="Normal"/>
    <w:link w:val="Heading8Char"/>
    <w:qFormat/>
    <w:rsid w:val="00C9764D"/>
    <w:pPr>
      <w:spacing w:before="240"/>
      <w:outlineLvl w:val="7"/>
    </w:pPr>
  </w:style>
  <w:style w:type="paragraph" w:styleId="Heading9">
    <w:name w:val="heading 9"/>
    <w:basedOn w:val="Normal"/>
    <w:next w:val="Normal"/>
    <w:link w:val="Heading9Char"/>
    <w:qFormat/>
    <w:rsid w:val="00C9764D"/>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4941C4"/>
    <w:rPr>
      <w:rFonts w:ascii="Arial" w:eastAsia="Times New Roman" w:hAnsi="Arial"/>
      <w:b/>
      <w:sz w:val="24"/>
      <w:szCs w:val="24"/>
    </w:rPr>
  </w:style>
  <w:style w:type="character" w:customStyle="1" w:styleId="Heading2Char">
    <w:name w:val="Heading 2 Char"/>
    <w:link w:val="Heading20"/>
    <w:rsid w:val="00F90611"/>
    <w:rPr>
      <w:rFonts w:ascii="Arial" w:eastAsia="Times New Roman" w:hAnsi="Arial"/>
      <w:b/>
      <w:szCs w:val="24"/>
    </w:rPr>
  </w:style>
  <w:style w:type="character" w:customStyle="1" w:styleId="Heading3Char">
    <w:name w:val="Heading 3 Char"/>
    <w:link w:val="Heading3"/>
    <w:rsid w:val="006029EE"/>
    <w:rPr>
      <w:rFonts w:ascii="Arial Unicode MS" w:eastAsia="Times New Roman" w:hAnsi="Arial Unicode MS"/>
      <w:i/>
      <w:szCs w:val="24"/>
    </w:rPr>
  </w:style>
  <w:style w:type="character" w:customStyle="1" w:styleId="Heading4Char">
    <w:name w:val="Heading 4 Char"/>
    <w:link w:val="Heading4"/>
    <w:rsid w:val="00C9764D"/>
    <w:rPr>
      <w:rFonts w:ascii="Times New Roman" w:eastAsia="Times New Roman" w:hAnsi="Times New Roman" w:cs="Times New Roman"/>
      <w:sz w:val="24"/>
      <w:szCs w:val="24"/>
      <w:lang w:eastAsia="en-GB"/>
    </w:rPr>
  </w:style>
  <w:style w:type="character" w:customStyle="1" w:styleId="Heading5Char">
    <w:name w:val="Heading 5 Char"/>
    <w:link w:val="Heading5"/>
    <w:rsid w:val="00C9764D"/>
    <w:rPr>
      <w:rFonts w:ascii="Times New Roman" w:eastAsia="Times New Roman" w:hAnsi="Times New Roman" w:cs="Times New Roman"/>
      <w:sz w:val="24"/>
      <w:szCs w:val="24"/>
      <w:lang w:eastAsia="en-GB"/>
    </w:rPr>
  </w:style>
  <w:style w:type="character" w:customStyle="1" w:styleId="Heading6Char">
    <w:name w:val="Heading 6 Char"/>
    <w:link w:val="Heading6"/>
    <w:rsid w:val="00C9764D"/>
    <w:rPr>
      <w:rFonts w:ascii="Times New Roman" w:eastAsia="Times New Roman" w:hAnsi="Times New Roman" w:cs="Times New Roman"/>
      <w:sz w:val="24"/>
      <w:szCs w:val="24"/>
      <w:lang w:eastAsia="en-GB"/>
    </w:rPr>
  </w:style>
  <w:style w:type="character" w:customStyle="1" w:styleId="Heading7Char">
    <w:name w:val="Heading 7 Char"/>
    <w:link w:val="Heading7"/>
    <w:rsid w:val="00C9764D"/>
    <w:rPr>
      <w:rFonts w:ascii="Times New Roman" w:eastAsia="Times New Roman" w:hAnsi="Times New Roman" w:cs="Times New Roman"/>
      <w:sz w:val="24"/>
      <w:szCs w:val="24"/>
      <w:lang w:eastAsia="en-GB"/>
    </w:rPr>
  </w:style>
  <w:style w:type="character" w:customStyle="1" w:styleId="Heading8Char">
    <w:name w:val="Heading 8 Char"/>
    <w:link w:val="Heading8"/>
    <w:rsid w:val="00C9764D"/>
    <w:rPr>
      <w:rFonts w:ascii="Times New Roman" w:eastAsia="Times New Roman" w:hAnsi="Times New Roman" w:cs="Times New Roman"/>
      <w:sz w:val="24"/>
      <w:szCs w:val="24"/>
      <w:lang w:eastAsia="en-GB"/>
    </w:rPr>
  </w:style>
  <w:style w:type="character" w:customStyle="1" w:styleId="Heading9Char">
    <w:name w:val="Heading 9 Char"/>
    <w:link w:val="Heading9"/>
    <w:rsid w:val="00C9764D"/>
    <w:rPr>
      <w:rFonts w:ascii="Times New Roman" w:eastAsia="Times New Roman" w:hAnsi="Times New Roman" w:cs="Times New Roman"/>
      <w:sz w:val="24"/>
      <w:szCs w:val="24"/>
      <w:lang w:eastAsia="en-GB"/>
    </w:rPr>
  </w:style>
  <w:style w:type="paragraph" w:customStyle="1" w:styleId="abstract">
    <w:name w:val="abstract"/>
    <w:basedOn w:val="Normal"/>
    <w:rsid w:val="00C9764D"/>
    <w:pPr>
      <w:spacing w:before="600" w:after="360" w:line="220" w:lineRule="atLeast"/>
      <w:ind w:left="567" w:right="567"/>
      <w:contextualSpacing/>
    </w:pPr>
    <w:rPr>
      <w:sz w:val="18"/>
      <w:szCs w:val="20"/>
      <w:lang w:val="en-US"/>
    </w:rPr>
  </w:style>
  <w:style w:type="paragraph" w:customStyle="1" w:styleId="address">
    <w:name w:val="address"/>
    <w:basedOn w:val="Normal"/>
    <w:rsid w:val="00C9764D"/>
    <w:pPr>
      <w:suppressAutoHyphens/>
      <w:spacing w:after="200" w:line="220" w:lineRule="atLeast"/>
      <w:contextualSpacing/>
      <w:jc w:val="center"/>
    </w:pPr>
    <w:rPr>
      <w:sz w:val="18"/>
    </w:rPr>
  </w:style>
  <w:style w:type="numbering" w:customStyle="1" w:styleId="arabnumitem">
    <w:name w:val="arabnumitem"/>
    <w:basedOn w:val="NoList"/>
    <w:semiHidden/>
    <w:rsid w:val="00C9764D"/>
    <w:pPr>
      <w:numPr>
        <w:numId w:val="1"/>
      </w:numPr>
    </w:pPr>
  </w:style>
  <w:style w:type="paragraph" w:customStyle="1" w:styleId="author">
    <w:name w:val="author"/>
    <w:basedOn w:val="Normal"/>
    <w:next w:val="address"/>
    <w:rsid w:val="00C9764D"/>
    <w:pPr>
      <w:suppressAutoHyphens/>
      <w:spacing w:after="200"/>
      <w:jc w:val="center"/>
    </w:pPr>
    <w:rPr>
      <w:szCs w:val="20"/>
      <w:lang w:val="en-US"/>
    </w:rPr>
  </w:style>
  <w:style w:type="paragraph" w:customStyle="1" w:styleId="bulletitem">
    <w:name w:val="bulletitem"/>
    <w:basedOn w:val="Normal"/>
    <w:rsid w:val="00C9764D"/>
    <w:pPr>
      <w:numPr>
        <w:numId w:val="6"/>
      </w:numPr>
      <w:spacing w:before="160" w:after="160"/>
      <w:contextualSpacing/>
    </w:pPr>
  </w:style>
  <w:style w:type="paragraph" w:customStyle="1" w:styleId="dashitem">
    <w:name w:val="dashitem"/>
    <w:basedOn w:val="Normal"/>
    <w:rsid w:val="00C9764D"/>
    <w:pPr>
      <w:numPr>
        <w:numId w:val="7"/>
      </w:numPr>
      <w:spacing w:before="160" w:after="160"/>
      <w:contextualSpacing/>
    </w:pPr>
  </w:style>
  <w:style w:type="character" w:customStyle="1" w:styleId="e-mail">
    <w:name w:val="e-mail"/>
    <w:rsid w:val="00C9764D"/>
    <w:rPr>
      <w:rFonts w:ascii="Courier" w:hAnsi="Courier"/>
      <w:noProof/>
      <w:spacing w:val="-6"/>
      <w:lang w:val="en-US"/>
    </w:rPr>
  </w:style>
  <w:style w:type="paragraph" w:customStyle="1" w:styleId="equation">
    <w:name w:val="equation"/>
    <w:basedOn w:val="Normal"/>
    <w:next w:val="Normal"/>
    <w:rsid w:val="00C9764D"/>
    <w:pPr>
      <w:tabs>
        <w:tab w:val="center" w:pos="3289"/>
        <w:tab w:val="right" w:pos="6917"/>
      </w:tabs>
      <w:spacing w:before="160" w:after="160"/>
    </w:pPr>
    <w:rPr>
      <w:szCs w:val="20"/>
      <w:lang w:val="en-US"/>
    </w:rPr>
  </w:style>
  <w:style w:type="paragraph" w:customStyle="1" w:styleId="figurecaption">
    <w:name w:val="figurecaption"/>
    <w:basedOn w:val="Normal"/>
    <w:next w:val="Normal"/>
    <w:rsid w:val="00C9764D"/>
    <w:pPr>
      <w:keepLines/>
      <w:spacing w:before="120" w:after="240" w:line="220" w:lineRule="atLeast"/>
      <w:jc w:val="center"/>
    </w:pPr>
    <w:rPr>
      <w:sz w:val="18"/>
    </w:rPr>
  </w:style>
  <w:style w:type="paragraph" w:customStyle="1" w:styleId="p1a">
    <w:name w:val="p1a"/>
    <w:basedOn w:val="Normal"/>
    <w:rsid w:val="00C9764D"/>
  </w:style>
  <w:style w:type="character" w:styleId="FootnoteReference">
    <w:name w:val="footnote reference"/>
    <w:rsid w:val="00C9764D"/>
    <w:rPr>
      <w:position w:val="0"/>
      <w:vertAlign w:val="superscript"/>
    </w:rPr>
  </w:style>
  <w:style w:type="paragraph" w:customStyle="1" w:styleId="heading1">
    <w:name w:val="heading1"/>
    <w:basedOn w:val="Heading10"/>
    <w:next w:val="Normal"/>
    <w:rsid w:val="00C9764D"/>
    <w:pPr>
      <w:numPr>
        <w:numId w:val="9"/>
      </w:numPr>
    </w:pPr>
    <w:rPr>
      <w:bCs/>
      <w:szCs w:val="20"/>
      <w:lang w:val="en-US"/>
    </w:rPr>
  </w:style>
  <w:style w:type="paragraph" w:customStyle="1" w:styleId="heading2">
    <w:name w:val="heading2"/>
    <w:basedOn w:val="Heading20"/>
    <w:next w:val="Normal"/>
    <w:rsid w:val="00C9764D"/>
    <w:pPr>
      <w:numPr>
        <w:ilvl w:val="1"/>
        <w:numId w:val="9"/>
      </w:numPr>
    </w:pPr>
    <w:rPr>
      <w:bCs/>
      <w:iCs/>
    </w:rPr>
  </w:style>
  <w:style w:type="character" w:customStyle="1" w:styleId="heading30">
    <w:name w:val="heading3"/>
    <w:rsid w:val="00C9764D"/>
    <w:rPr>
      <w:b/>
    </w:rPr>
  </w:style>
  <w:style w:type="character" w:customStyle="1" w:styleId="heading40">
    <w:name w:val="heading4"/>
    <w:rsid w:val="00C9764D"/>
    <w:rPr>
      <w:i/>
    </w:rPr>
  </w:style>
  <w:style w:type="numbering" w:customStyle="1" w:styleId="headings">
    <w:name w:val="headings"/>
    <w:basedOn w:val="arabnumitem"/>
    <w:rsid w:val="00C9764D"/>
    <w:pPr>
      <w:numPr>
        <w:numId w:val="2"/>
      </w:numPr>
    </w:pPr>
  </w:style>
  <w:style w:type="character" w:styleId="Hyperlink">
    <w:name w:val="Hyperlink"/>
    <w:uiPriority w:val="99"/>
    <w:rsid w:val="00C9764D"/>
    <w:rPr>
      <w:color w:val="auto"/>
      <w:u w:val="none"/>
    </w:rPr>
  </w:style>
  <w:style w:type="paragraph" w:customStyle="1" w:styleId="image">
    <w:name w:val="image"/>
    <w:basedOn w:val="Normal"/>
    <w:next w:val="Normal"/>
    <w:rsid w:val="00C9764D"/>
    <w:pPr>
      <w:spacing w:before="240" w:after="120"/>
      <w:jc w:val="center"/>
    </w:pPr>
    <w:rPr>
      <w:szCs w:val="20"/>
      <w:lang w:val="en-US"/>
    </w:rPr>
  </w:style>
  <w:style w:type="table" w:styleId="TableGrid">
    <w:name w:val="Table Grid"/>
    <w:basedOn w:val="TableNormal"/>
    <w:uiPriority w:val="59"/>
    <w:rsid w:val="00C9764D"/>
    <w:pPr>
      <w:overflowPunct w:val="0"/>
      <w:autoSpaceDE w:val="0"/>
      <w:autoSpaceDN w:val="0"/>
      <w:adjustRightInd w:val="0"/>
      <w:spacing w:line="240" w:lineRule="atLeast"/>
      <w:ind w:firstLine="227"/>
      <w:jc w:val="both"/>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words">
    <w:name w:val="keywords"/>
    <w:basedOn w:val="abstract"/>
    <w:next w:val="heading1"/>
    <w:rsid w:val="00C9764D"/>
    <w:pPr>
      <w:spacing w:before="220"/>
      <w:contextualSpacing w:val="0"/>
    </w:pPr>
  </w:style>
  <w:style w:type="paragraph" w:customStyle="1" w:styleId="numitem">
    <w:name w:val="numitem"/>
    <w:basedOn w:val="Normal"/>
    <w:rsid w:val="00C9764D"/>
    <w:pPr>
      <w:numPr>
        <w:numId w:val="8"/>
      </w:numPr>
      <w:spacing w:before="160" w:after="160"/>
      <w:contextualSpacing/>
    </w:pPr>
    <w:rPr>
      <w:szCs w:val="20"/>
      <w:lang w:val="en-US"/>
    </w:rPr>
  </w:style>
  <w:style w:type="paragraph" w:styleId="FootnoteText">
    <w:name w:val="footnote text"/>
    <w:basedOn w:val="Normal"/>
    <w:link w:val="FootnoteTextChar"/>
    <w:rsid w:val="00C9764D"/>
    <w:pPr>
      <w:spacing w:line="220" w:lineRule="atLeast"/>
      <w:ind w:left="227" w:hanging="227"/>
    </w:pPr>
    <w:rPr>
      <w:sz w:val="18"/>
    </w:rPr>
  </w:style>
  <w:style w:type="character" w:customStyle="1" w:styleId="FootnoteTextChar">
    <w:name w:val="Footnote Text Char"/>
    <w:link w:val="FootnoteText"/>
    <w:rsid w:val="00C9764D"/>
    <w:rPr>
      <w:rFonts w:ascii="Times New Roman" w:eastAsia="Times New Roman" w:hAnsi="Times New Roman" w:cs="Times New Roman"/>
      <w:sz w:val="18"/>
      <w:szCs w:val="24"/>
      <w:lang w:eastAsia="en-GB"/>
    </w:rPr>
  </w:style>
  <w:style w:type="paragraph" w:customStyle="1" w:styleId="programcode">
    <w:name w:val="programcode"/>
    <w:basedOn w:val="Normal"/>
    <w:rsid w:val="00C9764D"/>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contextualSpacing/>
    </w:pPr>
    <w:rPr>
      <w:rFonts w:ascii="Courier" w:hAnsi="Courier"/>
      <w:szCs w:val="20"/>
      <w:lang w:val="en-US"/>
    </w:rPr>
  </w:style>
  <w:style w:type="paragraph" w:customStyle="1" w:styleId="referenceitem">
    <w:name w:val="referenceitem"/>
    <w:basedOn w:val="Normal"/>
    <w:rsid w:val="00C9764D"/>
    <w:pPr>
      <w:numPr>
        <w:numId w:val="3"/>
      </w:numPr>
      <w:spacing w:line="220" w:lineRule="atLeast"/>
    </w:pPr>
    <w:rPr>
      <w:sz w:val="18"/>
      <w:szCs w:val="20"/>
      <w:lang w:val="en-US"/>
    </w:rPr>
  </w:style>
  <w:style w:type="numbering" w:customStyle="1" w:styleId="referencelist">
    <w:name w:val="referencelist"/>
    <w:basedOn w:val="NoList"/>
    <w:semiHidden/>
    <w:rsid w:val="00C9764D"/>
    <w:pPr>
      <w:numPr>
        <w:numId w:val="3"/>
      </w:numPr>
    </w:pPr>
  </w:style>
  <w:style w:type="paragraph" w:customStyle="1" w:styleId="runninghead-left">
    <w:name w:val="running head - left"/>
    <w:basedOn w:val="Normal"/>
    <w:rsid w:val="00C9764D"/>
    <w:rPr>
      <w:sz w:val="18"/>
      <w:szCs w:val="18"/>
    </w:rPr>
  </w:style>
  <w:style w:type="paragraph" w:customStyle="1" w:styleId="runninghead-right">
    <w:name w:val="running head - right"/>
    <w:basedOn w:val="Normal"/>
    <w:rsid w:val="00C9764D"/>
    <w:pPr>
      <w:jc w:val="right"/>
    </w:pPr>
    <w:rPr>
      <w:bCs/>
      <w:sz w:val="18"/>
      <w:szCs w:val="18"/>
    </w:rPr>
  </w:style>
  <w:style w:type="character" w:styleId="PageNumber">
    <w:name w:val="page number"/>
    <w:rsid w:val="00C9764D"/>
    <w:rPr>
      <w:sz w:val="18"/>
    </w:rPr>
  </w:style>
  <w:style w:type="paragraph" w:customStyle="1" w:styleId="Title1">
    <w:name w:val="Title1"/>
    <w:basedOn w:val="Normal"/>
    <w:next w:val="author"/>
    <w:rsid w:val="00C9764D"/>
    <w:pPr>
      <w:keepNext/>
      <w:keepLines/>
      <w:suppressAutoHyphens/>
      <w:spacing w:after="480" w:line="360" w:lineRule="atLeast"/>
      <w:jc w:val="center"/>
    </w:pPr>
    <w:rPr>
      <w:b/>
      <w:sz w:val="28"/>
    </w:rPr>
  </w:style>
  <w:style w:type="paragraph" w:customStyle="1" w:styleId="Subtitle1">
    <w:name w:val="Subtitle1"/>
    <w:basedOn w:val="Title1"/>
    <w:next w:val="author"/>
    <w:rsid w:val="00C9764D"/>
    <w:pPr>
      <w:spacing w:before="120" w:line="280" w:lineRule="atLeast"/>
    </w:pPr>
    <w:rPr>
      <w:sz w:val="24"/>
    </w:rPr>
  </w:style>
  <w:style w:type="paragraph" w:customStyle="1" w:styleId="tablecaption">
    <w:name w:val="tablecaption"/>
    <w:basedOn w:val="Normal"/>
    <w:next w:val="Normal"/>
    <w:rsid w:val="00C9764D"/>
    <w:pPr>
      <w:keepNext/>
      <w:keepLines/>
      <w:spacing w:before="240" w:after="120" w:line="220" w:lineRule="atLeast"/>
      <w:jc w:val="center"/>
    </w:pPr>
    <w:rPr>
      <w:sz w:val="18"/>
      <w:lang w:val="de-DE"/>
    </w:rPr>
  </w:style>
  <w:style w:type="character" w:customStyle="1" w:styleId="url">
    <w:name w:val="url"/>
    <w:rsid w:val="00C9764D"/>
    <w:rPr>
      <w:rFonts w:ascii="Courier" w:hAnsi="Courier"/>
      <w:noProof/>
      <w:lang w:val="en-US"/>
    </w:rPr>
  </w:style>
  <w:style w:type="paragraph" w:styleId="Footer">
    <w:name w:val="footer"/>
    <w:basedOn w:val="Normal"/>
    <w:link w:val="FooterChar"/>
    <w:uiPriority w:val="99"/>
    <w:rsid w:val="00C9764D"/>
    <w:pPr>
      <w:tabs>
        <w:tab w:val="center" w:pos="4536"/>
        <w:tab w:val="right" w:pos="9072"/>
      </w:tabs>
    </w:pPr>
  </w:style>
  <w:style w:type="character" w:customStyle="1" w:styleId="FooterChar">
    <w:name w:val="Footer Char"/>
    <w:link w:val="Footer"/>
    <w:uiPriority w:val="99"/>
    <w:rsid w:val="00C9764D"/>
    <w:rPr>
      <w:rFonts w:ascii="Times New Roman" w:eastAsia="Times New Roman" w:hAnsi="Times New Roman" w:cs="Times New Roman"/>
      <w:sz w:val="24"/>
      <w:szCs w:val="24"/>
      <w:lang w:eastAsia="en-GB"/>
    </w:rPr>
  </w:style>
  <w:style w:type="paragraph" w:styleId="ListBullet">
    <w:name w:val="List Bullet"/>
    <w:basedOn w:val="Normal"/>
    <w:rsid w:val="00C9764D"/>
    <w:pPr>
      <w:numPr>
        <w:numId w:val="4"/>
      </w:numPr>
      <w:spacing w:before="120" w:after="120"/>
      <w:contextualSpacing/>
    </w:pPr>
  </w:style>
  <w:style w:type="paragraph" w:styleId="ListNumber">
    <w:name w:val="List Number"/>
    <w:basedOn w:val="Normal"/>
    <w:rsid w:val="00C9764D"/>
    <w:pPr>
      <w:numPr>
        <w:numId w:val="5"/>
      </w:numPr>
    </w:pPr>
  </w:style>
  <w:style w:type="numbering" w:customStyle="1" w:styleId="itemization1">
    <w:name w:val="itemization1"/>
    <w:basedOn w:val="NoList"/>
    <w:semiHidden/>
    <w:rsid w:val="00C9764D"/>
    <w:pPr>
      <w:numPr>
        <w:numId w:val="6"/>
      </w:numPr>
    </w:pPr>
  </w:style>
  <w:style w:type="numbering" w:customStyle="1" w:styleId="itemization2">
    <w:name w:val="itemization2"/>
    <w:basedOn w:val="NoList"/>
    <w:semiHidden/>
    <w:rsid w:val="00C9764D"/>
    <w:pPr>
      <w:numPr>
        <w:numId w:val="7"/>
      </w:numPr>
    </w:pPr>
  </w:style>
  <w:style w:type="paragraph" w:styleId="Header">
    <w:name w:val="header"/>
    <w:basedOn w:val="Normal"/>
    <w:link w:val="HeaderChar"/>
    <w:rsid w:val="00C9764D"/>
    <w:pPr>
      <w:tabs>
        <w:tab w:val="center" w:pos="4536"/>
        <w:tab w:val="right" w:pos="9072"/>
      </w:tabs>
    </w:pPr>
    <w:rPr>
      <w:sz w:val="18"/>
    </w:rPr>
  </w:style>
  <w:style w:type="character" w:customStyle="1" w:styleId="HeaderChar">
    <w:name w:val="Header Char"/>
    <w:link w:val="Header"/>
    <w:rsid w:val="00C9764D"/>
    <w:rPr>
      <w:rFonts w:ascii="Times New Roman" w:eastAsia="Times New Roman" w:hAnsi="Times New Roman" w:cs="Times New Roman"/>
      <w:sz w:val="18"/>
      <w:szCs w:val="24"/>
      <w:lang w:eastAsia="en-GB"/>
    </w:rPr>
  </w:style>
  <w:style w:type="paragraph" w:customStyle="1" w:styleId="Runninghead-left0">
    <w:name w:val="Running head - left"/>
    <w:basedOn w:val="Normal"/>
    <w:rsid w:val="00C9764D"/>
    <w:pPr>
      <w:tabs>
        <w:tab w:val="left" w:pos="680"/>
        <w:tab w:val="right" w:pos="6237"/>
        <w:tab w:val="right" w:pos="6917"/>
      </w:tabs>
      <w:spacing w:after="120" w:line="200" w:lineRule="exact"/>
    </w:pPr>
    <w:rPr>
      <w:sz w:val="17"/>
    </w:rPr>
  </w:style>
  <w:style w:type="paragraph" w:customStyle="1" w:styleId="Runninghead-right0">
    <w:name w:val="Running head - right"/>
    <w:basedOn w:val="Runninghead-left0"/>
    <w:rsid w:val="00C9764D"/>
    <w:pPr>
      <w:jc w:val="right"/>
    </w:pPr>
  </w:style>
  <w:style w:type="paragraph" w:customStyle="1" w:styleId="affiliation">
    <w:name w:val="affiliation"/>
    <w:basedOn w:val="Normal"/>
    <w:next w:val="Normal"/>
    <w:rsid w:val="00C9764D"/>
    <w:pPr>
      <w:suppressAutoHyphens/>
      <w:spacing w:before="120" w:line="200" w:lineRule="atLeast"/>
      <w:ind w:left="238"/>
    </w:pPr>
    <w:rPr>
      <w:sz w:val="17"/>
    </w:rPr>
  </w:style>
  <w:style w:type="paragraph" w:customStyle="1" w:styleId="quotation">
    <w:name w:val="quotation"/>
    <w:basedOn w:val="affiliation"/>
    <w:next w:val="Normal"/>
    <w:rsid w:val="00C9764D"/>
    <w:pPr>
      <w:spacing w:after="120"/>
      <w:ind w:right="238"/>
      <w:contextualSpacing/>
    </w:pPr>
  </w:style>
  <w:style w:type="paragraph" w:styleId="NoSpacing">
    <w:name w:val="No Spacing"/>
    <w:uiPriority w:val="1"/>
    <w:qFormat/>
    <w:rsid w:val="00C9764D"/>
    <w:rPr>
      <w:sz w:val="22"/>
      <w:szCs w:val="22"/>
      <w:lang w:eastAsia="en-US"/>
    </w:rPr>
  </w:style>
  <w:style w:type="paragraph" w:styleId="Quote">
    <w:name w:val="Quote"/>
    <w:basedOn w:val="Normal"/>
    <w:next w:val="Normal"/>
    <w:link w:val="QuoteChar"/>
    <w:uiPriority w:val="29"/>
    <w:qFormat/>
    <w:rsid w:val="00C9764D"/>
    <w:pPr>
      <w:spacing w:before="120" w:after="320" w:line="276" w:lineRule="auto"/>
    </w:pPr>
    <w:rPr>
      <w:rFonts w:ascii="Arial" w:eastAsia="Calibri" w:hAnsi="Arial"/>
      <w:i/>
      <w:iCs/>
      <w:color w:val="000000"/>
      <w:szCs w:val="20"/>
    </w:rPr>
  </w:style>
  <w:style w:type="character" w:customStyle="1" w:styleId="QuoteChar">
    <w:name w:val="Quote Char"/>
    <w:link w:val="Quote"/>
    <w:uiPriority w:val="29"/>
    <w:rsid w:val="00C9764D"/>
    <w:rPr>
      <w:rFonts w:ascii="Arial" w:hAnsi="Arial"/>
      <w:i/>
      <w:iCs/>
      <w:color w:val="000000"/>
    </w:rPr>
  </w:style>
  <w:style w:type="paragraph" w:styleId="BalloonText">
    <w:name w:val="Balloon Text"/>
    <w:basedOn w:val="Normal"/>
    <w:link w:val="BalloonTextChar"/>
    <w:rsid w:val="00C9764D"/>
    <w:rPr>
      <w:rFonts w:ascii="Tahoma" w:hAnsi="Tahoma"/>
      <w:sz w:val="16"/>
      <w:szCs w:val="16"/>
    </w:rPr>
  </w:style>
  <w:style w:type="character" w:customStyle="1" w:styleId="BalloonTextChar">
    <w:name w:val="Balloon Text Char"/>
    <w:link w:val="BalloonText"/>
    <w:rsid w:val="00C9764D"/>
    <w:rPr>
      <w:rFonts w:ascii="Tahoma" w:eastAsia="Times New Roman" w:hAnsi="Tahoma" w:cs="Tahoma"/>
      <w:sz w:val="16"/>
      <w:szCs w:val="16"/>
      <w:lang w:eastAsia="en-GB"/>
    </w:rPr>
  </w:style>
  <w:style w:type="character" w:styleId="CommentReference">
    <w:name w:val="annotation reference"/>
    <w:uiPriority w:val="99"/>
    <w:semiHidden/>
    <w:unhideWhenUsed/>
    <w:rsid w:val="00BA2B47"/>
    <w:rPr>
      <w:sz w:val="16"/>
      <w:szCs w:val="16"/>
    </w:rPr>
  </w:style>
  <w:style w:type="paragraph" w:styleId="CommentText">
    <w:name w:val="annotation text"/>
    <w:basedOn w:val="Normal"/>
    <w:link w:val="CommentTextChar"/>
    <w:uiPriority w:val="99"/>
    <w:semiHidden/>
    <w:unhideWhenUsed/>
    <w:rsid w:val="00BA2B47"/>
    <w:rPr>
      <w:szCs w:val="20"/>
    </w:rPr>
  </w:style>
  <w:style w:type="character" w:customStyle="1" w:styleId="CommentTextChar">
    <w:name w:val="Comment Text Char"/>
    <w:link w:val="CommentText"/>
    <w:uiPriority w:val="99"/>
    <w:semiHidden/>
    <w:rsid w:val="00BA2B4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A2B47"/>
    <w:rPr>
      <w:b/>
      <w:bCs/>
    </w:rPr>
  </w:style>
  <w:style w:type="character" w:customStyle="1" w:styleId="CommentSubjectChar">
    <w:name w:val="Comment Subject Char"/>
    <w:link w:val="CommentSubject"/>
    <w:uiPriority w:val="99"/>
    <w:semiHidden/>
    <w:rsid w:val="00BA2B47"/>
    <w:rPr>
      <w:rFonts w:ascii="Times New Roman" w:eastAsia="Times New Roman" w:hAnsi="Times New Roman"/>
      <w:b/>
      <w:bCs/>
    </w:rPr>
  </w:style>
  <w:style w:type="paragraph" w:styleId="ListParagraph">
    <w:name w:val="List Paragraph"/>
    <w:basedOn w:val="Normal"/>
    <w:uiPriority w:val="34"/>
    <w:qFormat/>
    <w:rsid w:val="00D73287"/>
    <w:pPr>
      <w:ind w:left="720"/>
      <w:contextualSpacing/>
    </w:pPr>
  </w:style>
  <w:style w:type="character" w:customStyle="1" w:styleId="googqs-tidbit1">
    <w:name w:val="goog_qs-tidbit1"/>
    <w:basedOn w:val="DefaultParagraphFont"/>
    <w:rsid w:val="00377E1E"/>
    <w:rPr>
      <w:vanish w:val="0"/>
      <w:webHidden w:val="0"/>
      <w:specVanish w:val="0"/>
    </w:rPr>
  </w:style>
  <w:style w:type="character" w:styleId="FollowedHyperlink">
    <w:name w:val="FollowedHyperlink"/>
    <w:basedOn w:val="DefaultParagraphFont"/>
    <w:uiPriority w:val="99"/>
    <w:semiHidden/>
    <w:unhideWhenUsed/>
    <w:rsid w:val="00D477CE"/>
    <w:rPr>
      <w:color w:val="800080" w:themeColor="followedHyperlink"/>
      <w:u w:val="single"/>
    </w:rPr>
  </w:style>
  <w:style w:type="paragraph" w:styleId="NormalWeb">
    <w:name w:val="Normal (Web)"/>
    <w:basedOn w:val="Normal"/>
    <w:uiPriority w:val="99"/>
    <w:unhideWhenUsed/>
    <w:rsid w:val="0017066F"/>
    <w:pPr>
      <w:spacing w:before="100" w:beforeAutospacing="1" w:after="100" w:afterAutospacing="1"/>
    </w:pPr>
    <w:rPr>
      <w:rFonts w:ascii="Times New Roman" w:eastAsiaTheme="minorEastAsia" w:hAnsi="Times New Roman"/>
      <w:sz w:val="24"/>
    </w:rPr>
  </w:style>
  <w:style w:type="paragraph" w:styleId="Revision">
    <w:name w:val="Revision"/>
    <w:hidden/>
    <w:uiPriority w:val="99"/>
    <w:semiHidden/>
    <w:rsid w:val="000B0A5A"/>
    <w:rPr>
      <w:rFonts w:ascii="Arial Unicode MS" w:eastAsia="Times New Roman" w:hAnsi="Arial Unicode MS"/>
      <w:szCs w:val="24"/>
    </w:rPr>
  </w:style>
  <w:style w:type="paragraph" w:customStyle="1" w:styleId="01PaperTitle">
    <w:name w:val="01. Paper Title"/>
    <w:basedOn w:val="Normal"/>
    <w:qFormat/>
    <w:rsid w:val="005A501A"/>
    <w:pPr>
      <w:spacing w:before="240" w:after="960"/>
    </w:pPr>
    <w:rPr>
      <w:rFonts w:ascii="Helvetica" w:eastAsia="Calibri" w:hAnsi="Helvetica"/>
      <w:b/>
      <w:sz w:val="48"/>
      <w:szCs w:val="48"/>
      <w:lang w:val="en-US" w:eastAsia="en-US"/>
    </w:rPr>
  </w:style>
  <w:style w:type="paragraph" w:customStyle="1" w:styleId="05AbstractBodyApplytomaintextofAbstract">
    <w:name w:val="05. Abstract Body [Apply to main text of Abstract]"/>
    <w:basedOn w:val="Normal"/>
    <w:qFormat/>
    <w:rsid w:val="005A501A"/>
    <w:pPr>
      <w:tabs>
        <w:tab w:val="left" w:pos="3960"/>
        <w:tab w:val="left" w:pos="7560"/>
      </w:tabs>
      <w:spacing w:before="60" w:line="288" w:lineRule="auto"/>
      <w:jc w:val="both"/>
    </w:pPr>
    <w:rPr>
      <w:rFonts w:ascii="Garamond" w:eastAsia="Calibri" w:hAnsi="Garamond"/>
      <w:i/>
      <w:sz w:val="21"/>
      <w:szCs w:val="18"/>
      <w:lang w:val="en-US" w:eastAsia="en-US"/>
    </w:rPr>
  </w:style>
  <w:style w:type="paragraph" w:customStyle="1" w:styleId="06BodyMaintext">
    <w:name w:val="06. Body [Main text]"/>
    <w:basedOn w:val="Normal"/>
    <w:qFormat/>
    <w:rsid w:val="005A501A"/>
    <w:pPr>
      <w:widowControl w:val="0"/>
      <w:autoSpaceDE w:val="0"/>
      <w:autoSpaceDN w:val="0"/>
      <w:adjustRightInd w:val="0"/>
      <w:spacing w:line="288" w:lineRule="auto"/>
      <w:ind w:firstLine="446"/>
      <w:jc w:val="both"/>
      <w:textAlignment w:val="center"/>
    </w:pPr>
    <w:rPr>
      <w:rFonts w:ascii="Garamond" w:eastAsia="Calibri" w:hAnsi="Garamond"/>
      <w:color w:val="000000"/>
      <w:sz w:val="21"/>
      <w:szCs w:val="20"/>
      <w:lang w:val="en-US" w:eastAsia="en-US"/>
    </w:rPr>
  </w:style>
  <w:style w:type="paragraph" w:customStyle="1" w:styleId="08BodySpaceBelowApplytomaintextbeforeanumberedlist">
    <w:name w:val="08. Body Space Below [Apply to main text before a numbered list]"/>
    <w:basedOn w:val="06BodyMaintext"/>
    <w:qFormat/>
    <w:rsid w:val="005A501A"/>
    <w:pPr>
      <w:spacing w:after="240"/>
    </w:pPr>
  </w:style>
  <w:style w:type="paragraph" w:customStyle="1" w:styleId="15TableTitle">
    <w:name w:val="15. Table Title"/>
    <w:basedOn w:val="Normal"/>
    <w:qFormat/>
    <w:rsid w:val="005A501A"/>
    <w:pPr>
      <w:ind w:left="720" w:hanging="360"/>
      <w:jc w:val="center"/>
    </w:pPr>
    <w:rPr>
      <w:rFonts w:ascii="Helvetica" w:eastAsia="Calibri" w:hAnsi="Helvetica"/>
      <w:b/>
      <w:szCs w:val="20"/>
      <w:lang w:val="en-US" w:eastAsia="en-US"/>
    </w:rPr>
  </w:style>
  <w:style w:type="paragraph" w:customStyle="1" w:styleId="14TableHeading">
    <w:name w:val="14. Table Heading"/>
    <w:basedOn w:val="Normal"/>
    <w:qFormat/>
    <w:rsid w:val="005A501A"/>
    <w:pPr>
      <w:ind w:left="720" w:hanging="360"/>
      <w:jc w:val="center"/>
    </w:pPr>
    <w:rPr>
      <w:rFonts w:ascii="AGaramond" w:eastAsia="Calibri" w:hAnsi="AGaramond"/>
      <w:b/>
      <w:szCs w:val="20"/>
      <w:lang w:val="en-US" w:eastAsia="en-US"/>
    </w:rPr>
  </w:style>
  <w:style w:type="paragraph" w:customStyle="1" w:styleId="16TableText">
    <w:name w:val="16. Table Text"/>
    <w:basedOn w:val="Normal"/>
    <w:qFormat/>
    <w:rsid w:val="005A501A"/>
    <w:pPr>
      <w:ind w:left="720" w:hanging="360"/>
      <w:jc w:val="center"/>
    </w:pPr>
    <w:rPr>
      <w:rFonts w:ascii="Garamond" w:eastAsia="Calibri" w:hAnsi="Garamond"/>
      <w:sz w:val="21"/>
      <w:szCs w:val="20"/>
      <w:lang w:val="en-US" w:eastAsia="en-US"/>
    </w:rPr>
  </w:style>
  <w:style w:type="paragraph" w:customStyle="1" w:styleId="07BodySpaceAboveApplytomaintextafternumberedlist">
    <w:name w:val="07. Body Space Above [Apply to main text after numbered list]"/>
    <w:basedOn w:val="08BodySpaceBelowApplytomaintextbeforeanumberedlist"/>
    <w:qFormat/>
    <w:rsid w:val="005A501A"/>
    <w:pPr>
      <w:spacing w:before="240"/>
    </w:pPr>
  </w:style>
  <w:style w:type="paragraph" w:customStyle="1" w:styleId="11Level2Heading">
    <w:name w:val="11. Level 2 Heading"/>
    <w:basedOn w:val="Normal"/>
    <w:qFormat/>
    <w:rsid w:val="00096AD6"/>
    <w:pPr>
      <w:autoSpaceDE w:val="0"/>
      <w:autoSpaceDN w:val="0"/>
      <w:adjustRightInd w:val="0"/>
      <w:spacing w:before="240" w:after="120" w:line="288" w:lineRule="auto"/>
      <w:textAlignment w:val="center"/>
    </w:pPr>
    <w:rPr>
      <w:rFonts w:ascii="Helvetica" w:eastAsia="Calibri" w:hAnsi="Helvetica"/>
      <w:b/>
      <w:color w:val="000000"/>
      <w:szCs w:val="20"/>
      <w:lang w:val="en-US" w:eastAsia="en-US"/>
    </w:rPr>
  </w:style>
  <w:style w:type="paragraph" w:customStyle="1" w:styleId="09BodyafterTableApplytomaintextafteratable">
    <w:name w:val="09. Body after Table [Apply to main text after a table]"/>
    <w:basedOn w:val="07BodySpaceAboveApplytomaintextafternumberedlist"/>
    <w:qFormat/>
    <w:rsid w:val="00532A5F"/>
    <w:pPr>
      <w:ind w:firstLine="0"/>
    </w:pPr>
  </w:style>
  <w:style w:type="paragraph" w:customStyle="1" w:styleId="18References">
    <w:name w:val="18. References"/>
    <w:basedOn w:val="Normal"/>
    <w:qFormat/>
    <w:rsid w:val="00E910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s>
      <w:autoSpaceDE w:val="0"/>
      <w:autoSpaceDN w:val="0"/>
      <w:adjustRightInd w:val="0"/>
      <w:spacing w:line="240" w:lineRule="atLeast"/>
      <w:ind w:left="360" w:hanging="360"/>
      <w:jc w:val="both"/>
    </w:pPr>
    <w:rPr>
      <w:rFonts w:ascii="Garamond" w:eastAsia="Calibri" w:hAnsi="Garamond" w:cs="Times New Roman PS MT"/>
      <w:color w:val="000000"/>
      <w:sz w:val="21"/>
      <w:szCs w:val="20"/>
      <w:lang w:val="en-US" w:eastAsia="en-US"/>
    </w:rPr>
  </w:style>
  <w:style w:type="paragraph" w:customStyle="1" w:styleId="10Level1Heading">
    <w:name w:val="10. Level 1 Heading"/>
    <w:basedOn w:val="Normal"/>
    <w:qFormat/>
    <w:rsid w:val="00582018"/>
    <w:pPr>
      <w:autoSpaceDE w:val="0"/>
      <w:autoSpaceDN w:val="0"/>
      <w:adjustRightInd w:val="0"/>
      <w:spacing w:before="240" w:after="120" w:line="288" w:lineRule="auto"/>
      <w:textAlignment w:val="center"/>
    </w:pPr>
    <w:rPr>
      <w:rFonts w:ascii="Helvetica" w:eastAsia="Calibri" w:hAnsi="Helvetica"/>
      <w:b/>
      <w:caps/>
      <w:color w:val="000000"/>
      <w:szCs w:val="20"/>
      <w:lang w:val="en-US" w:eastAsia="en-US"/>
    </w:rPr>
  </w:style>
  <w:style w:type="character" w:customStyle="1" w:styleId="apple-converted-space">
    <w:name w:val="apple-converted-space"/>
    <w:rsid w:val="00582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2086">
      <w:bodyDiv w:val="1"/>
      <w:marLeft w:val="0"/>
      <w:marRight w:val="0"/>
      <w:marTop w:val="0"/>
      <w:marBottom w:val="0"/>
      <w:divBdr>
        <w:top w:val="none" w:sz="0" w:space="0" w:color="auto"/>
        <w:left w:val="none" w:sz="0" w:space="0" w:color="auto"/>
        <w:bottom w:val="none" w:sz="0" w:space="0" w:color="auto"/>
        <w:right w:val="none" w:sz="0" w:space="0" w:color="auto"/>
      </w:divBdr>
    </w:div>
    <w:div w:id="35669438">
      <w:bodyDiv w:val="1"/>
      <w:marLeft w:val="0"/>
      <w:marRight w:val="0"/>
      <w:marTop w:val="0"/>
      <w:marBottom w:val="0"/>
      <w:divBdr>
        <w:top w:val="none" w:sz="0" w:space="0" w:color="auto"/>
        <w:left w:val="none" w:sz="0" w:space="0" w:color="auto"/>
        <w:bottom w:val="none" w:sz="0" w:space="0" w:color="auto"/>
        <w:right w:val="none" w:sz="0" w:space="0" w:color="auto"/>
      </w:divBdr>
    </w:div>
    <w:div w:id="47001698">
      <w:bodyDiv w:val="1"/>
      <w:marLeft w:val="0"/>
      <w:marRight w:val="0"/>
      <w:marTop w:val="0"/>
      <w:marBottom w:val="0"/>
      <w:divBdr>
        <w:top w:val="none" w:sz="0" w:space="0" w:color="auto"/>
        <w:left w:val="none" w:sz="0" w:space="0" w:color="auto"/>
        <w:bottom w:val="none" w:sz="0" w:space="0" w:color="auto"/>
        <w:right w:val="none" w:sz="0" w:space="0" w:color="auto"/>
      </w:divBdr>
    </w:div>
    <w:div w:id="48115461">
      <w:bodyDiv w:val="1"/>
      <w:marLeft w:val="0"/>
      <w:marRight w:val="0"/>
      <w:marTop w:val="0"/>
      <w:marBottom w:val="0"/>
      <w:divBdr>
        <w:top w:val="none" w:sz="0" w:space="0" w:color="auto"/>
        <w:left w:val="none" w:sz="0" w:space="0" w:color="auto"/>
        <w:bottom w:val="none" w:sz="0" w:space="0" w:color="auto"/>
        <w:right w:val="none" w:sz="0" w:space="0" w:color="auto"/>
      </w:divBdr>
    </w:div>
    <w:div w:id="59331809">
      <w:bodyDiv w:val="1"/>
      <w:marLeft w:val="0"/>
      <w:marRight w:val="0"/>
      <w:marTop w:val="0"/>
      <w:marBottom w:val="0"/>
      <w:divBdr>
        <w:top w:val="none" w:sz="0" w:space="0" w:color="auto"/>
        <w:left w:val="none" w:sz="0" w:space="0" w:color="auto"/>
        <w:bottom w:val="none" w:sz="0" w:space="0" w:color="auto"/>
        <w:right w:val="none" w:sz="0" w:space="0" w:color="auto"/>
      </w:divBdr>
    </w:div>
    <w:div w:id="88160222">
      <w:bodyDiv w:val="1"/>
      <w:marLeft w:val="0"/>
      <w:marRight w:val="0"/>
      <w:marTop w:val="0"/>
      <w:marBottom w:val="0"/>
      <w:divBdr>
        <w:top w:val="none" w:sz="0" w:space="0" w:color="auto"/>
        <w:left w:val="none" w:sz="0" w:space="0" w:color="auto"/>
        <w:bottom w:val="none" w:sz="0" w:space="0" w:color="auto"/>
        <w:right w:val="none" w:sz="0" w:space="0" w:color="auto"/>
      </w:divBdr>
    </w:div>
    <w:div w:id="104808903">
      <w:bodyDiv w:val="1"/>
      <w:marLeft w:val="0"/>
      <w:marRight w:val="0"/>
      <w:marTop w:val="0"/>
      <w:marBottom w:val="0"/>
      <w:divBdr>
        <w:top w:val="none" w:sz="0" w:space="0" w:color="auto"/>
        <w:left w:val="none" w:sz="0" w:space="0" w:color="auto"/>
        <w:bottom w:val="none" w:sz="0" w:space="0" w:color="auto"/>
        <w:right w:val="none" w:sz="0" w:space="0" w:color="auto"/>
      </w:divBdr>
    </w:div>
    <w:div w:id="107432343">
      <w:bodyDiv w:val="1"/>
      <w:marLeft w:val="0"/>
      <w:marRight w:val="0"/>
      <w:marTop w:val="0"/>
      <w:marBottom w:val="0"/>
      <w:divBdr>
        <w:top w:val="none" w:sz="0" w:space="0" w:color="auto"/>
        <w:left w:val="none" w:sz="0" w:space="0" w:color="auto"/>
        <w:bottom w:val="none" w:sz="0" w:space="0" w:color="auto"/>
        <w:right w:val="none" w:sz="0" w:space="0" w:color="auto"/>
      </w:divBdr>
    </w:div>
    <w:div w:id="112988012">
      <w:bodyDiv w:val="1"/>
      <w:marLeft w:val="0"/>
      <w:marRight w:val="0"/>
      <w:marTop w:val="0"/>
      <w:marBottom w:val="0"/>
      <w:divBdr>
        <w:top w:val="none" w:sz="0" w:space="0" w:color="auto"/>
        <w:left w:val="none" w:sz="0" w:space="0" w:color="auto"/>
        <w:bottom w:val="none" w:sz="0" w:space="0" w:color="auto"/>
        <w:right w:val="none" w:sz="0" w:space="0" w:color="auto"/>
      </w:divBdr>
    </w:div>
    <w:div w:id="131946669">
      <w:bodyDiv w:val="1"/>
      <w:marLeft w:val="0"/>
      <w:marRight w:val="0"/>
      <w:marTop w:val="0"/>
      <w:marBottom w:val="0"/>
      <w:divBdr>
        <w:top w:val="none" w:sz="0" w:space="0" w:color="auto"/>
        <w:left w:val="none" w:sz="0" w:space="0" w:color="auto"/>
        <w:bottom w:val="none" w:sz="0" w:space="0" w:color="auto"/>
        <w:right w:val="none" w:sz="0" w:space="0" w:color="auto"/>
      </w:divBdr>
    </w:div>
    <w:div w:id="141507301">
      <w:bodyDiv w:val="1"/>
      <w:marLeft w:val="0"/>
      <w:marRight w:val="0"/>
      <w:marTop w:val="0"/>
      <w:marBottom w:val="0"/>
      <w:divBdr>
        <w:top w:val="none" w:sz="0" w:space="0" w:color="auto"/>
        <w:left w:val="none" w:sz="0" w:space="0" w:color="auto"/>
        <w:bottom w:val="none" w:sz="0" w:space="0" w:color="auto"/>
        <w:right w:val="none" w:sz="0" w:space="0" w:color="auto"/>
      </w:divBdr>
    </w:div>
    <w:div w:id="160704720">
      <w:bodyDiv w:val="1"/>
      <w:marLeft w:val="0"/>
      <w:marRight w:val="0"/>
      <w:marTop w:val="0"/>
      <w:marBottom w:val="0"/>
      <w:divBdr>
        <w:top w:val="none" w:sz="0" w:space="0" w:color="auto"/>
        <w:left w:val="none" w:sz="0" w:space="0" w:color="auto"/>
        <w:bottom w:val="none" w:sz="0" w:space="0" w:color="auto"/>
        <w:right w:val="none" w:sz="0" w:space="0" w:color="auto"/>
      </w:divBdr>
    </w:div>
    <w:div w:id="170486084">
      <w:bodyDiv w:val="1"/>
      <w:marLeft w:val="0"/>
      <w:marRight w:val="0"/>
      <w:marTop w:val="0"/>
      <w:marBottom w:val="0"/>
      <w:divBdr>
        <w:top w:val="none" w:sz="0" w:space="0" w:color="auto"/>
        <w:left w:val="none" w:sz="0" w:space="0" w:color="auto"/>
        <w:bottom w:val="none" w:sz="0" w:space="0" w:color="auto"/>
        <w:right w:val="none" w:sz="0" w:space="0" w:color="auto"/>
      </w:divBdr>
    </w:div>
    <w:div w:id="170534889">
      <w:bodyDiv w:val="1"/>
      <w:marLeft w:val="0"/>
      <w:marRight w:val="0"/>
      <w:marTop w:val="0"/>
      <w:marBottom w:val="0"/>
      <w:divBdr>
        <w:top w:val="none" w:sz="0" w:space="0" w:color="auto"/>
        <w:left w:val="none" w:sz="0" w:space="0" w:color="auto"/>
        <w:bottom w:val="none" w:sz="0" w:space="0" w:color="auto"/>
        <w:right w:val="none" w:sz="0" w:space="0" w:color="auto"/>
      </w:divBdr>
    </w:div>
    <w:div w:id="170611804">
      <w:bodyDiv w:val="1"/>
      <w:marLeft w:val="0"/>
      <w:marRight w:val="0"/>
      <w:marTop w:val="0"/>
      <w:marBottom w:val="0"/>
      <w:divBdr>
        <w:top w:val="none" w:sz="0" w:space="0" w:color="auto"/>
        <w:left w:val="none" w:sz="0" w:space="0" w:color="auto"/>
        <w:bottom w:val="none" w:sz="0" w:space="0" w:color="auto"/>
        <w:right w:val="none" w:sz="0" w:space="0" w:color="auto"/>
      </w:divBdr>
    </w:div>
    <w:div w:id="170727624">
      <w:bodyDiv w:val="1"/>
      <w:marLeft w:val="0"/>
      <w:marRight w:val="0"/>
      <w:marTop w:val="0"/>
      <w:marBottom w:val="0"/>
      <w:divBdr>
        <w:top w:val="none" w:sz="0" w:space="0" w:color="auto"/>
        <w:left w:val="none" w:sz="0" w:space="0" w:color="auto"/>
        <w:bottom w:val="none" w:sz="0" w:space="0" w:color="auto"/>
        <w:right w:val="none" w:sz="0" w:space="0" w:color="auto"/>
      </w:divBdr>
    </w:div>
    <w:div w:id="187136764">
      <w:bodyDiv w:val="1"/>
      <w:marLeft w:val="0"/>
      <w:marRight w:val="0"/>
      <w:marTop w:val="0"/>
      <w:marBottom w:val="0"/>
      <w:divBdr>
        <w:top w:val="none" w:sz="0" w:space="0" w:color="auto"/>
        <w:left w:val="none" w:sz="0" w:space="0" w:color="auto"/>
        <w:bottom w:val="none" w:sz="0" w:space="0" w:color="auto"/>
        <w:right w:val="none" w:sz="0" w:space="0" w:color="auto"/>
      </w:divBdr>
    </w:div>
    <w:div w:id="197084087">
      <w:bodyDiv w:val="1"/>
      <w:marLeft w:val="0"/>
      <w:marRight w:val="0"/>
      <w:marTop w:val="0"/>
      <w:marBottom w:val="0"/>
      <w:divBdr>
        <w:top w:val="none" w:sz="0" w:space="0" w:color="auto"/>
        <w:left w:val="none" w:sz="0" w:space="0" w:color="auto"/>
        <w:bottom w:val="none" w:sz="0" w:space="0" w:color="auto"/>
        <w:right w:val="none" w:sz="0" w:space="0" w:color="auto"/>
      </w:divBdr>
    </w:div>
    <w:div w:id="200094342">
      <w:bodyDiv w:val="1"/>
      <w:marLeft w:val="0"/>
      <w:marRight w:val="0"/>
      <w:marTop w:val="0"/>
      <w:marBottom w:val="0"/>
      <w:divBdr>
        <w:top w:val="none" w:sz="0" w:space="0" w:color="auto"/>
        <w:left w:val="none" w:sz="0" w:space="0" w:color="auto"/>
        <w:bottom w:val="none" w:sz="0" w:space="0" w:color="auto"/>
        <w:right w:val="none" w:sz="0" w:space="0" w:color="auto"/>
      </w:divBdr>
    </w:div>
    <w:div w:id="203297666">
      <w:bodyDiv w:val="1"/>
      <w:marLeft w:val="0"/>
      <w:marRight w:val="0"/>
      <w:marTop w:val="0"/>
      <w:marBottom w:val="0"/>
      <w:divBdr>
        <w:top w:val="none" w:sz="0" w:space="0" w:color="auto"/>
        <w:left w:val="none" w:sz="0" w:space="0" w:color="auto"/>
        <w:bottom w:val="none" w:sz="0" w:space="0" w:color="auto"/>
        <w:right w:val="none" w:sz="0" w:space="0" w:color="auto"/>
      </w:divBdr>
    </w:div>
    <w:div w:id="205723259">
      <w:bodyDiv w:val="1"/>
      <w:marLeft w:val="0"/>
      <w:marRight w:val="0"/>
      <w:marTop w:val="0"/>
      <w:marBottom w:val="0"/>
      <w:divBdr>
        <w:top w:val="none" w:sz="0" w:space="0" w:color="auto"/>
        <w:left w:val="none" w:sz="0" w:space="0" w:color="auto"/>
        <w:bottom w:val="none" w:sz="0" w:space="0" w:color="auto"/>
        <w:right w:val="none" w:sz="0" w:space="0" w:color="auto"/>
      </w:divBdr>
    </w:div>
    <w:div w:id="215167299">
      <w:bodyDiv w:val="1"/>
      <w:marLeft w:val="0"/>
      <w:marRight w:val="0"/>
      <w:marTop w:val="0"/>
      <w:marBottom w:val="0"/>
      <w:divBdr>
        <w:top w:val="none" w:sz="0" w:space="0" w:color="auto"/>
        <w:left w:val="none" w:sz="0" w:space="0" w:color="auto"/>
        <w:bottom w:val="none" w:sz="0" w:space="0" w:color="auto"/>
        <w:right w:val="none" w:sz="0" w:space="0" w:color="auto"/>
      </w:divBdr>
    </w:div>
    <w:div w:id="219941593">
      <w:bodyDiv w:val="1"/>
      <w:marLeft w:val="0"/>
      <w:marRight w:val="0"/>
      <w:marTop w:val="0"/>
      <w:marBottom w:val="0"/>
      <w:divBdr>
        <w:top w:val="none" w:sz="0" w:space="0" w:color="auto"/>
        <w:left w:val="none" w:sz="0" w:space="0" w:color="auto"/>
        <w:bottom w:val="none" w:sz="0" w:space="0" w:color="auto"/>
        <w:right w:val="none" w:sz="0" w:space="0" w:color="auto"/>
      </w:divBdr>
    </w:div>
    <w:div w:id="227767619">
      <w:bodyDiv w:val="1"/>
      <w:marLeft w:val="0"/>
      <w:marRight w:val="0"/>
      <w:marTop w:val="0"/>
      <w:marBottom w:val="0"/>
      <w:divBdr>
        <w:top w:val="none" w:sz="0" w:space="0" w:color="auto"/>
        <w:left w:val="none" w:sz="0" w:space="0" w:color="auto"/>
        <w:bottom w:val="none" w:sz="0" w:space="0" w:color="auto"/>
        <w:right w:val="none" w:sz="0" w:space="0" w:color="auto"/>
      </w:divBdr>
    </w:div>
    <w:div w:id="241911359">
      <w:bodyDiv w:val="1"/>
      <w:marLeft w:val="0"/>
      <w:marRight w:val="0"/>
      <w:marTop w:val="0"/>
      <w:marBottom w:val="0"/>
      <w:divBdr>
        <w:top w:val="none" w:sz="0" w:space="0" w:color="auto"/>
        <w:left w:val="none" w:sz="0" w:space="0" w:color="auto"/>
        <w:bottom w:val="none" w:sz="0" w:space="0" w:color="auto"/>
        <w:right w:val="none" w:sz="0" w:space="0" w:color="auto"/>
      </w:divBdr>
    </w:div>
    <w:div w:id="258105958">
      <w:bodyDiv w:val="1"/>
      <w:marLeft w:val="0"/>
      <w:marRight w:val="0"/>
      <w:marTop w:val="0"/>
      <w:marBottom w:val="0"/>
      <w:divBdr>
        <w:top w:val="none" w:sz="0" w:space="0" w:color="auto"/>
        <w:left w:val="none" w:sz="0" w:space="0" w:color="auto"/>
        <w:bottom w:val="none" w:sz="0" w:space="0" w:color="auto"/>
        <w:right w:val="none" w:sz="0" w:space="0" w:color="auto"/>
      </w:divBdr>
    </w:div>
    <w:div w:id="276110624">
      <w:bodyDiv w:val="1"/>
      <w:marLeft w:val="0"/>
      <w:marRight w:val="0"/>
      <w:marTop w:val="0"/>
      <w:marBottom w:val="0"/>
      <w:divBdr>
        <w:top w:val="none" w:sz="0" w:space="0" w:color="auto"/>
        <w:left w:val="none" w:sz="0" w:space="0" w:color="auto"/>
        <w:bottom w:val="none" w:sz="0" w:space="0" w:color="auto"/>
        <w:right w:val="none" w:sz="0" w:space="0" w:color="auto"/>
      </w:divBdr>
    </w:div>
    <w:div w:id="298152515">
      <w:bodyDiv w:val="1"/>
      <w:marLeft w:val="0"/>
      <w:marRight w:val="0"/>
      <w:marTop w:val="0"/>
      <w:marBottom w:val="0"/>
      <w:divBdr>
        <w:top w:val="none" w:sz="0" w:space="0" w:color="auto"/>
        <w:left w:val="none" w:sz="0" w:space="0" w:color="auto"/>
        <w:bottom w:val="none" w:sz="0" w:space="0" w:color="auto"/>
        <w:right w:val="none" w:sz="0" w:space="0" w:color="auto"/>
      </w:divBdr>
    </w:div>
    <w:div w:id="298537911">
      <w:bodyDiv w:val="1"/>
      <w:marLeft w:val="0"/>
      <w:marRight w:val="0"/>
      <w:marTop w:val="0"/>
      <w:marBottom w:val="0"/>
      <w:divBdr>
        <w:top w:val="none" w:sz="0" w:space="0" w:color="auto"/>
        <w:left w:val="none" w:sz="0" w:space="0" w:color="auto"/>
        <w:bottom w:val="none" w:sz="0" w:space="0" w:color="auto"/>
        <w:right w:val="none" w:sz="0" w:space="0" w:color="auto"/>
      </w:divBdr>
    </w:div>
    <w:div w:id="347563397">
      <w:bodyDiv w:val="1"/>
      <w:marLeft w:val="0"/>
      <w:marRight w:val="0"/>
      <w:marTop w:val="0"/>
      <w:marBottom w:val="0"/>
      <w:divBdr>
        <w:top w:val="none" w:sz="0" w:space="0" w:color="auto"/>
        <w:left w:val="none" w:sz="0" w:space="0" w:color="auto"/>
        <w:bottom w:val="none" w:sz="0" w:space="0" w:color="auto"/>
        <w:right w:val="none" w:sz="0" w:space="0" w:color="auto"/>
      </w:divBdr>
    </w:div>
    <w:div w:id="369647290">
      <w:bodyDiv w:val="1"/>
      <w:marLeft w:val="0"/>
      <w:marRight w:val="0"/>
      <w:marTop w:val="0"/>
      <w:marBottom w:val="0"/>
      <w:divBdr>
        <w:top w:val="none" w:sz="0" w:space="0" w:color="auto"/>
        <w:left w:val="none" w:sz="0" w:space="0" w:color="auto"/>
        <w:bottom w:val="none" w:sz="0" w:space="0" w:color="auto"/>
        <w:right w:val="none" w:sz="0" w:space="0" w:color="auto"/>
      </w:divBdr>
    </w:div>
    <w:div w:id="422648134">
      <w:bodyDiv w:val="1"/>
      <w:marLeft w:val="0"/>
      <w:marRight w:val="0"/>
      <w:marTop w:val="0"/>
      <w:marBottom w:val="0"/>
      <w:divBdr>
        <w:top w:val="none" w:sz="0" w:space="0" w:color="auto"/>
        <w:left w:val="none" w:sz="0" w:space="0" w:color="auto"/>
        <w:bottom w:val="none" w:sz="0" w:space="0" w:color="auto"/>
        <w:right w:val="none" w:sz="0" w:space="0" w:color="auto"/>
      </w:divBdr>
    </w:div>
    <w:div w:id="423456969">
      <w:bodyDiv w:val="1"/>
      <w:marLeft w:val="0"/>
      <w:marRight w:val="0"/>
      <w:marTop w:val="0"/>
      <w:marBottom w:val="0"/>
      <w:divBdr>
        <w:top w:val="none" w:sz="0" w:space="0" w:color="auto"/>
        <w:left w:val="none" w:sz="0" w:space="0" w:color="auto"/>
        <w:bottom w:val="none" w:sz="0" w:space="0" w:color="auto"/>
        <w:right w:val="none" w:sz="0" w:space="0" w:color="auto"/>
      </w:divBdr>
    </w:div>
    <w:div w:id="424153841">
      <w:bodyDiv w:val="1"/>
      <w:marLeft w:val="0"/>
      <w:marRight w:val="0"/>
      <w:marTop w:val="0"/>
      <w:marBottom w:val="0"/>
      <w:divBdr>
        <w:top w:val="none" w:sz="0" w:space="0" w:color="auto"/>
        <w:left w:val="none" w:sz="0" w:space="0" w:color="auto"/>
        <w:bottom w:val="none" w:sz="0" w:space="0" w:color="auto"/>
        <w:right w:val="none" w:sz="0" w:space="0" w:color="auto"/>
      </w:divBdr>
    </w:div>
    <w:div w:id="426118085">
      <w:bodyDiv w:val="1"/>
      <w:marLeft w:val="0"/>
      <w:marRight w:val="0"/>
      <w:marTop w:val="0"/>
      <w:marBottom w:val="0"/>
      <w:divBdr>
        <w:top w:val="none" w:sz="0" w:space="0" w:color="auto"/>
        <w:left w:val="none" w:sz="0" w:space="0" w:color="auto"/>
        <w:bottom w:val="none" w:sz="0" w:space="0" w:color="auto"/>
        <w:right w:val="none" w:sz="0" w:space="0" w:color="auto"/>
      </w:divBdr>
    </w:div>
    <w:div w:id="427433255">
      <w:bodyDiv w:val="1"/>
      <w:marLeft w:val="0"/>
      <w:marRight w:val="0"/>
      <w:marTop w:val="0"/>
      <w:marBottom w:val="0"/>
      <w:divBdr>
        <w:top w:val="none" w:sz="0" w:space="0" w:color="auto"/>
        <w:left w:val="none" w:sz="0" w:space="0" w:color="auto"/>
        <w:bottom w:val="none" w:sz="0" w:space="0" w:color="auto"/>
        <w:right w:val="none" w:sz="0" w:space="0" w:color="auto"/>
      </w:divBdr>
    </w:div>
    <w:div w:id="436096044">
      <w:bodyDiv w:val="1"/>
      <w:marLeft w:val="0"/>
      <w:marRight w:val="0"/>
      <w:marTop w:val="0"/>
      <w:marBottom w:val="0"/>
      <w:divBdr>
        <w:top w:val="none" w:sz="0" w:space="0" w:color="auto"/>
        <w:left w:val="none" w:sz="0" w:space="0" w:color="auto"/>
        <w:bottom w:val="none" w:sz="0" w:space="0" w:color="auto"/>
        <w:right w:val="none" w:sz="0" w:space="0" w:color="auto"/>
      </w:divBdr>
    </w:div>
    <w:div w:id="458450260">
      <w:bodyDiv w:val="1"/>
      <w:marLeft w:val="0"/>
      <w:marRight w:val="0"/>
      <w:marTop w:val="0"/>
      <w:marBottom w:val="0"/>
      <w:divBdr>
        <w:top w:val="none" w:sz="0" w:space="0" w:color="auto"/>
        <w:left w:val="none" w:sz="0" w:space="0" w:color="auto"/>
        <w:bottom w:val="none" w:sz="0" w:space="0" w:color="auto"/>
        <w:right w:val="none" w:sz="0" w:space="0" w:color="auto"/>
      </w:divBdr>
    </w:div>
    <w:div w:id="459543762">
      <w:bodyDiv w:val="1"/>
      <w:marLeft w:val="0"/>
      <w:marRight w:val="0"/>
      <w:marTop w:val="0"/>
      <w:marBottom w:val="0"/>
      <w:divBdr>
        <w:top w:val="none" w:sz="0" w:space="0" w:color="auto"/>
        <w:left w:val="none" w:sz="0" w:space="0" w:color="auto"/>
        <w:bottom w:val="none" w:sz="0" w:space="0" w:color="auto"/>
        <w:right w:val="none" w:sz="0" w:space="0" w:color="auto"/>
      </w:divBdr>
    </w:div>
    <w:div w:id="461579294">
      <w:bodyDiv w:val="1"/>
      <w:marLeft w:val="0"/>
      <w:marRight w:val="0"/>
      <w:marTop w:val="0"/>
      <w:marBottom w:val="0"/>
      <w:divBdr>
        <w:top w:val="none" w:sz="0" w:space="0" w:color="auto"/>
        <w:left w:val="none" w:sz="0" w:space="0" w:color="auto"/>
        <w:bottom w:val="none" w:sz="0" w:space="0" w:color="auto"/>
        <w:right w:val="none" w:sz="0" w:space="0" w:color="auto"/>
      </w:divBdr>
    </w:div>
    <w:div w:id="484782286">
      <w:bodyDiv w:val="1"/>
      <w:marLeft w:val="0"/>
      <w:marRight w:val="0"/>
      <w:marTop w:val="0"/>
      <w:marBottom w:val="0"/>
      <w:divBdr>
        <w:top w:val="none" w:sz="0" w:space="0" w:color="auto"/>
        <w:left w:val="none" w:sz="0" w:space="0" w:color="auto"/>
        <w:bottom w:val="none" w:sz="0" w:space="0" w:color="auto"/>
        <w:right w:val="none" w:sz="0" w:space="0" w:color="auto"/>
      </w:divBdr>
    </w:div>
    <w:div w:id="501622503">
      <w:bodyDiv w:val="1"/>
      <w:marLeft w:val="0"/>
      <w:marRight w:val="0"/>
      <w:marTop w:val="0"/>
      <w:marBottom w:val="0"/>
      <w:divBdr>
        <w:top w:val="none" w:sz="0" w:space="0" w:color="auto"/>
        <w:left w:val="none" w:sz="0" w:space="0" w:color="auto"/>
        <w:bottom w:val="none" w:sz="0" w:space="0" w:color="auto"/>
        <w:right w:val="none" w:sz="0" w:space="0" w:color="auto"/>
      </w:divBdr>
    </w:div>
    <w:div w:id="502014087">
      <w:bodyDiv w:val="1"/>
      <w:marLeft w:val="0"/>
      <w:marRight w:val="0"/>
      <w:marTop w:val="0"/>
      <w:marBottom w:val="0"/>
      <w:divBdr>
        <w:top w:val="none" w:sz="0" w:space="0" w:color="auto"/>
        <w:left w:val="none" w:sz="0" w:space="0" w:color="auto"/>
        <w:bottom w:val="none" w:sz="0" w:space="0" w:color="auto"/>
        <w:right w:val="none" w:sz="0" w:space="0" w:color="auto"/>
      </w:divBdr>
    </w:div>
    <w:div w:id="523710524">
      <w:bodyDiv w:val="1"/>
      <w:marLeft w:val="0"/>
      <w:marRight w:val="0"/>
      <w:marTop w:val="0"/>
      <w:marBottom w:val="0"/>
      <w:divBdr>
        <w:top w:val="none" w:sz="0" w:space="0" w:color="auto"/>
        <w:left w:val="none" w:sz="0" w:space="0" w:color="auto"/>
        <w:bottom w:val="none" w:sz="0" w:space="0" w:color="auto"/>
        <w:right w:val="none" w:sz="0" w:space="0" w:color="auto"/>
      </w:divBdr>
    </w:div>
    <w:div w:id="523715541">
      <w:bodyDiv w:val="1"/>
      <w:marLeft w:val="0"/>
      <w:marRight w:val="0"/>
      <w:marTop w:val="0"/>
      <w:marBottom w:val="0"/>
      <w:divBdr>
        <w:top w:val="none" w:sz="0" w:space="0" w:color="auto"/>
        <w:left w:val="none" w:sz="0" w:space="0" w:color="auto"/>
        <w:bottom w:val="none" w:sz="0" w:space="0" w:color="auto"/>
        <w:right w:val="none" w:sz="0" w:space="0" w:color="auto"/>
      </w:divBdr>
    </w:div>
    <w:div w:id="527719458">
      <w:bodyDiv w:val="1"/>
      <w:marLeft w:val="0"/>
      <w:marRight w:val="0"/>
      <w:marTop w:val="0"/>
      <w:marBottom w:val="0"/>
      <w:divBdr>
        <w:top w:val="none" w:sz="0" w:space="0" w:color="auto"/>
        <w:left w:val="none" w:sz="0" w:space="0" w:color="auto"/>
        <w:bottom w:val="none" w:sz="0" w:space="0" w:color="auto"/>
        <w:right w:val="none" w:sz="0" w:space="0" w:color="auto"/>
      </w:divBdr>
    </w:div>
    <w:div w:id="527794156">
      <w:bodyDiv w:val="1"/>
      <w:marLeft w:val="0"/>
      <w:marRight w:val="0"/>
      <w:marTop w:val="0"/>
      <w:marBottom w:val="0"/>
      <w:divBdr>
        <w:top w:val="none" w:sz="0" w:space="0" w:color="auto"/>
        <w:left w:val="none" w:sz="0" w:space="0" w:color="auto"/>
        <w:bottom w:val="none" w:sz="0" w:space="0" w:color="auto"/>
        <w:right w:val="none" w:sz="0" w:space="0" w:color="auto"/>
      </w:divBdr>
    </w:div>
    <w:div w:id="528956339">
      <w:bodyDiv w:val="1"/>
      <w:marLeft w:val="0"/>
      <w:marRight w:val="0"/>
      <w:marTop w:val="0"/>
      <w:marBottom w:val="0"/>
      <w:divBdr>
        <w:top w:val="none" w:sz="0" w:space="0" w:color="auto"/>
        <w:left w:val="none" w:sz="0" w:space="0" w:color="auto"/>
        <w:bottom w:val="none" w:sz="0" w:space="0" w:color="auto"/>
        <w:right w:val="none" w:sz="0" w:space="0" w:color="auto"/>
      </w:divBdr>
    </w:div>
    <w:div w:id="536503381">
      <w:bodyDiv w:val="1"/>
      <w:marLeft w:val="0"/>
      <w:marRight w:val="0"/>
      <w:marTop w:val="0"/>
      <w:marBottom w:val="0"/>
      <w:divBdr>
        <w:top w:val="none" w:sz="0" w:space="0" w:color="auto"/>
        <w:left w:val="none" w:sz="0" w:space="0" w:color="auto"/>
        <w:bottom w:val="none" w:sz="0" w:space="0" w:color="auto"/>
        <w:right w:val="none" w:sz="0" w:space="0" w:color="auto"/>
      </w:divBdr>
    </w:div>
    <w:div w:id="561914568">
      <w:bodyDiv w:val="1"/>
      <w:marLeft w:val="0"/>
      <w:marRight w:val="0"/>
      <w:marTop w:val="0"/>
      <w:marBottom w:val="0"/>
      <w:divBdr>
        <w:top w:val="none" w:sz="0" w:space="0" w:color="auto"/>
        <w:left w:val="none" w:sz="0" w:space="0" w:color="auto"/>
        <w:bottom w:val="none" w:sz="0" w:space="0" w:color="auto"/>
        <w:right w:val="none" w:sz="0" w:space="0" w:color="auto"/>
      </w:divBdr>
    </w:div>
    <w:div w:id="565993341">
      <w:bodyDiv w:val="1"/>
      <w:marLeft w:val="0"/>
      <w:marRight w:val="0"/>
      <w:marTop w:val="0"/>
      <w:marBottom w:val="0"/>
      <w:divBdr>
        <w:top w:val="none" w:sz="0" w:space="0" w:color="auto"/>
        <w:left w:val="none" w:sz="0" w:space="0" w:color="auto"/>
        <w:bottom w:val="none" w:sz="0" w:space="0" w:color="auto"/>
        <w:right w:val="none" w:sz="0" w:space="0" w:color="auto"/>
      </w:divBdr>
    </w:div>
    <w:div w:id="576090870">
      <w:bodyDiv w:val="1"/>
      <w:marLeft w:val="0"/>
      <w:marRight w:val="0"/>
      <w:marTop w:val="0"/>
      <w:marBottom w:val="0"/>
      <w:divBdr>
        <w:top w:val="none" w:sz="0" w:space="0" w:color="auto"/>
        <w:left w:val="none" w:sz="0" w:space="0" w:color="auto"/>
        <w:bottom w:val="none" w:sz="0" w:space="0" w:color="auto"/>
        <w:right w:val="none" w:sz="0" w:space="0" w:color="auto"/>
      </w:divBdr>
    </w:div>
    <w:div w:id="589239724">
      <w:bodyDiv w:val="1"/>
      <w:marLeft w:val="0"/>
      <w:marRight w:val="0"/>
      <w:marTop w:val="0"/>
      <w:marBottom w:val="0"/>
      <w:divBdr>
        <w:top w:val="none" w:sz="0" w:space="0" w:color="auto"/>
        <w:left w:val="none" w:sz="0" w:space="0" w:color="auto"/>
        <w:bottom w:val="none" w:sz="0" w:space="0" w:color="auto"/>
        <w:right w:val="none" w:sz="0" w:space="0" w:color="auto"/>
      </w:divBdr>
    </w:div>
    <w:div w:id="600186239">
      <w:bodyDiv w:val="1"/>
      <w:marLeft w:val="0"/>
      <w:marRight w:val="0"/>
      <w:marTop w:val="0"/>
      <w:marBottom w:val="0"/>
      <w:divBdr>
        <w:top w:val="none" w:sz="0" w:space="0" w:color="auto"/>
        <w:left w:val="none" w:sz="0" w:space="0" w:color="auto"/>
        <w:bottom w:val="none" w:sz="0" w:space="0" w:color="auto"/>
        <w:right w:val="none" w:sz="0" w:space="0" w:color="auto"/>
      </w:divBdr>
    </w:div>
    <w:div w:id="607078061">
      <w:bodyDiv w:val="1"/>
      <w:marLeft w:val="0"/>
      <w:marRight w:val="0"/>
      <w:marTop w:val="0"/>
      <w:marBottom w:val="0"/>
      <w:divBdr>
        <w:top w:val="none" w:sz="0" w:space="0" w:color="auto"/>
        <w:left w:val="none" w:sz="0" w:space="0" w:color="auto"/>
        <w:bottom w:val="none" w:sz="0" w:space="0" w:color="auto"/>
        <w:right w:val="none" w:sz="0" w:space="0" w:color="auto"/>
      </w:divBdr>
    </w:div>
    <w:div w:id="622273687">
      <w:bodyDiv w:val="1"/>
      <w:marLeft w:val="0"/>
      <w:marRight w:val="0"/>
      <w:marTop w:val="0"/>
      <w:marBottom w:val="0"/>
      <w:divBdr>
        <w:top w:val="none" w:sz="0" w:space="0" w:color="auto"/>
        <w:left w:val="none" w:sz="0" w:space="0" w:color="auto"/>
        <w:bottom w:val="none" w:sz="0" w:space="0" w:color="auto"/>
        <w:right w:val="none" w:sz="0" w:space="0" w:color="auto"/>
      </w:divBdr>
    </w:div>
    <w:div w:id="626203864">
      <w:bodyDiv w:val="1"/>
      <w:marLeft w:val="0"/>
      <w:marRight w:val="0"/>
      <w:marTop w:val="0"/>
      <w:marBottom w:val="0"/>
      <w:divBdr>
        <w:top w:val="none" w:sz="0" w:space="0" w:color="auto"/>
        <w:left w:val="none" w:sz="0" w:space="0" w:color="auto"/>
        <w:bottom w:val="none" w:sz="0" w:space="0" w:color="auto"/>
        <w:right w:val="none" w:sz="0" w:space="0" w:color="auto"/>
      </w:divBdr>
    </w:div>
    <w:div w:id="641010675">
      <w:bodyDiv w:val="1"/>
      <w:marLeft w:val="0"/>
      <w:marRight w:val="0"/>
      <w:marTop w:val="0"/>
      <w:marBottom w:val="0"/>
      <w:divBdr>
        <w:top w:val="none" w:sz="0" w:space="0" w:color="auto"/>
        <w:left w:val="none" w:sz="0" w:space="0" w:color="auto"/>
        <w:bottom w:val="none" w:sz="0" w:space="0" w:color="auto"/>
        <w:right w:val="none" w:sz="0" w:space="0" w:color="auto"/>
      </w:divBdr>
    </w:div>
    <w:div w:id="644285226">
      <w:bodyDiv w:val="1"/>
      <w:marLeft w:val="0"/>
      <w:marRight w:val="0"/>
      <w:marTop w:val="0"/>
      <w:marBottom w:val="0"/>
      <w:divBdr>
        <w:top w:val="none" w:sz="0" w:space="0" w:color="auto"/>
        <w:left w:val="none" w:sz="0" w:space="0" w:color="auto"/>
        <w:bottom w:val="none" w:sz="0" w:space="0" w:color="auto"/>
        <w:right w:val="none" w:sz="0" w:space="0" w:color="auto"/>
      </w:divBdr>
    </w:div>
    <w:div w:id="649483686">
      <w:bodyDiv w:val="1"/>
      <w:marLeft w:val="0"/>
      <w:marRight w:val="0"/>
      <w:marTop w:val="0"/>
      <w:marBottom w:val="0"/>
      <w:divBdr>
        <w:top w:val="none" w:sz="0" w:space="0" w:color="auto"/>
        <w:left w:val="none" w:sz="0" w:space="0" w:color="auto"/>
        <w:bottom w:val="none" w:sz="0" w:space="0" w:color="auto"/>
        <w:right w:val="none" w:sz="0" w:space="0" w:color="auto"/>
      </w:divBdr>
    </w:div>
    <w:div w:id="672532638">
      <w:bodyDiv w:val="1"/>
      <w:marLeft w:val="0"/>
      <w:marRight w:val="0"/>
      <w:marTop w:val="0"/>
      <w:marBottom w:val="0"/>
      <w:divBdr>
        <w:top w:val="none" w:sz="0" w:space="0" w:color="auto"/>
        <w:left w:val="none" w:sz="0" w:space="0" w:color="auto"/>
        <w:bottom w:val="none" w:sz="0" w:space="0" w:color="auto"/>
        <w:right w:val="none" w:sz="0" w:space="0" w:color="auto"/>
      </w:divBdr>
    </w:div>
    <w:div w:id="675227769">
      <w:bodyDiv w:val="1"/>
      <w:marLeft w:val="0"/>
      <w:marRight w:val="0"/>
      <w:marTop w:val="0"/>
      <w:marBottom w:val="0"/>
      <w:divBdr>
        <w:top w:val="none" w:sz="0" w:space="0" w:color="auto"/>
        <w:left w:val="none" w:sz="0" w:space="0" w:color="auto"/>
        <w:bottom w:val="none" w:sz="0" w:space="0" w:color="auto"/>
        <w:right w:val="none" w:sz="0" w:space="0" w:color="auto"/>
      </w:divBdr>
    </w:div>
    <w:div w:id="681784214">
      <w:bodyDiv w:val="1"/>
      <w:marLeft w:val="0"/>
      <w:marRight w:val="0"/>
      <w:marTop w:val="0"/>
      <w:marBottom w:val="0"/>
      <w:divBdr>
        <w:top w:val="none" w:sz="0" w:space="0" w:color="auto"/>
        <w:left w:val="none" w:sz="0" w:space="0" w:color="auto"/>
        <w:bottom w:val="none" w:sz="0" w:space="0" w:color="auto"/>
        <w:right w:val="none" w:sz="0" w:space="0" w:color="auto"/>
      </w:divBdr>
    </w:div>
    <w:div w:id="681902206">
      <w:bodyDiv w:val="1"/>
      <w:marLeft w:val="0"/>
      <w:marRight w:val="0"/>
      <w:marTop w:val="0"/>
      <w:marBottom w:val="0"/>
      <w:divBdr>
        <w:top w:val="none" w:sz="0" w:space="0" w:color="auto"/>
        <w:left w:val="none" w:sz="0" w:space="0" w:color="auto"/>
        <w:bottom w:val="none" w:sz="0" w:space="0" w:color="auto"/>
        <w:right w:val="none" w:sz="0" w:space="0" w:color="auto"/>
      </w:divBdr>
    </w:div>
    <w:div w:id="701856555">
      <w:bodyDiv w:val="1"/>
      <w:marLeft w:val="0"/>
      <w:marRight w:val="0"/>
      <w:marTop w:val="0"/>
      <w:marBottom w:val="0"/>
      <w:divBdr>
        <w:top w:val="none" w:sz="0" w:space="0" w:color="auto"/>
        <w:left w:val="none" w:sz="0" w:space="0" w:color="auto"/>
        <w:bottom w:val="none" w:sz="0" w:space="0" w:color="auto"/>
        <w:right w:val="none" w:sz="0" w:space="0" w:color="auto"/>
      </w:divBdr>
    </w:div>
    <w:div w:id="705330030">
      <w:bodyDiv w:val="1"/>
      <w:marLeft w:val="0"/>
      <w:marRight w:val="0"/>
      <w:marTop w:val="0"/>
      <w:marBottom w:val="0"/>
      <w:divBdr>
        <w:top w:val="none" w:sz="0" w:space="0" w:color="auto"/>
        <w:left w:val="none" w:sz="0" w:space="0" w:color="auto"/>
        <w:bottom w:val="none" w:sz="0" w:space="0" w:color="auto"/>
        <w:right w:val="none" w:sz="0" w:space="0" w:color="auto"/>
      </w:divBdr>
    </w:div>
    <w:div w:id="718212301">
      <w:bodyDiv w:val="1"/>
      <w:marLeft w:val="0"/>
      <w:marRight w:val="0"/>
      <w:marTop w:val="0"/>
      <w:marBottom w:val="0"/>
      <w:divBdr>
        <w:top w:val="none" w:sz="0" w:space="0" w:color="auto"/>
        <w:left w:val="none" w:sz="0" w:space="0" w:color="auto"/>
        <w:bottom w:val="none" w:sz="0" w:space="0" w:color="auto"/>
        <w:right w:val="none" w:sz="0" w:space="0" w:color="auto"/>
      </w:divBdr>
    </w:div>
    <w:div w:id="720134708">
      <w:bodyDiv w:val="1"/>
      <w:marLeft w:val="0"/>
      <w:marRight w:val="0"/>
      <w:marTop w:val="0"/>
      <w:marBottom w:val="0"/>
      <w:divBdr>
        <w:top w:val="none" w:sz="0" w:space="0" w:color="auto"/>
        <w:left w:val="none" w:sz="0" w:space="0" w:color="auto"/>
        <w:bottom w:val="none" w:sz="0" w:space="0" w:color="auto"/>
        <w:right w:val="none" w:sz="0" w:space="0" w:color="auto"/>
      </w:divBdr>
    </w:div>
    <w:div w:id="723216355">
      <w:bodyDiv w:val="1"/>
      <w:marLeft w:val="0"/>
      <w:marRight w:val="0"/>
      <w:marTop w:val="0"/>
      <w:marBottom w:val="0"/>
      <w:divBdr>
        <w:top w:val="none" w:sz="0" w:space="0" w:color="auto"/>
        <w:left w:val="none" w:sz="0" w:space="0" w:color="auto"/>
        <w:bottom w:val="none" w:sz="0" w:space="0" w:color="auto"/>
        <w:right w:val="none" w:sz="0" w:space="0" w:color="auto"/>
      </w:divBdr>
    </w:div>
    <w:div w:id="725881164">
      <w:bodyDiv w:val="1"/>
      <w:marLeft w:val="0"/>
      <w:marRight w:val="0"/>
      <w:marTop w:val="0"/>
      <w:marBottom w:val="0"/>
      <w:divBdr>
        <w:top w:val="none" w:sz="0" w:space="0" w:color="auto"/>
        <w:left w:val="none" w:sz="0" w:space="0" w:color="auto"/>
        <w:bottom w:val="none" w:sz="0" w:space="0" w:color="auto"/>
        <w:right w:val="none" w:sz="0" w:space="0" w:color="auto"/>
      </w:divBdr>
    </w:div>
    <w:div w:id="729809529">
      <w:bodyDiv w:val="1"/>
      <w:marLeft w:val="0"/>
      <w:marRight w:val="0"/>
      <w:marTop w:val="0"/>
      <w:marBottom w:val="0"/>
      <w:divBdr>
        <w:top w:val="none" w:sz="0" w:space="0" w:color="auto"/>
        <w:left w:val="none" w:sz="0" w:space="0" w:color="auto"/>
        <w:bottom w:val="none" w:sz="0" w:space="0" w:color="auto"/>
        <w:right w:val="none" w:sz="0" w:space="0" w:color="auto"/>
      </w:divBdr>
    </w:div>
    <w:div w:id="733702786">
      <w:bodyDiv w:val="1"/>
      <w:marLeft w:val="0"/>
      <w:marRight w:val="0"/>
      <w:marTop w:val="0"/>
      <w:marBottom w:val="0"/>
      <w:divBdr>
        <w:top w:val="none" w:sz="0" w:space="0" w:color="auto"/>
        <w:left w:val="none" w:sz="0" w:space="0" w:color="auto"/>
        <w:bottom w:val="none" w:sz="0" w:space="0" w:color="auto"/>
        <w:right w:val="none" w:sz="0" w:space="0" w:color="auto"/>
      </w:divBdr>
    </w:div>
    <w:div w:id="733816382">
      <w:bodyDiv w:val="1"/>
      <w:marLeft w:val="0"/>
      <w:marRight w:val="0"/>
      <w:marTop w:val="0"/>
      <w:marBottom w:val="0"/>
      <w:divBdr>
        <w:top w:val="none" w:sz="0" w:space="0" w:color="auto"/>
        <w:left w:val="none" w:sz="0" w:space="0" w:color="auto"/>
        <w:bottom w:val="none" w:sz="0" w:space="0" w:color="auto"/>
        <w:right w:val="none" w:sz="0" w:space="0" w:color="auto"/>
      </w:divBdr>
    </w:div>
    <w:div w:id="736627767">
      <w:bodyDiv w:val="1"/>
      <w:marLeft w:val="0"/>
      <w:marRight w:val="0"/>
      <w:marTop w:val="0"/>
      <w:marBottom w:val="0"/>
      <w:divBdr>
        <w:top w:val="none" w:sz="0" w:space="0" w:color="auto"/>
        <w:left w:val="none" w:sz="0" w:space="0" w:color="auto"/>
        <w:bottom w:val="none" w:sz="0" w:space="0" w:color="auto"/>
        <w:right w:val="none" w:sz="0" w:space="0" w:color="auto"/>
      </w:divBdr>
    </w:div>
    <w:div w:id="739795500">
      <w:bodyDiv w:val="1"/>
      <w:marLeft w:val="0"/>
      <w:marRight w:val="0"/>
      <w:marTop w:val="0"/>
      <w:marBottom w:val="0"/>
      <w:divBdr>
        <w:top w:val="none" w:sz="0" w:space="0" w:color="auto"/>
        <w:left w:val="none" w:sz="0" w:space="0" w:color="auto"/>
        <w:bottom w:val="none" w:sz="0" w:space="0" w:color="auto"/>
        <w:right w:val="none" w:sz="0" w:space="0" w:color="auto"/>
      </w:divBdr>
    </w:div>
    <w:div w:id="744113404">
      <w:bodyDiv w:val="1"/>
      <w:marLeft w:val="0"/>
      <w:marRight w:val="0"/>
      <w:marTop w:val="0"/>
      <w:marBottom w:val="0"/>
      <w:divBdr>
        <w:top w:val="none" w:sz="0" w:space="0" w:color="auto"/>
        <w:left w:val="none" w:sz="0" w:space="0" w:color="auto"/>
        <w:bottom w:val="none" w:sz="0" w:space="0" w:color="auto"/>
        <w:right w:val="none" w:sz="0" w:space="0" w:color="auto"/>
      </w:divBdr>
    </w:div>
    <w:div w:id="755248315">
      <w:bodyDiv w:val="1"/>
      <w:marLeft w:val="0"/>
      <w:marRight w:val="0"/>
      <w:marTop w:val="0"/>
      <w:marBottom w:val="0"/>
      <w:divBdr>
        <w:top w:val="none" w:sz="0" w:space="0" w:color="auto"/>
        <w:left w:val="none" w:sz="0" w:space="0" w:color="auto"/>
        <w:bottom w:val="none" w:sz="0" w:space="0" w:color="auto"/>
        <w:right w:val="none" w:sz="0" w:space="0" w:color="auto"/>
      </w:divBdr>
    </w:div>
    <w:div w:id="767582236">
      <w:bodyDiv w:val="1"/>
      <w:marLeft w:val="0"/>
      <w:marRight w:val="0"/>
      <w:marTop w:val="0"/>
      <w:marBottom w:val="0"/>
      <w:divBdr>
        <w:top w:val="none" w:sz="0" w:space="0" w:color="auto"/>
        <w:left w:val="none" w:sz="0" w:space="0" w:color="auto"/>
        <w:bottom w:val="none" w:sz="0" w:space="0" w:color="auto"/>
        <w:right w:val="none" w:sz="0" w:space="0" w:color="auto"/>
      </w:divBdr>
    </w:div>
    <w:div w:id="772749699">
      <w:bodyDiv w:val="1"/>
      <w:marLeft w:val="0"/>
      <w:marRight w:val="0"/>
      <w:marTop w:val="0"/>
      <w:marBottom w:val="0"/>
      <w:divBdr>
        <w:top w:val="none" w:sz="0" w:space="0" w:color="auto"/>
        <w:left w:val="none" w:sz="0" w:space="0" w:color="auto"/>
        <w:bottom w:val="none" w:sz="0" w:space="0" w:color="auto"/>
        <w:right w:val="none" w:sz="0" w:space="0" w:color="auto"/>
      </w:divBdr>
    </w:div>
    <w:div w:id="777524329">
      <w:bodyDiv w:val="1"/>
      <w:marLeft w:val="0"/>
      <w:marRight w:val="0"/>
      <w:marTop w:val="0"/>
      <w:marBottom w:val="0"/>
      <w:divBdr>
        <w:top w:val="none" w:sz="0" w:space="0" w:color="auto"/>
        <w:left w:val="none" w:sz="0" w:space="0" w:color="auto"/>
        <w:bottom w:val="none" w:sz="0" w:space="0" w:color="auto"/>
        <w:right w:val="none" w:sz="0" w:space="0" w:color="auto"/>
      </w:divBdr>
    </w:div>
    <w:div w:id="785349768">
      <w:bodyDiv w:val="1"/>
      <w:marLeft w:val="0"/>
      <w:marRight w:val="0"/>
      <w:marTop w:val="0"/>
      <w:marBottom w:val="0"/>
      <w:divBdr>
        <w:top w:val="none" w:sz="0" w:space="0" w:color="auto"/>
        <w:left w:val="none" w:sz="0" w:space="0" w:color="auto"/>
        <w:bottom w:val="none" w:sz="0" w:space="0" w:color="auto"/>
        <w:right w:val="none" w:sz="0" w:space="0" w:color="auto"/>
      </w:divBdr>
    </w:div>
    <w:div w:id="790244275">
      <w:bodyDiv w:val="1"/>
      <w:marLeft w:val="0"/>
      <w:marRight w:val="0"/>
      <w:marTop w:val="0"/>
      <w:marBottom w:val="0"/>
      <w:divBdr>
        <w:top w:val="none" w:sz="0" w:space="0" w:color="auto"/>
        <w:left w:val="none" w:sz="0" w:space="0" w:color="auto"/>
        <w:bottom w:val="none" w:sz="0" w:space="0" w:color="auto"/>
        <w:right w:val="none" w:sz="0" w:space="0" w:color="auto"/>
      </w:divBdr>
    </w:div>
    <w:div w:id="790590657">
      <w:bodyDiv w:val="1"/>
      <w:marLeft w:val="0"/>
      <w:marRight w:val="0"/>
      <w:marTop w:val="0"/>
      <w:marBottom w:val="0"/>
      <w:divBdr>
        <w:top w:val="none" w:sz="0" w:space="0" w:color="auto"/>
        <w:left w:val="none" w:sz="0" w:space="0" w:color="auto"/>
        <w:bottom w:val="none" w:sz="0" w:space="0" w:color="auto"/>
        <w:right w:val="none" w:sz="0" w:space="0" w:color="auto"/>
      </w:divBdr>
    </w:div>
    <w:div w:id="802844710">
      <w:bodyDiv w:val="1"/>
      <w:marLeft w:val="0"/>
      <w:marRight w:val="0"/>
      <w:marTop w:val="0"/>
      <w:marBottom w:val="0"/>
      <w:divBdr>
        <w:top w:val="none" w:sz="0" w:space="0" w:color="auto"/>
        <w:left w:val="none" w:sz="0" w:space="0" w:color="auto"/>
        <w:bottom w:val="none" w:sz="0" w:space="0" w:color="auto"/>
        <w:right w:val="none" w:sz="0" w:space="0" w:color="auto"/>
      </w:divBdr>
    </w:div>
    <w:div w:id="806320148">
      <w:bodyDiv w:val="1"/>
      <w:marLeft w:val="0"/>
      <w:marRight w:val="0"/>
      <w:marTop w:val="0"/>
      <w:marBottom w:val="0"/>
      <w:divBdr>
        <w:top w:val="none" w:sz="0" w:space="0" w:color="auto"/>
        <w:left w:val="none" w:sz="0" w:space="0" w:color="auto"/>
        <w:bottom w:val="none" w:sz="0" w:space="0" w:color="auto"/>
        <w:right w:val="none" w:sz="0" w:space="0" w:color="auto"/>
      </w:divBdr>
    </w:div>
    <w:div w:id="817376471">
      <w:bodyDiv w:val="1"/>
      <w:marLeft w:val="0"/>
      <w:marRight w:val="0"/>
      <w:marTop w:val="0"/>
      <w:marBottom w:val="0"/>
      <w:divBdr>
        <w:top w:val="none" w:sz="0" w:space="0" w:color="auto"/>
        <w:left w:val="none" w:sz="0" w:space="0" w:color="auto"/>
        <w:bottom w:val="none" w:sz="0" w:space="0" w:color="auto"/>
        <w:right w:val="none" w:sz="0" w:space="0" w:color="auto"/>
      </w:divBdr>
    </w:div>
    <w:div w:id="818619492">
      <w:bodyDiv w:val="1"/>
      <w:marLeft w:val="0"/>
      <w:marRight w:val="0"/>
      <w:marTop w:val="0"/>
      <w:marBottom w:val="0"/>
      <w:divBdr>
        <w:top w:val="none" w:sz="0" w:space="0" w:color="auto"/>
        <w:left w:val="none" w:sz="0" w:space="0" w:color="auto"/>
        <w:bottom w:val="none" w:sz="0" w:space="0" w:color="auto"/>
        <w:right w:val="none" w:sz="0" w:space="0" w:color="auto"/>
      </w:divBdr>
    </w:div>
    <w:div w:id="824126629">
      <w:bodyDiv w:val="1"/>
      <w:marLeft w:val="0"/>
      <w:marRight w:val="0"/>
      <w:marTop w:val="0"/>
      <w:marBottom w:val="0"/>
      <w:divBdr>
        <w:top w:val="none" w:sz="0" w:space="0" w:color="auto"/>
        <w:left w:val="none" w:sz="0" w:space="0" w:color="auto"/>
        <w:bottom w:val="none" w:sz="0" w:space="0" w:color="auto"/>
        <w:right w:val="none" w:sz="0" w:space="0" w:color="auto"/>
      </w:divBdr>
    </w:div>
    <w:div w:id="828249655">
      <w:bodyDiv w:val="1"/>
      <w:marLeft w:val="0"/>
      <w:marRight w:val="0"/>
      <w:marTop w:val="0"/>
      <w:marBottom w:val="0"/>
      <w:divBdr>
        <w:top w:val="none" w:sz="0" w:space="0" w:color="auto"/>
        <w:left w:val="none" w:sz="0" w:space="0" w:color="auto"/>
        <w:bottom w:val="none" w:sz="0" w:space="0" w:color="auto"/>
        <w:right w:val="none" w:sz="0" w:space="0" w:color="auto"/>
      </w:divBdr>
    </w:div>
    <w:div w:id="829103330">
      <w:bodyDiv w:val="1"/>
      <w:marLeft w:val="0"/>
      <w:marRight w:val="0"/>
      <w:marTop w:val="0"/>
      <w:marBottom w:val="0"/>
      <w:divBdr>
        <w:top w:val="none" w:sz="0" w:space="0" w:color="auto"/>
        <w:left w:val="none" w:sz="0" w:space="0" w:color="auto"/>
        <w:bottom w:val="none" w:sz="0" w:space="0" w:color="auto"/>
        <w:right w:val="none" w:sz="0" w:space="0" w:color="auto"/>
      </w:divBdr>
    </w:div>
    <w:div w:id="833647574">
      <w:bodyDiv w:val="1"/>
      <w:marLeft w:val="0"/>
      <w:marRight w:val="0"/>
      <w:marTop w:val="0"/>
      <w:marBottom w:val="0"/>
      <w:divBdr>
        <w:top w:val="none" w:sz="0" w:space="0" w:color="auto"/>
        <w:left w:val="none" w:sz="0" w:space="0" w:color="auto"/>
        <w:bottom w:val="none" w:sz="0" w:space="0" w:color="auto"/>
        <w:right w:val="none" w:sz="0" w:space="0" w:color="auto"/>
      </w:divBdr>
    </w:div>
    <w:div w:id="847018582">
      <w:bodyDiv w:val="1"/>
      <w:marLeft w:val="0"/>
      <w:marRight w:val="0"/>
      <w:marTop w:val="0"/>
      <w:marBottom w:val="0"/>
      <w:divBdr>
        <w:top w:val="none" w:sz="0" w:space="0" w:color="auto"/>
        <w:left w:val="none" w:sz="0" w:space="0" w:color="auto"/>
        <w:bottom w:val="none" w:sz="0" w:space="0" w:color="auto"/>
        <w:right w:val="none" w:sz="0" w:space="0" w:color="auto"/>
      </w:divBdr>
    </w:div>
    <w:div w:id="847137865">
      <w:bodyDiv w:val="1"/>
      <w:marLeft w:val="0"/>
      <w:marRight w:val="0"/>
      <w:marTop w:val="0"/>
      <w:marBottom w:val="0"/>
      <w:divBdr>
        <w:top w:val="none" w:sz="0" w:space="0" w:color="auto"/>
        <w:left w:val="none" w:sz="0" w:space="0" w:color="auto"/>
        <w:bottom w:val="none" w:sz="0" w:space="0" w:color="auto"/>
        <w:right w:val="none" w:sz="0" w:space="0" w:color="auto"/>
      </w:divBdr>
    </w:div>
    <w:div w:id="852572663">
      <w:bodyDiv w:val="1"/>
      <w:marLeft w:val="0"/>
      <w:marRight w:val="0"/>
      <w:marTop w:val="0"/>
      <w:marBottom w:val="0"/>
      <w:divBdr>
        <w:top w:val="none" w:sz="0" w:space="0" w:color="auto"/>
        <w:left w:val="none" w:sz="0" w:space="0" w:color="auto"/>
        <w:bottom w:val="none" w:sz="0" w:space="0" w:color="auto"/>
        <w:right w:val="none" w:sz="0" w:space="0" w:color="auto"/>
      </w:divBdr>
    </w:div>
    <w:div w:id="853955638">
      <w:bodyDiv w:val="1"/>
      <w:marLeft w:val="0"/>
      <w:marRight w:val="0"/>
      <w:marTop w:val="0"/>
      <w:marBottom w:val="0"/>
      <w:divBdr>
        <w:top w:val="none" w:sz="0" w:space="0" w:color="auto"/>
        <w:left w:val="none" w:sz="0" w:space="0" w:color="auto"/>
        <w:bottom w:val="none" w:sz="0" w:space="0" w:color="auto"/>
        <w:right w:val="none" w:sz="0" w:space="0" w:color="auto"/>
      </w:divBdr>
    </w:div>
    <w:div w:id="862325289">
      <w:bodyDiv w:val="1"/>
      <w:marLeft w:val="0"/>
      <w:marRight w:val="0"/>
      <w:marTop w:val="0"/>
      <w:marBottom w:val="0"/>
      <w:divBdr>
        <w:top w:val="none" w:sz="0" w:space="0" w:color="auto"/>
        <w:left w:val="none" w:sz="0" w:space="0" w:color="auto"/>
        <w:bottom w:val="none" w:sz="0" w:space="0" w:color="auto"/>
        <w:right w:val="none" w:sz="0" w:space="0" w:color="auto"/>
      </w:divBdr>
    </w:div>
    <w:div w:id="871845447">
      <w:bodyDiv w:val="1"/>
      <w:marLeft w:val="0"/>
      <w:marRight w:val="0"/>
      <w:marTop w:val="0"/>
      <w:marBottom w:val="0"/>
      <w:divBdr>
        <w:top w:val="none" w:sz="0" w:space="0" w:color="auto"/>
        <w:left w:val="none" w:sz="0" w:space="0" w:color="auto"/>
        <w:bottom w:val="none" w:sz="0" w:space="0" w:color="auto"/>
        <w:right w:val="none" w:sz="0" w:space="0" w:color="auto"/>
      </w:divBdr>
    </w:div>
    <w:div w:id="872230752">
      <w:bodyDiv w:val="1"/>
      <w:marLeft w:val="0"/>
      <w:marRight w:val="0"/>
      <w:marTop w:val="0"/>
      <w:marBottom w:val="0"/>
      <w:divBdr>
        <w:top w:val="none" w:sz="0" w:space="0" w:color="auto"/>
        <w:left w:val="none" w:sz="0" w:space="0" w:color="auto"/>
        <w:bottom w:val="none" w:sz="0" w:space="0" w:color="auto"/>
        <w:right w:val="none" w:sz="0" w:space="0" w:color="auto"/>
      </w:divBdr>
    </w:div>
    <w:div w:id="876431666">
      <w:bodyDiv w:val="1"/>
      <w:marLeft w:val="0"/>
      <w:marRight w:val="0"/>
      <w:marTop w:val="0"/>
      <w:marBottom w:val="0"/>
      <w:divBdr>
        <w:top w:val="none" w:sz="0" w:space="0" w:color="auto"/>
        <w:left w:val="none" w:sz="0" w:space="0" w:color="auto"/>
        <w:bottom w:val="none" w:sz="0" w:space="0" w:color="auto"/>
        <w:right w:val="none" w:sz="0" w:space="0" w:color="auto"/>
      </w:divBdr>
    </w:div>
    <w:div w:id="879633598">
      <w:bodyDiv w:val="1"/>
      <w:marLeft w:val="0"/>
      <w:marRight w:val="0"/>
      <w:marTop w:val="0"/>
      <w:marBottom w:val="0"/>
      <w:divBdr>
        <w:top w:val="none" w:sz="0" w:space="0" w:color="auto"/>
        <w:left w:val="none" w:sz="0" w:space="0" w:color="auto"/>
        <w:bottom w:val="none" w:sz="0" w:space="0" w:color="auto"/>
        <w:right w:val="none" w:sz="0" w:space="0" w:color="auto"/>
      </w:divBdr>
    </w:div>
    <w:div w:id="883954450">
      <w:bodyDiv w:val="1"/>
      <w:marLeft w:val="0"/>
      <w:marRight w:val="0"/>
      <w:marTop w:val="0"/>
      <w:marBottom w:val="0"/>
      <w:divBdr>
        <w:top w:val="none" w:sz="0" w:space="0" w:color="auto"/>
        <w:left w:val="none" w:sz="0" w:space="0" w:color="auto"/>
        <w:bottom w:val="none" w:sz="0" w:space="0" w:color="auto"/>
        <w:right w:val="none" w:sz="0" w:space="0" w:color="auto"/>
      </w:divBdr>
    </w:div>
    <w:div w:id="889224771">
      <w:bodyDiv w:val="1"/>
      <w:marLeft w:val="0"/>
      <w:marRight w:val="0"/>
      <w:marTop w:val="0"/>
      <w:marBottom w:val="0"/>
      <w:divBdr>
        <w:top w:val="none" w:sz="0" w:space="0" w:color="auto"/>
        <w:left w:val="none" w:sz="0" w:space="0" w:color="auto"/>
        <w:bottom w:val="none" w:sz="0" w:space="0" w:color="auto"/>
        <w:right w:val="none" w:sz="0" w:space="0" w:color="auto"/>
      </w:divBdr>
    </w:div>
    <w:div w:id="892887704">
      <w:bodyDiv w:val="1"/>
      <w:marLeft w:val="0"/>
      <w:marRight w:val="0"/>
      <w:marTop w:val="0"/>
      <w:marBottom w:val="0"/>
      <w:divBdr>
        <w:top w:val="none" w:sz="0" w:space="0" w:color="auto"/>
        <w:left w:val="none" w:sz="0" w:space="0" w:color="auto"/>
        <w:bottom w:val="none" w:sz="0" w:space="0" w:color="auto"/>
        <w:right w:val="none" w:sz="0" w:space="0" w:color="auto"/>
      </w:divBdr>
    </w:div>
    <w:div w:id="893934365">
      <w:bodyDiv w:val="1"/>
      <w:marLeft w:val="0"/>
      <w:marRight w:val="0"/>
      <w:marTop w:val="0"/>
      <w:marBottom w:val="0"/>
      <w:divBdr>
        <w:top w:val="none" w:sz="0" w:space="0" w:color="auto"/>
        <w:left w:val="none" w:sz="0" w:space="0" w:color="auto"/>
        <w:bottom w:val="none" w:sz="0" w:space="0" w:color="auto"/>
        <w:right w:val="none" w:sz="0" w:space="0" w:color="auto"/>
      </w:divBdr>
    </w:div>
    <w:div w:id="903298214">
      <w:bodyDiv w:val="1"/>
      <w:marLeft w:val="0"/>
      <w:marRight w:val="0"/>
      <w:marTop w:val="0"/>
      <w:marBottom w:val="0"/>
      <w:divBdr>
        <w:top w:val="none" w:sz="0" w:space="0" w:color="auto"/>
        <w:left w:val="none" w:sz="0" w:space="0" w:color="auto"/>
        <w:bottom w:val="none" w:sz="0" w:space="0" w:color="auto"/>
        <w:right w:val="none" w:sz="0" w:space="0" w:color="auto"/>
      </w:divBdr>
    </w:div>
    <w:div w:id="907374988">
      <w:bodyDiv w:val="1"/>
      <w:marLeft w:val="0"/>
      <w:marRight w:val="0"/>
      <w:marTop w:val="0"/>
      <w:marBottom w:val="0"/>
      <w:divBdr>
        <w:top w:val="none" w:sz="0" w:space="0" w:color="auto"/>
        <w:left w:val="none" w:sz="0" w:space="0" w:color="auto"/>
        <w:bottom w:val="none" w:sz="0" w:space="0" w:color="auto"/>
        <w:right w:val="none" w:sz="0" w:space="0" w:color="auto"/>
      </w:divBdr>
    </w:div>
    <w:div w:id="910971610">
      <w:bodyDiv w:val="1"/>
      <w:marLeft w:val="0"/>
      <w:marRight w:val="0"/>
      <w:marTop w:val="0"/>
      <w:marBottom w:val="0"/>
      <w:divBdr>
        <w:top w:val="none" w:sz="0" w:space="0" w:color="auto"/>
        <w:left w:val="none" w:sz="0" w:space="0" w:color="auto"/>
        <w:bottom w:val="none" w:sz="0" w:space="0" w:color="auto"/>
        <w:right w:val="none" w:sz="0" w:space="0" w:color="auto"/>
      </w:divBdr>
    </w:div>
    <w:div w:id="913783936">
      <w:bodyDiv w:val="1"/>
      <w:marLeft w:val="0"/>
      <w:marRight w:val="0"/>
      <w:marTop w:val="0"/>
      <w:marBottom w:val="0"/>
      <w:divBdr>
        <w:top w:val="none" w:sz="0" w:space="0" w:color="auto"/>
        <w:left w:val="none" w:sz="0" w:space="0" w:color="auto"/>
        <w:bottom w:val="none" w:sz="0" w:space="0" w:color="auto"/>
        <w:right w:val="none" w:sz="0" w:space="0" w:color="auto"/>
      </w:divBdr>
    </w:div>
    <w:div w:id="931284696">
      <w:bodyDiv w:val="1"/>
      <w:marLeft w:val="0"/>
      <w:marRight w:val="0"/>
      <w:marTop w:val="0"/>
      <w:marBottom w:val="0"/>
      <w:divBdr>
        <w:top w:val="none" w:sz="0" w:space="0" w:color="auto"/>
        <w:left w:val="none" w:sz="0" w:space="0" w:color="auto"/>
        <w:bottom w:val="none" w:sz="0" w:space="0" w:color="auto"/>
        <w:right w:val="none" w:sz="0" w:space="0" w:color="auto"/>
      </w:divBdr>
    </w:div>
    <w:div w:id="950362799">
      <w:bodyDiv w:val="1"/>
      <w:marLeft w:val="0"/>
      <w:marRight w:val="0"/>
      <w:marTop w:val="0"/>
      <w:marBottom w:val="0"/>
      <w:divBdr>
        <w:top w:val="none" w:sz="0" w:space="0" w:color="auto"/>
        <w:left w:val="none" w:sz="0" w:space="0" w:color="auto"/>
        <w:bottom w:val="none" w:sz="0" w:space="0" w:color="auto"/>
        <w:right w:val="none" w:sz="0" w:space="0" w:color="auto"/>
      </w:divBdr>
    </w:div>
    <w:div w:id="958028738">
      <w:bodyDiv w:val="1"/>
      <w:marLeft w:val="0"/>
      <w:marRight w:val="0"/>
      <w:marTop w:val="0"/>
      <w:marBottom w:val="0"/>
      <w:divBdr>
        <w:top w:val="none" w:sz="0" w:space="0" w:color="auto"/>
        <w:left w:val="none" w:sz="0" w:space="0" w:color="auto"/>
        <w:bottom w:val="none" w:sz="0" w:space="0" w:color="auto"/>
        <w:right w:val="none" w:sz="0" w:space="0" w:color="auto"/>
      </w:divBdr>
    </w:div>
    <w:div w:id="959990689">
      <w:bodyDiv w:val="1"/>
      <w:marLeft w:val="0"/>
      <w:marRight w:val="0"/>
      <w:marTop w:val="0"/>
      <w:marBottom w:val="0"/>
      <w:divBdr>
        <w:top w:val="none" w:sz="0" w:space="0" w:color="auto"/>
        <w:left w:val="none" w:sz="0" w:space="0" w:color="auto"/>
        <w:bottom w:val="none" w:sz="0" w:space="0" w:color="auto"/>
        <w:right w:val="none" w:sz="0" w:space="0" w:color="auto"/>
      </w:divBdr>
    </w:div>
    <w:div w:id="963580274">
      <w:bodyDiv w:val="1"/>
      <w:marLeft w:val="0"/>
      <w:marRight w:val="0"/>
      <w:marTop w:val="0"/>
      <w:marBottom w:val="0"/>
      <w:divBdr>
        <w:top w:val="none" w:sz="0" w:space="0" w:color="auto"/>
        <w:left w:val="none" w:sz="0" w:space="0" w:color="auto"/>
        <w:bottom w:val="none" w:sz="0" w:space="0" w:color="auto"/>
        <w:right w:val="none" w:sz="0" w:space="0" w:color="auto"/>
      </w:divBdr>
    </w:div>
    <w:div w:id="971986016">
      <w:bodyDiv w:val="1"/>
      <w:marLeft w:val="0"/>
      <w:marRight w:val="0"/>
      <w:marTop w:val="0"/>
      <w:marBottom w:val="0"/>
      <w:divBdr>
        <w:top w:val="none" w:sz="0" w:space="0" w:color="auto"/>
        <w:left w:val="none" w:sz="0" w:space="0" w:color="auto"/>
        <w:bottom w:val="none" w:sz="0" w:space="0" w:color="auto"/>
        <w:right w:val="none" w:sz="0" w:space="0" w:color="auto"/>
      </w:divBdr>
    </w:div>
    <w:div w:id="972441872">
      <w:bodyDiv w:val="1"/>
      <w:marLeft w:val="0"/>
      <w:marRight w:val="0"/>
      <w:marTop w:val="0"/>
      <w:marBottom w:val="0"/>
      <w:divBdr>
        <w:top w:val="none" w:sz="0" w:space="0" w:color="auto"/>
        <w:left w:val="none" w:sz="0" w:space="0" w:color="auto"/>
        <w:bottom w:val="none" w:sz="0" w:space="0" w:color="auto"/>
        <w:right w:val="none" w:sz="0" w:space="0" w:color="auto"/>
      </w:divBdr>
    </w:div>
    <w:div w:id="980382674">
      <w:bodyDiv w:val="1"/>
      <w:marLeft w:val="0"/>
      <w:marRight w:val="0"/>
      <w:marTop w:val="0"/>
      <w:marBottom w:val="0"/>
      <w:divBdr>
        <w:top w:val="none" w:sz="0" w:space="0" w:color="auto"/>
        <w:left w:val="none" w:sz="0" w:space="0" w:color="auto"/>
        <w:bottom w:val="none" w:sz="0" w:space="0" w:color="auto"/>
        <w:right w:val="none" w:sz="0" w:space="0" w:color="auto"/>
      </w:divBdr>
    </w:div>
    <w:div w:id="985671724">
      <w:bodyDiv w:val="1"/>
      <w:marLeft w:val="0"/>
      <w:marRight w:val="0"/>
      <w:marTop w:val="0"/>
      <w:marBottom w:val="0"/>
      <w:divBdr>
        <w:top w:val="none" w:sz="0" w:space="0" w:color="auto"/>
        <w:left w:val="none" w:sz="0" w:space="0" w:color="auto"/>
        <w:bottom w:val="none" w:sz="0" w:space="0" w:color="auto"/>
        <w:right w:val="none" w:sz="0" w:space="0" w:color="auto"/>
      </w:divBdr>
    </w:div>
    <w:div w:id="994188696">
      <w:bodyDiv w:val="1"/>
      <w:marLeft w:val="0"/>
      <w:marRight w:val="0"/>
      <w:marTop w:val="0"/>
      <w:marBottom w:val="0"/>
      <w:divBdr>
        <w:top w:val="none" w:sz="0" w:space="0" w:color="auto"/>
        <w:left w:val="none" w:sz="0" w:space="0" w:color="auto"/>
        <w:bottom w:val="none" w:sz="0" w:space="0" w:color="auto"/>
        <w:right w:val="none" w:sz="0" w:space="0" w:color="auto"/>
      </w:divBdr>
    </w:div>
    <w:div w:id="1014108566">
      <w:bodyDiv w:val="1"/>
      <w:marLeft w:val="0"/>
      <w:marRight w:val="0"/>
      <w:marTop w:val="0"/>
      <w:marBottom w:val="0"/>
      <w:divBdr>
        <w:top w:val="none" w:sz="0" w:space="0" w:color="auto"/>
        <w:left w:val="none" w:sz="0" w:space="0" w:color="auto"/>
        <w:bottom w:val="none" w:sz="0" w:space="0" w:color="auto"/>
        <w:right w:val="none" w:sz="0" w:space="0" w:color="auto"/>
      </w:divBdr>
    </w:div>
    <w:div w:id="1027410677">
      <w:bodyDiv w:val="1"/>
      <w:marLeft w:val="0"/>
      <w:marRight w:val="0"/>
      <w:marTop w:val="0"/>
      <w:marBottom w:val="0"/>
      <w:divBdr>
        <w:top w:val="none" w:sz="0" w:space="0" w:color="auto"/>
        <w:left w:val="none" w:sz="0" w:space="0" w:color="auto"/>
        <w:bottom w:val="none" w:sz="0" w:space="0" w:color="auto"/>
        <w:right w:val="none" w:sz="0" w:space="0" w:color="auto"/>
      </w:divBdr>
    </w:div>
    <w:div w:id="1029843039">
      <w:bodyDiv w:val="1"/>
      <w:marLeft w:val="0"/>
      <w:marRight w:val="0"/>
      <w:marTop w:val="0"/>
      <w:marBottom w:val="0"/>
      <w:divBdr>
        <w:top w:val="none" w:sz="0" w:space="0" w:color="auto"/>
        <w:left w:val="none" w:sz="0" w:space="0" w:color="auto"/>
        <w:bottom w:val="none" w:sz="0" w:space="0" w:color="auto"/>
        <w:right w:val="none" w:sz="0" w:space="0" w:color="auto"/>
      </w:divBdr>
    </w:div>
    <w:div w:id="1051032011">
      <w:bodyDiv w:val="1"/>
      <w:marLeft w:val="0"/>
      <w:marRight w:val="0"/>
      <w:marTop w:val="0"/>
      <w:marBottom w:val="0"/>
      <w:divBdr>
        <w:top w:val="none" w:sz="0" w:space="0" w:color="auto"/>
        <w:left w:val="none" w:sz="0" w:space="0" w:color="auto"/>
        <w:bottom w:val="none" w:sz="0" w:space="0" w:color="auto"/>
        <w:right w:val="none" w:sz="0" w:space="0" w:color="auto"/>
      </w:divBdr>
    </w:div>
    <w:div w:id="1058822825">
      <w:bodyDiv w:val="1"/>
      <w:marLeft w:val="0"/>
      <w:marRight w:val="0"/>
      <w:marTop w:val="0"/>
      <w:marBottom w:val="0"/>
      <w:divBdr>
        <w:top w:val="none" w:sz="0" w:space="0" w:color="auto"/>
        <w:left w:val="none" w:sz="0" w:space="0" w:color="auto"/>
        <w:bottom w:val="none" w:sz="0" w:space="0" w:color="auto"/>
        <w:right w:val="none" w:sz="0" w:space="0" w:color="auto"/>
      </w:divBdr>
    </w:div>
    <w:div w:id="1070229319">
      <w:bodyDiv w:val="1"/>
      <w:marLeft w:val="0"/>
      <w:marRight w:val="0"/>
      <w:marTop w:val="0"/>
      <w:marBottom w:val="0"/>
      <w:divBdr>
        <w:top w:val="none" w:sz="0" w:space="0" w:color="auto"/>
        <w:left w:val="none" w:sz="0" w:space="0" w:color="auto"/>
        <w:bottom w:val="none" w:sz="0" w:space="0" w:color="auto"/>
        <w:right w:val="none" w:sz="0" w:space="0" w:color="auto"/>
      </w:divBdr>
    </w:div>
    <w:div w:id="1079326957">
      <w:bodyDiv w:val="1"/>
      <w:marLeft w:val="0"/>
      <w:marRight w:val="0"/>
      <w:marTop w:val="0"/>
      <w:marBottom w:val="0"/>
      <w:divBdr>
        <w:top w:val="none" w:sz="0" w:space="0" w:color="auto"/>
        <w:left w:val="none" w:sz="0" w:space="0" w:color="auto"/>
        <w:bottom w:val="none" w:sz="0" w:space="0" w:color="auto"/>
        <w:right w:val="none" w:sz="0" w:space="0" w:color="auto"/>
      </w:divBdr>
    </w:div>
    <w:div w:id="1081214600">
      <w:bodyDiv w:val="1"/>
      <w:marLeft w:val="0"/>
      <w:marRight w:val="0"/>
      <w:marTop w:val="0"/>
      <w:marBottom w:val="0"/>
      <w:divBdr>
        <w:top w:val="none" w:sz="0" w:space="0" w:color="auto"/>
        <w:left w:val="none" w:sz="0" w:space="0" w:color="auto"/>
        <w:bottom w:val="none" w:sz="0" w:space="0" w:color="auto"/>
        <w:right w:val="none" w:sz="0" w:space="0" w:color="auto"/>
      </w:divBdr>
    </w:div>
    <w:div w:id="1095980757">
      <w:bodyDiv w:val="1"/>
      <w:marLeft w:val="0"/>
      <w:marRight w:val="0"/>
      <w:marTop w:val="0"/>
      <w:marBottom w:val="0"/>
      <w:divBdr>
        <w:top w:val="none" w:sz="0" w:space="0" w:color="auto"/>
        <w:left w:val="none" w:sz="0" w:space="0" w:color="auto"/>
        <w:bottom w:val="none" w:sz="0" w:space="0" w:color="auto"/>
        <w:right w:val="none" w:sz="0" w:space="0" w:color="auto"/>
      </w:divBdr>
    </w:div>
    <w:div w:id="1131903872">
      <w:bodyDiv w:val="1"/>
      <w:marLeft w:val="0"/>
      <w:marRight w:val="0"/>
      <w:marTop w:val="0"/>
      <w:marBottom w:val="0"/>
      <w:divBdr>
        <w:top w:val="none" w:sz="0" w:space="0" w:color="auto"/>
        <w:left w:val="none" w:sz="0" w:space="0" w:color="auto"/>
        <w:bottom w:val="none" w:sz="0" w:space="0" w:color="auto"/>
        <w:right w:val="none" w:sz="0" w:space="0" w:color="auto"/>
      </w:divBdr>
    </w:div>
    <w:div w:id="1133599434">
      <w:bodyDiv w:val="1"/>
      <w:marLeft w:val="0"/>
      <w:marRight w:val="0"/>
      <w:marTop w:val="0"/>
      <w:marBottom w:val="0"/>
      <w:divBdr>
        <w:top w:val="none" w:sz="0" w:space="0" w:color="auto"/>
        <w:left w:val="none" w:sz="0" w:space="0" w:color="auto"/>
        <w:bottom w:val="none" w:sz="0" w:space="0" w:color="auto"/>
        <w:right w:val="none" w:sz="0" w:space="0" w:color="auto"/>
      </w:divBdr>
    </w:div>
    <w:div w:id="1137381345">
      <w:bodyDiv w:val="1"/>
      <w:marLeft w:val="0"/>
      <w:marRight w:val="0"/>
      <w:marTop w:val="0"/>
      <w:marBottom w:val="0"/>
      <w:divBdr>
        <w:top w:val="none" w:sz="0" w:space="0" w:color="auto"/>
        <w:left w:val="none" w:sz="0" w:space="0" w:color="auto"/>
        <w:bottom w:val="none" w:sz="0" w:space="0" w:color="auto"/>
        <w:right w:val="none" w:sz="0" w:space="0" w:color="auto"/>
      </w:divBdr>
    </w:div>
    <w:div w:id="1150830416">
      <w:bodyDiv w:val="1"/>
      <w:marLeft w:val="0"/>
      <w:marRight w:val="0"/>
      <w:marTop w:val="0"/>
      <w:marBottom w:val="0"/>
      <w:divBdr>
        <w:top w:val="none" w:sz="0" w:space="0" w:color="auto"/>
        <w:left w:val="none" w:sz="0" w:space="0" w:color="auto"/>
        <w:bottom w:val="none" w:sz="0" w:space="0" w:color="auto"/>
        <w:right w:val="none" w:sz="0" w:space="0" w:color="auto"/>
      </w:divBdr>
    </w:div>
    <w:div w:id="1152795485">
      <w:bodyDiv w:val="1"/>
      <w:marLeft w:val="0"/>
      <w:marRight w:val="0"/>
      <w:marTop w:val="0"/>
      <w:marBottom w:val="0"/>
      <w:divBdr>
        <w:top w:val="none" w:sz="0" w:space="0" w:color="auto"/>
        <w:left w:val="none" w:sz="0" w:space="0" w:color="auto"/>
        <w:bottom w:val="none" w:sz="0" w:space="0" w:color="auto"/>
        <w:right w:val="none" w:sz="0" w:space="0" w:color="auto"/>
      </w:divBdr>
    </w:div>
    <w:div w:id="1152796745">
      <w:bodyDiv w:val="1"/>
      <w:marLeft w:val="0"/>
      <w:marRight w:val="0"/>
      <w:marTop w:val="0"/>
      <w:marBottom w:val="0"/>
      <w:divBdr>
        <w:top w:val="none" w:sz="0" w:space="0" w:color="auto"/>
        <w:left w:val="none" w:sz="0" w:space="0" w:color="auto"/>
        <w:bottom w:val="none" w:sz="0" w:space="0" w:color="auto"/>
        <w:right w:val="none" w:sz="0" w:space="0" w:color="auto"/>
      </w:divBdr>
    </w:div>
    <w:div w:id="1156646629">
      <w:bodyDiv w:val="1"/>
      <w:marLeft w:val="0"/>
      <w:marRight w:val="0"/>
      <w:marTop w:val="0"/>
      <w:marBottom w:val="0"/>
      <w:divBdr>
        <w:top w:val="none" w:sz="0" w:space="0" w:color="auto"/>
        <w:left w:val="none" w:sz="0" w:space="0" w:color="auto"/>
        <w:bottom w:val="none" w:sz="0" w:space="0" w:color="auto"/>
        <w:right w:val="none" w:sz="0" w:space="0" w:color="auto"/>
      </w:divBdr>
    </w:div>
    <w:div w:id="1175682638">
      <w:bodyDiv w:val="1"/>
      <w:marLeft w:val="0"/>
      <w:marRight w:val="0"/>
      <w:marTop w:val="0"/>
      <w:marBottom w:val="0"/>
      <w:divBdr>
        <w:top w:val="none" w:sz="0" w:space="0" w:color="auto"/>
        <w:left w:val="none" w:sz="0" w:space="0" w:color="auto"/>
        <w:bottom w:val="none" w:sz="0" w:space="0" w:color="auto"/>
        <w:right w:val="none" w:sz="0" w:space="0" w:color="auto"/>
      </w:divBdr>
    </w:div>
    <w:div w:id="1198273858">
      <w:bodyDiv w:val="1"/>
      <w:marLeft w:val="0"/>
      <w:marRight w:val="0"/>
      <w:marTop w:val="0"/>
      <w:marBottom w:val="0"/>
      <w:divBdr>
        <w:top w:val="none" w:sz="0" w:space="0" w:color="auto"/>
        <w:left w:val="none" w:sz="0" w:space="0" w:color="auto"/>
        <w:bottom w:val="none" w:sz="0" w:space="0" w:color="auto"/>
        <w:right w:val="none" w:sz="0" w:space="0" w:color="auto"/>
      </w:divBdr>
    </w:div>
    <w:div w:id="1200509618">
      <w:bodyDiv w:val="1"/>
      <w:marLeft w:val="0"/>
      <w:marRight w:val="0"/>
      <w:marTop w:val="0"/>
      <w:marBottom w:val="0"/>
      <w:divBdr>
        <w:top w:val="none" w:sz="0" w:space="0" w:color="auto"/>
        <w:left w:val="none" w:sz="0" w:space="0" w:color="auto"/>
        <w:bottom w:val="none" w:sz="0" w:space="0" w:color="auto"/>
        <w:right w:val="none" w:sz="0" w:space="0" w:color="auto"/>
      </w:divBdr>
    </w:div>
    <w:div w:id="1201238351">
      <w:bodyDiv w:val="1"/>
      <w:marLeft w:val="0"/>
      <w:marRight w:val="0"/>
      <w:marTop w:val="0"/>
      <w:marBottom w:val="0"/>
      <w:divBdr>
        <w:top w:val="none" w:sz="0" w:space="0" w:color="auto"/>
        <w:left w:val="none" w:sz="0" w:space="0" w:color="auto"/>
        <w:bottom w:val="none" w:sz="0" w:space="0" w:color="auto"/>
        <w:right w:val="none" w:sz="0" w:space="0" w:color="auto"/>
      </w:divBdr>
    </w:div>
    <w:div w:id="1203515004">
      <w:bodyDiv w:val="1"/>
      <w:marLeft w:val="0"/>
      <w:marRight w:val="0"/>
      <w:marTop w:val="0"/>
      <w:marBottom w:val="0"/>
      <w:divBdr>
        <w:top w:val="none" w:sz="0" w:space="0" w:color="auto"/>
        <w:left w:val="none" w:sz="0" w:space="0" w:color="auto"/>
        <w:bottom w:val="none" w:sz="0" w:space="0" w:color="auto"/>
        <w:right w:val="none" w:sz="0" w:space="0" w:color="auto"/>
      </w:divBdr>
    </w:div>
    <w:div w:id="1204173142">
      <w:bodyDiv w:val="1"/>
      <w:marLeft w:val="0"/>
      <w:marRight w:val="0"/>
      <w:marTop w:val="0"/>
      <w:marBottom w:val="0"/>
      <w:divBdr>
        <w:top w:val="none" w:sz="0" w:space="0" w:color="auto"/>
        <w:left w:val="none" w:sz="0" w:space="0" w:color="auto"/>
        <w:bottom w:val="none" w:sz="0" w:space="0" w:color="auto"/>
        <w:right w:val="none" w:sz="0" w:space="0" w:color="auto"/>
      </w:divBdr>
    </w:div>
    <w:div w:id="1218659936">
      <w:bodyDiv w:val="1"/>
      <w:marLeft w:val="0"/>
      <w:marRight w:val="0"/>
      <w:marTop w:val="0"/>
      <w:marBottom w:val="0"/>
      <w:divBdr>
        <w:top w:val="none" w:sz="0" w:space="0" w:color="auto"/>
        <w:left w:val="none" w:sz="0" w:space="0" w:color="auto"/>
        <w:bottom w:val="none" w:sz="0" w:space="0" w:color="auto"/>
        <w:right w:val="none" w:sz="0" w:space="0" w:color="auto"/>
      </w:divBdr>
    </w:div>
    <w:div w:id="1222525549">
      <w:bodyDiv w:val="1"/>
      <w:marLeft w:val="0"/>
      <w:marRight w:val="0"/>
      <w:marTop w:val="0"/>
      <w:marBottom w:val="0"/>
      <w:divBdr>
        <w:top w:val="none" w:sz="0" w:space="0" w:color="auto"/>
        <w:left w:val="none" w:sz="0" w:space="0" w:color="auto"/>
        <w:bottom w:val="none" w:sz="0" w:space="0" w:color="auto"/>
        <w:right w:val="none" w:sz="0" w:space="0" w:color="auto"/>
      </w:divBdr>
    </w:div>
    <w:div w:id="1244677371">
      <w:bodyDiv w:val="1"/>
      <w:marLeft w:val="0"/>
      <w:marRight w:val="0"/>
      <w:marTop w:val="0"/>
      <w:marBottom w:val="0"/>
      <w:divBdr>
        <w:top w:val="none" w:sz="0" w:space="0" w:color="auto"/>
        <w:left w:val="none" w:sz="0" w:space="0" w:color="auto"/>
        <w:bottom w:val="none" w:sz="0" w:space="0" w:color="auto"/>
        <w:right w:val="none" w:sz="0" w:space="0" w:color="auto"/>
      </w:divBdr>
    </w:div>
    <w:div w:id="1245338432">
      <w:bodyDiv w:val="1"/>
      <w:marLeft w:val="0"/>
      <w:marRight w:val="0"/>
      <w:marTop w:val="0"/>
      <w:marBottom w:val="0"/>
      <w:divBdr>
        <w:top w:val="none" w:sz="0" w:space="0" w:color="auto"/>
        <w:left w:val="none" w:sz="0" w:space="0" w:color="auto"/>
        <w:bottom w:val="none" w:sz="0" w:space="0" w:color="auto"/>
        <w:right w:val="none" w:sz="0" w:space="0" w:color="auto"/>
      </w:divBdr>
    </w:div>
    <w:div w:id="1249075667">
      <w:bodyDiv w:val="1"/>
      <w:marLeft w:val="0"/>
      <w:marRight w:val="0"/>
      <w:marTop w:val="0"/>
      <w:marBottom w:val="0"/>
      <w:divBdr>
        <w:top w:val="none" w:sz="0" w:space="0" w:color="auto"/>
        <w:left w:val="none" w:sz="0" w:space="0" w:color="auto"/>
        <w:bottom w:val="none" w:sz="0" w:space="0" w:color="auto"/>
        <w:right w:val="none" w:sz="0" w:space="0" w:color="auto"/>
      </w:divBdr>
    </w:div>
    <w:div w:id="1252473217">
      <w:bodyDiv w:val="1"/>
      <w:marLeft w:val="0"/>
      <w:marRight w:val="0"/>
      <w:marTop w:val="0"/>
      <w:marBottom w:val="0"/>
      <w:divBdr>
        <w:top w:val="none" w:sz="0" w:space="0" w:color="auto"/>
        <w:left w:val="none" w:sz="0" w:space="0" w:color="auto"/>
        <w:bottom w:val="none" w:sz="0" w:space="0" w:color="auto"/>
        <w:right w:val="none" w:sz="0" w:space="0" w:color="auto"/>
      </w:divBdr>
    </w:div>
    <w:div w:id="1252734974">
      <w:bodyDiv w:val="1"/>
      <w:marLeft w:val="0"/>
      <w:marRight w:val="0"/>
      <w:marTop w:val="0"/>
      <w:marBottom w:val="0"/>
      <w:divBdr>
        <w:top w:val="none" w:sz="0" w:space="0" w:color="auto"/>
        <w:left w:val="none" w:sz="0" w:space="0" w:color="auto"/>
        <w:bottom w:val="none" w:sz="0" w:space="0" w:color="auto"/>
        <w:right w:val="none" w:sz="0" w:space="0" w:color="auto"/>
      </w:divBdr>
    </w:div>
    <w:div w:id="1254362493">
      <w:bodyDiv w:val="1"/>
      <w:marLeft w:val="0"/>
      <w:marRight w:val="0"/>
      <w:marTop w:val="0"/>
      <w:marBottom w:val="0"/>
      <w:divBdr>
        <w:top w:val="none" w:sz="0" w:space="0" w:color="auto"/>
        <w:left w:val="none" w:sz="0" w:space="0" w:color="auto"/>
        <w:bottom w:val="none" w:sz="0" w:space="0" w:color="auto"/>
        <w:right w:val="none" w:sz="0" w:space="0" w:color="auto"/>
      </w:divBdr>
    </w:div>
    <w:div w:id="1254438794">
      <w:bodyDiv w:val="1"/>
      <w:marLeft w:val="0"/>
      <w:marRight w:val="0"/>
      <w:marTop w:val="0"/>
      <w:marBottom w:val="0"/>
      <w:divBdr>
        <w:top w:val="none" w:sz="0" w:space="0" w:color="auto"/>
        <w:left w:val="none" w:sz="0" w:space="0" w:color="auto"/>
        <w:bottom w:val="none" w:sz="0" w:space="0" w:color="auto"/>
        <w:right w:val="none" w:sz="0" w:space="0" w:color="auto"/>
      </w:divBdr>
    </w:div>
    <w:div w:id="1271549086">
      <w:bodyDiv w:val="1"/>
      <w:marLeft w:val="0"/>
      <w:marRight w:val="0"/>
      <w:marTop w:val="0"/>
      <w:marBottom w:val="0"/>
      <w:divBdr>
        <w:top w:val="none" w:sz="0" w:space="0" w:color="auto"/>
        <w:left w:val="none" w:sz="0" w:space="0" w:color="auto"/>
        <w:bottom w:val="none" w:sz="0" w:space="0" w:color="auto"/>
        <w:right w:val="none" w:sz="0" w:space="0" w:color="auto"/>
      </w:divBdr>
    </w:div>
    <w:div w:id="1289628619">
      <w:bodyDiv w:val="1"/>
      <w:marLeft w:val="0"/>
      <w:marRight w:val="0"/>
      <w:marTop w:val="0"/>
      <w:marBottom w:val="0"/>
      <w:divBdr>
        <w:top w:val="none" w:sz="0" w:space="0" w:color="auto"/>
        <w:left w:val="none" w:sz="0" w:space="0" w:color="auto"/>
        <w:bottom w:val="none" w:sz="0" w:space="0" w:color="auto"/>
        <w:right w:val="none" w:sz="0" w:space="0" w:color="auto"/>
      </w:divBdr>
    </w:div>
    <w:div w:id="1298874025">
      <w:bodyDiv w:val="1"/>
      <w:marLeft w:val="0"/>
      <w:marRight w:val="0"/>
      <w:marTop w:val="0"/>
      <w:marBottom w:val="0"/>
      <w:divBdr>
        <w:top w:val="none" w:sz="0" w:space="0" w:color="auto"/>
        <w:left w:val="none" w:sz="0" w:space="0" w:color="auto"/>
        <w:bottom w:val="none" w:sz="0" w:space="0" w:color="auto"/>
        <w:right w:val="none" w:sz="0" w:space="0" w:color="auto"/>
      </w:divBdr>
    </w:div>
    <w:div w:id="1300456117">
      <w:bodyDiv w:val="1"/>
      <w:marLeft w:val="0"/>
      <w:marRight w:val="0"/>
      <w:marTop w:val="0"/>
      <w:marBottom w:val="0"/>
      <w:divBdr>
        <w:top w:val="none" w:sz="0" w:space="0" w:color="auto"/>
        <w:left w:val="none" w:sz="0" w:space="0" w:color="auto"/>
        <w:bottom w:val="none" w:sz="0" w:space="0" w:color="auto"/>
        <w:right w:val="none" w:sz="0" w:space="0" w:color="auto"/>
      </w:divBdr>
    </w:div>
    <w:div w:id="1304582843">
      <w:bodyDiv w:val="1"/>
      <w:marLeft w:val="0"/>
      <w:marRight w:val="0"/>
      <w:marTop w:val="0"/>
      <w:marBottom w:val="0"/>
      <w:divBdr>
        <w:top w:val="none" w:sz="0" w:space="0" w:color="auto"/>
        <w:left w:val="none" w:sz="0" w:space="0" w:color="auto"/>
        <w:bottom w:val="none" w:sz="0" w:space="0" w:color="auto"/>
        <w:right w:val="none" w:sz="0" w:space="0" w:color="auto"/>
      </w:divBdr>
    </w:div>
    <w:div w:id="1307080312">
      <w:bodyDiv w:val="1"/>
      <w:marLeft w:val="0"/>
      <w:marRight w:val="0"/>
      <w:marTop w:val="0"/>
      <w:marBottom w:val="0"/>
      <w:divBdr>
        <w:top w:val="none" w:sz="0" w:space="0" w:color="auto"/>
        <w:left w:val="none" w:sz="0" w:space="0" w:color="auto"/>
        <w:bottom w:val="none" w:sz="0" w:space="0" w:color="auto"/>
        <w:right w:val="none" w:sz="0" w:space="0" w:color="auto"/>
      </w:divBdr>
    </w:div>
    <w:div w:id="1307778382">
      <w:bodyDiv w:val="1"/>
      <w:marLeft w:val="0"/>
      <w:marRight w:val="0"/>
      <w:marTop w:val="0"/>
      <w:marBottom w:val="0"/>
      <w:divBdr>
        <w:top w:val="none" w:sz="0" w:space="0" w:color="auto"/>
        <w:left w:val="none" w:sz="0" w:space="0" w:color="auto"/>
        <w:bottom w:val="none" w:sz="0" w:space="0" w:color="auto"/>
        <w:right w:val="none" w:sz="0" w:space="0" w:color="auto"/>
      </w:divBdr>
    </w:div>
    <w:div w:id="1323658811">
      <w:bodyDiv w:val="1"/>
      <w:marLeft w:val="0"/>
      <w:marRight w:val="0"/>
      <w:marTop w:val="0"/>
      <w:marBottom w:val="0"/>
      <w:divBdr>
        <w:top w:val="none" w:sz="0" w:space="0" w:color="auto"/>
        <w:left w:val="none" w:sz="0" w:space="0" w:color="auto"/>
        <w:bottom w:val="none" w:sz="0" w:space="0" w:color="auto"/>
        <w:right w:val="none" w:sz="0" w:space="0" w:color="auto"/>
      </w:divBdr>
    </w:div>
    <w:div w:id="1345284429">
      <w:bodyDiv w:val="1"/>
      <w:marLeft w:val="0"/>
      <w:marRight w:val="0"/>
      <w:marTop w:val="0"/>
      <w:marBottom w:val="0"/>
      <w:divBdr>
        <w:top w:val="none" w:sz="0" w:space="0" w:color="auto"/>
        <w:left w:val="none" w:sz="0" w:space="0" w:color="auto"/>
        <w:bottom w:val="none" w:sz="0" w:space="0" w:color="auto"/>
        <w:right w:val="none" w:sz="0" w:space="0" w:color="auto"/>
      </w:divBdr>
    </w:div>
    <w:div w:id="1356803785">
      <w:bodyDiv w:val="1"/>
      <w:marLeft w:val="0"/>
      <w:marRight w:val="0"/>
      <w:marTop w:val="0"/>
      <w:marBottom w:val="0"/>
      <w:divBdr>
        <w:top w:val="none" w:sz="0" w:space="0" w:color="auto"/>
        <w:left w:val="none" w:sz="0" w:space="0" w:color="auto"/>
        <w:bottom w:val="none" w:sz="0" w:space="0" w:color="auto"/>
        <w:right w:val="none" w:sz="0" w:space="0" w:color="auto"/>
      </w:divBdr>
    </w:div>
    <w:div w:id="1364789416">
      <w:bodyDiv w:val="1"/>
      <w:marLeft w:val="0"/>
      <w:marRight w:val="0"/>
      <w:marTop w:val="0"/>
      <w:marBottom w:val="0"/>
      <w:divBdr>
        <w:top w:val="none" w:sz="0" w:space="0" w:color="auto"/>
        <w:left w:val="none" w:sz="0" w:space="0" w:color="auto"/>
        <w:bottom w:val="none" w:sz="0" w:space="0" w:color="auto"/>
        <w:right w:val="none" w:sz="0" w:space="0" w:color="auto"/>
      </w:divBdr>
    </w:div>
    <w:div w:id="1364866630">
      <w:bodyDiv w:val="1"/>
      <w:marLeft w:val="0"/>
      <w:marRight w:val="0"/>
      <w:marTop w:val="0"/>
      <w:marBottom w:val="0"/>
      <w:divBdr>
        <w:top w:val="none" w:sz="0" w:space="0" w:color="auto"/>
        <w:left w:val="none" w:sz="0" w:space="0" w:color="auto"/>
        <w:bottom w:val="none" w:sz="0" w:space="0" w:color="auto"/>
        <w:right w:val="none" w:sz="0" w:space="0" w:color="auto"/>
      </w:divBdr>
    </w:div>
    <w:div w:id="1366637336">
      <w:bodyDiv w:val="1"/>
      <w:marLeft w:val="0"/>
      <w:marRight w:val="0"/>
      <w:marTop w:val="0"/>
      <w:marBottom w:val="0"/>
      <w:divBdr>
        <w:top w:val="none" w:sz="0" w:space="0" w:color="auto"/>
        <w:left w:val="none" w:sz="0" w:space="0" w:color="auto"/>
        <w:bottom w:val="none" w:sz="0" w:space="0" w:color="auto"/>
        <w:right w:val="none" w:sz="0" w:space="0" w:color="auto"/>
      </w:divBdr>
    </w:div>
    <w:div w:id="1385719147">
      <w:bodyDiv w:val="1"/>
      <w:marLeft w:val="0"/>
      <w:marRight w:val="0"/>
      <w:marTop w:val="0"/>
      <w:marBottom w:val="0"/>
      <w:divBdr>
        <w:top w:val="none" w:sz="0" w:space="0" w:color="auto"/>
        <w:left w:val="none" w:sz="0" w:space="0" w:color="auto"/>
        <w:bottom w:val="none" w:sz="0" w:space="0" w:color="auto"/>
        <w:right w:val="none" w:sz="0" w:space="0" w:color="auto"/>
      </w:divBdr>
    </w:div>
    <w:div w:id="1388190758">
      <w:bodyDiv w:val="1"/>
      <w:marLeft w:val="0"/>
      <w:marRight w:val="0"/>
      <w:marTop w:val="0"/>
      <w:marBottom w:val="0"/>
      <w:divBdr>
        <w:top w:val="none" w:sz="0" w:space="0" w:color="auto"/>
        <w:left w:val="none" w:sz="0" w:space="0" w:color="auto"/>
        <w:bottom w:val="none" w:sz="0" w:space="0" w:color="auto"/>
        <w:right w:val="none" w:sz="0" w:space="0" w:color="auto"/>
      </w:divBdr>
    </w:div>
    <w:div w:id="1388336848">
      <w:bodyDiv w:val="1"/>
      <w:marLeft w:val="0"/>
      <w:marRight w:val="0"/>
      <w:marTop w:val="0"/>
      <w:marBottom w:val="0"/>
      <w:divBdr>
        <w:top w:val="none" w:sz="0" w:space="0" w:color="auto"/>
        <w:left w:val="none" w:sz="0" w:space="0" w:color="auto"/>
        <w:bottom w:val="none" w:sz="0" w:space="0" w:color="auto"/>
        <w:right w:val="none" w:sz="0" w:space="0" w:color="auto"/>
      </w:divBdr>
    </w:div>
    <w:div w:id="1391535779">
      <w:bodyDiv w:val="1"/>
      <w:marLeft w:val="0"/>
      <w:marRight w:val="0"/>
      <w:marTop w:val="0"/>
      <w:marBottom w:val="0"/>
      <w:divBdr>
        <w:top w:val="none" w:sz="0" w:space="0" w:color="auto"/>
        <w:left w:val="none" w:sz="0" w:space="0" w:color="auto"/>
        <w:bottom w:val="none" w:sz="0" w:space="0" w:color="auto"/>
        <w:right w:val="none" w:sz="0" w:space="0" w:color="auto"/>
      </w:divBdr>
    </w:div>
    <w:div w:id="1401557225">
      <w:bodyDiv w:val="1"/>
      <w:marLeft w:val="0"/>
      <w:marRight w:val="0"/>
      <w:marTop w:val="0"/>
      <w:marBottom w:val="0"/>
      <w:divBdr>
        <w:top w:val="none" w:sz="0" w:space="0" w:color="auto"/>
        <w:left w:val="none" w:sz="0" w:space="0" w:color="auto"/>
        <w:bottom w:val="none" w:sz="0" w:space="0" w:color="auto"/>
        <w:right w:val="none" w:sz="0" w:space="0" w:color="auto"/>
      </w:divBdr>
    </w:div>
    <w:div w:id="1408191616">
      <w:bodyDiv w:val="1"/>
      <w:marLeft w:val="0"/>
      <w:marRight w:val="0"/>
      <w:marTop w:val="0"/>
      <w:marBottom w:val="0"/>
      <w:divBdr>
        <w:top w:val="none" w:sz="0" w:space="0" w:color="auto"/>
        <w:left w:val="none" w:sz="0" w:space="0" w:color="auto"/>
        <w:bottom w:val="none" w:sz="0" w:space="0" w:color="auto"/>
        <w:right w:val="none" w:sz="0" w:space="0" w:color="auto"/>
      </w:divBdr>
    </w:div>
    <w:div w:id="1423145270">
      <w:bodyDiv w:val="1"/>
      <w:marLeft w:val="0"/>
      <w:marRight w:val="0"/>
      <w:marTop w:val="0"/>
      <w:marBottom w:val="0"/>
      <w:divBdr>
        <w:top w:val="none" w:sz="0" w:space="0" w:color="auto"/>
        <w:left w:val="none" w:sz="0" w:space="0" w:color="auto"/>
        <w:bottom w:val="none" w:sz="0" w:space="0" w:color="auto"/>
        <w:right w:val="none" w:sz="0" w:space="0" w:color="auto"/>
      </w:divBdr>
    </w:div>
    <w:div w:id="1431778754">
      <w:bodyDiv w:val="1"/>
      <w:marLeft w:val="0"/>
      <w:marRight w:val="0"/>
      <w:marTop w:val="0"/>
      <w:marBottom w:val="0"/>
      <w:divBdr>
        <w:top w:val="none" w:sz="0" w:space="0" w:color="auto"/>
        <w:left w:val="none" w:sz="0" w:space="0" w:color="auto"/>
        <w:bottom w:val="none" w:sz="0" w:space="0" w:color="auto"/>
        <w:right w:val="none" w:sz="0" w:space="0" w:color="auto"/>
      </w:divBdr>
    </w:div>
    <w:div w:id="1446773084">
      <w:bodyDiv w:val="1"/>
      <w:marLeft w:val="0"/>
      <w:marRight w:val="0"/>
      <w:marTop w:val="0"/>
      <w:marBottom w:val="0"/>
      <w:divBdr>
        <w:top w:val="none" w:sz="0" w:space="0" w:color="auto"/>
        <w:left w:val="none" w:sz="0" w:space="0" w:color="auto"/>
        <w:bottom w:val="none" w:sz="0" w:space="0" w:color="auto"/>
        <w:right w:val="none" w:sz="0" w:space="0" w:color="auto"/>
      </w:divBdr>
    </w:div>
    <w:div w:id="1448740209">
      <w:bodyDiv w:val="1"/>
      <w:marLeft w:val="0"/>
      <w:marRight w:val="0"/>
      <w:marTop w:val="0"/>
      <w:marBottom w:val="0"/>
      <w:divBdr>
        <w:top w:val="none" w:sz="0" w:space="0" w:color="auto"/>
        <w:left w:val="none" w:sz="0" w:space="0" w:color="auto"/>
        <w:bottom w:val="none" w:sz="0" w:space="0" w:color="auto"/>
        <w:right w:val="none" w:sz="0" w:space="0" w:color="auto"/>
      </w:divBdr>
    </w:div>
    <w:div w:id="1452625348">
      <w:bodyDiv w:val="1"/>
      <w:marLeft w:val="0"/>
      <w:marRight w:val="0"/>
      <w:marTop w:val="0"/>
      <w:marBottom w:val="0"/>
      <w:divBdr>
        <w:top w:val="none" w:sz="0" w:space="0" w:color="auto"/>
        <w:left w:val="none" w:sz="0" w:space="0" w:color="auto"/>
        <w:bottom w:val="none" w:sz="0" w:space="0" w:color="auto"/>
        <w:right w:val="none" w:sz="0" w:space="0" w:color="auto"/>
      </w:divBdr>
    </w:div>
    <w:div w:id="1468936064">
      <w:bodyDiv w:val="1"/>
      <w:marLeft w:val="0"/>
      <w:marRight w:val="0"/>
      <w:marTop w:val="0"/>
      <w:marBottom w:val="0"/>
      <w:divBdr>
        <w:top w:val="none" w:sz="0" w:space="0" w:color="auto"/>
        <w:left w:val="none" w:sz="0" w:space="0" w:color="auto"/>
        <w:bottom w:val="none" w:sz="0" w:space="0" w:color="auto"/>
        <w:right w:val="none" w:sz="0" w:space="0" w:color="auto"/>
      </w:divBdr>
    </w:div>
    <w:div w:id="1488859936">
      <w:bodyDiv w:val="1"/>
      <w:marLeft w:val="0"/>
      <w:marRight w:val="0"/>
      <w:marTop w:val="0"/>
      <w:marBottom w:val="0"/>
      <w:divBdr>
        <w:top w:val="none" w:sz="0" w:space="0" w:color="auto"/>
        <w:left w:val="none" w:sz="0" w:space="0" w:color="auto"/>
        <w:bottom w:val="none" w:sz="0" w:space="0" w:color="auto"/>
        <w:right w:val="none" w:sz="0" w:space="0" w:color="auto"/>
      </w:divBdr>
    </w:div>
    <w:div w:id="1495217814">
      <w:bodyDiv w:val="1"/>
      <w:marLeft w:val="0"/>
      <w:marRight w:val="0"/>
      <w:marTop w:val="0"/>
      <w:marBottom w:val="0"/>
      <w:divBdr>
        <w:top w:val="none" w:sz="0" w:space="0" w:color="auto"/>
        <w:left w:val="none" w:sz="0" w:space="0" w:color="auto"/>
        <w:bottom w:val="none" w:sz="0" w:space="0" w:color="auto"/>
        <w:right w:val="none" w:sz="0" w:space="0" w:color="auto"/>
      </w:divBdr>
    </w:div>
    <w:div w:id="1501310009">
      <w:bodyDiv w:val="1"/>
      <w:marLeft w:val="0"/>
      <w:marRight w:val="0"/>
      <w:marTop w:val="0"/>
      <w:marBottom w:val="0"/>
      <w:divBdr>
        <w:top w:val="none" w:sz="0" w:space="0" w:color="auto"/>
        <w:left w:val="none" w:sz="0" w:space="0" w:color="auto"/>
        <w:bottom w:val="none" w:sz="0" w:space="0" w:color="auto"/>
        <w:right w:val="none" w:sz="0" w:space="0" w:color="auto"/>
      </w:divBdr>
    </w:div>
    <w:div w:id="1509446165">
      <w:bodyDiv w:val="1"/>
      <w:marLeft w:val="0"/>
      <w:marRight w:val="0"/>
      <w:marTop w:val="0"/>
      <w:marBottom w:val="0"/>
      <w:divBdr>
        <w:top w:val="none" w:sz="0" w:space="0" w:color="auto"/>
        <w:left w:val="none" w:sz="0" w:space="0" w:color="auto"/>
        <w:bottom w:val="none" w:sz="0" w:space="0" w:color="auto"/>
        <w:right w:val="none" w:sz="0" w:space="0" w:color="auto"/>
      </w:divBdr>
    </w:div>
    <w:div w:id="1522039612">
      <w:bodyDiv w:val="1"/>
      <w:marLeft w:val="0"/>
      <w:marRight w:val="0"/>
      <w:marTop w:val="0"/>
      <w:marBottom w:val="0"/>
      <w:divBdr>
        <w:top w:val="none" w:sz="0" w:space="0" w:color="auto"/>
        <w:left w:val="none" w:sz="0" w:space="0" w:color="auto"/>
        <w:bottom w:val="none" w:sz="0" w:space="0" w:color="auto"/>
        <w:right w:val="none" w:sz="0" w:space="0" w:color="auto"/>
      </w:divBdr>
    </w:div>
    <w:div w:id="1524633292">
      <w:bodyDiv w:val="1"/>
      <w:marLeft w:val="0"/>
      <w:marRight w:val="0"/>
      <w:marTop w:val="0"/>
      <w:marBottom w:val="0"/>
      <w:divBdr>
        <w:top w:val="none" w:sz="0" w:space="0" w:color="auto"/>
        <w:left w:val="none" w:sz="0" w:space="0" w:color="auto"/>
        <w:bottom w:val="none" w:sz="0" w:space="0" w:color="auto"/>
        <w:right w:val="none" w:sz="0" w:space="0" w:color="auto"/>
      </w:divBdr>
    </w:div>
    <w:div w:id="1525940277">
      <w:bodyDiv w:val="1"/>
      <w:marLeft w:val="0"/>
      <w:marRight w:val="0"/>
      <w:marTop w:val="0"/>
      <w:marBottom w:val="0"/>
      <w:divBdr>
        <w:top w:val="none" w:sz="0" w:space="0" w:color="auto"/>
        <w:left w:val="none" w:sz="0" w:space="0" w:color="auto"/>
        <w:bottom w:val="none" w:sz="0" w:space="0" w:color="auto"/>
        <w:right w:val="none" w:sz="0" w:space="0" w:color="auto"/>
      </w:divBdr>
    </w:div>
    <w:div w:id="1540050930">
      <w:bodyDiv w:val="1"/>
      <w:marLeft w:val="0"/>
      <w:marRight w:val="0"/>
      <w:marTop w:val="0"/>
      <w:marBottom w:val="0"/>
      <w:divBdr>
        <w:top w:val="none" w:sz="0" w:space="0" w:color="auto"/>
        <w:left w:val="none" w:sz="0" w:space="0" w:color="auto"/>
        <w:bottom w:val="none" w:sz="0" w:space="0" w:color="auto"/>
        <w:right w:val="none" w:sz="0" w:space="0" w:color="auto"/>
      </w:divBdr>
    </w:div>
    <w:div w:id="1559784127">
      <w:bodyDiv w:val="1"/>
      <w:marLeft w:val="0"/>
      <w:marRight w:val="0"/>
      <w:marTop w:val="0"/>
      <w:marBottom w:val="0"/>
      <w:divBdr>
        <w:top w:val="none" w:sz="0" w:space="0" w:color="auto"/>
        <w:left w:val="none" w:sz="0" w:space="0" w:color="auto"/>
        <w:bottom w:val="none" w:sz="0" w:space="0" w:color="auto"/>
        <w:right w:val="none" w:sz="0" w:space="0" w:color="auto"/>
      </w:divBdr>
    </w:div>
    <w:div w:id="1568028306">
      <w:bodyDiv w:val="1"/>
      <w:marLeft w:val="0"/>
      <w:marRight w:val="0"/>
      <w:marTop w:val="0"/>
      <w:marBottom w:val="0"/>
      <w:divBdr>
        <w:top w:val="none" w:sz="0" w:space="0" w:color="auto"/>
        <w:left w:val="none" w:sz="0" w:space="0" w:color="auto"/>
        <w:bottom w:val="none" w:sz="0" w:space="0" w:color="auto"/>
        <w:right w:val="none" w:sz="0" w:space="0" w:color="auto"/>
      </w:divBdr>
    </w:div>
    <w:div w:id="1593970558">
      <w:bodyDiv w:val="1"/>
      <w:marLeft w:val="0"/>
      <w:marRight w:val="0"/>
      <w:marTop w:val="0"/>
      <w:marBottom w:val="0"/>
      <w:divBdr>
        <w:top w:val="none" w:sz="0" w:space="0" w:color="auto"/>
        <w:left w:val="none" w:sz="0" w:space="0" w:color="auto"/>
        <w:bottom w:val="none" w:sz="0" w:space="0" w:color="auto"/>
        <w:right w:val="none" w:sz="0" w:space="0" w:color="auto"/>
      </w:divBdr>
    </w:div>
    <w:div w:id="1601987923">
      <w:bodyDiv w:val="1"/>
      <w:marLeft w:val="0"/>
      <w:marRight w:val="0"/>
      <w:marTop w:val="0"/>
      <w:marBottom w:val="0"/>
      <w:divBdr>
        <w:top w:val="none" w:sz="0" w:space="0" w:color="auto"/>
        <w:left w:val="none" w:sz="0" w:space="0" w:color="auto"/>
        <w:bottom w:val="none" w:sz="0" w:space="0" w:color="auto"/>
        <w:right w:val="none" w:sz="0" w:space="0" w:color="auto"/>
      </w:divBdr>
    </w:div>
    <w:div w:id="1611661796">
      <w:bodyDiv w:val="1"/>
      <w:marLeft w:val="0"/>
      <w:marRight w:val="0"/>
      <w:marTop w:val="0"/>
      <w:marBottom w:val="0"/>
      <w:divBdr>
        <w:top w:val="none" w:sz="0" w:space="0" w:color="auto"/>
        <w:left w:val="none" w:sz="0" w:space="0" w:color="auto"/>
        <w:bottom w:val="none" w:sz="0" w:space="0" w:color="auto"/>
        <w:right w:val="none" w:sz="0" w:space="0" w:color="auto"/>
      </w:divBdr>
    </w:div>
    <w:div w:id="1634821517">
      <w:bodyDiv w:val="1"/>
      <w:marLeft w:val="0"/>
      <w:marRight w:val="0"/>
      <w:marTop w:val="0"/>
      <w:marBottom w:val="0"/>
      <w:divBdr>
        <w:top w:val="none" w:sz="0" w:space="0" w:color="auto"/>
        <w:left w:val="none" w:sz="0" w:space="0" w:color="auto"/>
        <w:bottom w:val="none" w:sz="0" w:space="0" w:color="auto"/>
        <w:right w:val="none" w:sz="0" w:space="0" w:color="auto"/>
      </w:divBdr>
    </w:div>
    <w:div w:id="1642690610">
      <w:bodyDiv w:val="1"/>
      <w:marLeft w:val="0"/>
      <w:marRight w:val="0"/>
      <w:marTop w:val="0"/>
      <w:marBottom w:val="0"/>
      <w:divBdr>
        <w:top w:val="none" w:sz="0" w:space="0" w:color="auto"/>
        <w:left w:val="none" w:sz="0" w:space="0" w:color="auto"/>
        <w:bottom w:val="none" w:sz="0" w:space="0" w:color="auto"/>
        <w:right w:val="none" w:sz="0" w:space="0" w:color="auto"/>
      </w:divBdr>
    </w:div>
    <w:div w:id="1648588945">
      <w:bodyDiv w:val="1"/>
      <w:marLeft w:val="0"/>
      <w:marRight w:val="0"/>
      <w:marTop w:val="0"/>
      <w:marBottom w:val="0"/>
      <w:divBdr>
        <w:top w:val="none" w:sz="0" w:space="0" w:color="auto"/>
        <w:left w:val="none" w:sz="0" w:space="0" w:color="auto"/>
        <w:bottom w:val="none" w:sz="0" w:space="0" w:color="auto"/>
        <w:right w:val="none" w:sz="0" w:space="0" w:color="auto"/>
      </w:divBdr>
    </w:div>
    <w:div w:id="1653290153">
      <w:bodyDiv w:val="1"/>
      <w:marLeft w:val="0"/>
      <w:marRight w:val="0"/>
      <w:marTop w:val="0"/>
      <w:marBottom w:val="0"/>
      <w:divBdr>
        <w:top w:val="none" w:sz="0" w:space="0" w:color="auto"/>
        <w:left w:val="none" w:sz="0" w:space="0" w:color="auto"/>
        <w:bottom w:val="none" w:sz="0" w:space="0" w:color="auto"/>
        <w:right w:val="none" w:sz="0" w:space="0" w:color="auto"/>
      </w:divBdr>
    </w:div>
    <w:div w:id="1656913587">
      <w:bodyDiv w:val="1"/>
      <w:marLeft w:val="0"/>
      <w:marRight w:val="0"/>
      <w:marTop w:val="0"/>
      <w:marBottom w:val="0"/>
      <w:divBdr>
        <w:top w:val="none" w:sz="0" w:space="0" w:color="auto"/>
        <w:left w:val="none" w:sz="0" w:space="0" w:color="auto"/>
        <w:bottom w:val="none" w:sz="0" w:space="0" w:color="auto"/>
        <w:right w:val="none" w:sz="0" w:space="0" w:color="auto"/>
      </w:divBdr>
    </w:div>
    <w:div w:id="1660572672">
      <w:bodyDiv w:val="1"/>
      <w:marLeft w:val="0"/>
      <w:marRight w:val="0"/>
      <w:marTop w:val="0"/>
      <w:marBottom w:val="0"/>
      <w:divBdr>
        <w:top w:val="none" w:sz="0" w:space="0" w:color="auto"/>
        <w:left w:val="none" w:sz="0" w:space="0" w:color="auto"/>
        <w:bottom w:val="none" w:sz="0" w:space="0" w:color="auto"/>
        <w:right w:val="none" w:sz="0" w:space="0" w:color="auto"/>
      </w:divBdr>
    </w:div>
    <w:div w:id="1672415156">
      <w:bodyDiv w:val="1"/>
      <w:marLeft w:val="0"/>
      <w:marRight w:val="0"/>
      <w:marTop w:val="0"/>
      <w:marBottom w:val="0"/>
      <w:divBdr>
        <w:top w:val="none" w:sz="0" w:space="0" w:color="auto"/>
        <w:left w:val="none" w:sz="0" w:space="0" w:color="auto"/>
        <w:bottom w:val="none" w:sz="0" w:space="0" w:color="auto"/>
        <w:right w:val="none" w:sz="0" w:space="0" w:color="auto"/>
      </w:divBdr>
    </w:div>
    <w:div w:id="1678145405">
      <w:bodyDiv w:val="1"/>
      <w:marLeft w:val="0"/>
      <w:marRight w:val="0"/>
      <w:marTop w:val="0"/>
      <w:marBottom w:val="0"/>
      <w:divBdr>
        <w:top w:val="none" w:sz="0" w:space="0" w:color="auto"/>
        <w:left w:val="none" w:sz="0" w:space="0" w:color="auto"/>
        <w:bottom w:val="none" w:sz="0" w:space="0" w:color="auto"/>
        <w:right w:val="none" w:sz="0" w:space="0" w:color="auto"/>
      </w:divBdr>
    </w:div>
    <w:div w:id="1690788838">
      <w:bodyDiv w:val="1"/>
      <w:marLeft w:val="0"/>
      <w:marRight w:val="0"/>
      <w:marTop w:val="0"/>
      <w:marBottom w:val="0"/>
      <w:divBdr>
        <w:top w:val="none" w:sz="0" w:space="0" w:color="auto"/>
        <w:left w:val="none" w:sz="0" w:space="0" w:color="auto"/>
        <w:bottom w:val="none" w:sz="0" w:space="0" w:color="auto"/>
        <w:right w:val="none" w:sz="0" w:space="0" w:color="auto"/>
      </w:divBdr>
    </w:div>
    <w:div w:id="1700668166">
      <w:bodyDiv w:val="1"/>
      <w:marLeft w:val="0"/>
      <w:marRight w:val="0"/>
      <w:marTop w:val="0"/>
      <w:marBottom w:val="0"/>
      <w:divBdr>
        <w:top w:val="none" w:sz="0" w:space="0" w:color="auto"/>
        <w:left w:val="none" w:sz="0" w:space="0" w:color="auto"/>
        <w:bottom w:val="none" w:sz="0" w:space="0" w:color="auto"/>
        <w:right w:val="none" w:sz="0" w:space="0" w:color="auto"/>
      </w:divBdr>
    </w:div>
    <w:div w:id="1722900083">
      <w:bodyDiv w:val="1"/>
      <w:marLeft w:val="0"/>
      <w:marRight w:val="0"/>
      <w:marTop w:val="0"/>
      <w:marBottom w:val="0"/>
      <w:divBdr>
        <w:top w:val="none" w:sz="0" w:space="0" w:color="auto"/>
        <w:left w:val="none" w:sz="0" w:space="0" w:color="auto"/>
        <w:bottom w:val="none" w:sz="0" w:space="0" w:color="auto"/>
        <w:right w:val="none" w:sz="0" w:space="0" w:color="auto"/>
      </w:divBdr>
    </w:div>
    <w:div w:id="1728408941">
      <w:bodyDiv w:val="1"/>
      <w:marLeft w:val="0"/>
      <w:marRight w:val="0"/>
      <w:marTop w:val="0"/>
      <w:marBottom w:val="0"/>
      <w:divBdr>
        <w:top w:val="none" w:sz="0" w:space="0" w:color="auto"/>
        <w:left w:val="none" w:sz="0" w:space="0" w:color="auto"/>
        <w:bottom w:val="none" w:sz="0" w:space="0" w:color="auto"/>
        <w:right w:val="none" w:sz="0" w:space="0" w:color="auto"/>
      </w:divBdr>
    </w:div>
    <w:div w:id="1738430781">
      <w:bodyDiv w:val="1"/>
      <w:marLeft w:val="0"/>
      <w:marRight w:val="0"/>
      <w:marTop w:val="0"/>
      <w:marBottom w:val="0"/>
      <w:divBdr>
        <w:top w:val="none" w:sz="0" w:space="0" w:color="auto"/>
        <w:left w:val="none" w:sz="0" w:space="0" w:color="auto"/>
        <w:bottom w:val="none" w:sz="0" w:space="0" w:color="auto"/>
        <w:right w:val="none" w:sz="0" w:space="0" w:color="auto"/>
      </w:divBdr>
    </w:div>
    <w:div w:id="1742174497">
      <w:bodyDiv w:val="1"/>
      <w:marLeft w:val="0"/>
      <w:marRight w:val="0"/>
      <w:marTop w:val="0"/>
      <w:marBottom w:val="0"/>
      <w:divBdr>
        <w:top w:val="none" w:sz="0" w:space="0" w:color="auto"/>
        <w:left w:val="none" w:sz="0" w:space="0" w:color="auto"/>
        <w:bottom w:val="none" w:sz="0" w:space="0" w:color="auto"/>
        <w:right w:val="none" w:sz="0" w:space="0" w:color="auto"/>
      </w:divBdr>
    </w:div>
    <w:div w:id="1743143086">
      <w:bodyDiv w:val="1"/>
      <w:marLeft w:val="0"/>
      <w:marRight w:val="0"/>
      <w:marTop w:val="0"/>
      <w:marBottom w:val="0"/>
      <w:divBdr>
        <w:top w:val="none" w:sz="0" w:space="0" w:color="auto"/>
        <w:left w:val="none" w:sz="0" w:space="0" w:color="auto"/>
        <w:bottom w:val="none" w:sz="0" w:space="0" w:color="auto"/>
        <w:right w:val="none" w:sz="0" w:space="0" w:color="auto"/>
      </w:divBdr>
    </w:div>
    <w:div w:id="1756710763">
      <w:bodyDiv w:val="1"/>
      <w:marLeft w:val="0"/>
      <w:marRight w:val="0"/>
      <w:marTop w:val="0"/>
      <w:marBottom w:val="0"/>
      <w:divBdr>
        <w:top w:val="none" w:sz="0" w:space="0" w:color="auto"/>
        <w:left w:val="none" w:sz="0" w:space="0" w:color="auto"/>
        <w:bottom w:val="none" w:sz="0" w:space="0" w:color="auto"/>
        <w:right w:val="none" w:sz="0" w:space="0" w:color="auto"/>
      </w:divBdr>
    </w:div>
    <w:div w:id="1770658530">
      <w:bodyDiv w:val="1"/>
      <w:marLeft w:val="0"/>
      <w:marRight w:val="0"/>
      <w:marTop w:val="0"/>
      <w:marBottom w:val="0"/>
      <w:divBdr>
        <w:top w:val="none" w:sz="0" w:space="0" w:color="auto"/>
        <w:left w:val="none" w:sz="0" w:space="0" w:color="auto"/>
        <w:bottom w:val="none" w:sz="0" w:space="0" w:color="auto"/>
        <w:right w:val="none" w:sz="0" w:space="0" w:color="auto"/>
      </w:divBdr>
    </w:div>
    <w:div w:id="1772630629">
      <w:bodyDiv w:val="1"/>
      <w:marLeft w:val="0"/>
      <w:marRight w:val="0"/>
      <w:marTop w:val="0"/>
      <w:marBottom w:val="0"/>
      <w:divBdr>
        <w:top w:val="none" w:sz="0" w:space="0" w:color="auto"/>
        <w:left w:val="none" w:sz="0" w:space="0" w:color="auto"/>
        <w:bottom w:val="none" w:sz="0" w:space="0" w:color="auto"/>
        <w:right w:val="none" w:sz="0" w:space="0" w:color="auto"/>
      </w:divBdr>
    </w:div>
    <w:div w:id="1778135266">
      <w:bodyDiv w:val="1"/>
      <w:marLeft w:val="0"/>
      <w:marRight w:val="0"/>
      <w:marTop w:val="0"/>
      <w:marBottom w:val="0"/>
      <w:divBdr>
        <w:top w:val="none" w:sz="0" w:space="0" w:color="auto"/>
        <w:left w:val="none" w:sz="0" w:space="0" w:color="auto"/>
        <w:bottom w:val="none" w:sz="0" w:space="0" w:color="auto"/>
        <w:right w:val="none" w:sz="0" w:space="0" w:color="auto"/>
      </w:divBdr>
    </w:div>
    <w:div w:id="1780829659">
      <w:bodyDiv w:val="1"/>
      <w:marLeft w:val="0"/>
      <w:marRight w:val="0"/>
      <w:marTop w:val="0"/>
      <w:marBottom w:val="0"/>
      <w:divBdr>
        <w:top w:val="none" w:sz="0" w:space="0" w:color="auto"/>
        <w:left w:val="none" w:sz="0" w:space="0" w:color="auto"/>
        <w:bottom w:val="none" w:sz="0" w:space="0" w:color="auto"/>
        <w:right w:val="none" w:sz="0" w:space="0" w:color="auto"/>
      </w:divBdr>
    </w:div>
    <w:div w:id="1784230727">
      <w:bodyDiv w:val="1"/>
      <w:marLeft w:val="0"/>
      <w:marRight w:val="0"/>
      <w:marTop w:val="0"/>
      <w:marBottom w:val="0"/>
      <w:divBdr>
        <w:top w:val="none" w:sz="0" w:space="0" w:color="auto"/>
        <w:left w:val="none" w:sz="0" w:space="0" w:color="auto"/>
        <w:bottom w:val="none" w:sz="0" w:space="0" w:color="auto"/>
        <w:right w:val="none" w:sz="0" w:space="0" w:color="auto"/>
      </w:divBdr>
    </w:div>
    <w:div w:id="1808088940">
      <w:bodyDiv w:val="1"/>
      <w:marLeft w:val="0"/>
      <w:marRight w:val="0"/>
      <w:marTop w:val="0"/>
      <w:marBottom w:val="0"/>
      <w:divBdr>
        <w:top w:val="none" w:sz="0" w:space="0" w:color="auto"/>
        <w:left w:val="none" w:sz="0" w:space="0" w:color="auto"/>
        <w:bottom w:val="none" w:sz="0" w:space="0" w:color="auto"/>
        <w:right w:val="none" w:sz="0" w:space="0" w:color="auto"/>
      </w:divBdr>
    </w:div>
    <w:div w:id="1808623225">
      <w:bodyDiv w:val="1"/>
      <w:marLeft w:val="0"/>
      <w:marRight w:val="0"/>
      <w:marTop w:val="0"/>
      <w:marBottom w:val="0"/>
      <w:divBdr>
        <w:top w:val="none" w:sz="0" w:space="0" w:color="auto"/>
        <w:left w:val="none" w:sz="0" w:space="0" w:color="auto"/>
        <w:bottom w:val="none" w:sz="0" w:space="0" w:color="auto"/>
        <w:right w:val="none" w:sz="0" w:space="0" w:color="auto"/>
      </w:divBdr>
    </w:div>
    <w:div w:id="1810704423">
      <w:bodyDiv w:val="1"/>
      <w:marLeft w:val="0"/>
      <w:marRight w:val="0"/>
      <w:marTop w:val="0"/>
      <w:marBottom w:val="0"/>
      <w:divBdr>
        <w:top w:val="none" w:sz="0" w:space="0" w:color="auto"/>
        <w:left w:val="none" w:sz="0" w:space="0" w:color="auto"/>
        <w:bottom w:val="none" w:sz="0" w:space="0" w:color="auto"/>
        <w:right w:val="none" w:sz="0" w:space="0" w:color="auto"/>
      </w:divBdr>
    </w:div>
    <w:div w:id="1814827918">
      <w:bodyDiv w:val="1"/>
      <w:marLeft w:val="0"/>
      <w:marRight w:val="0"/>
      <w:marTop w:val="0"/>
      <w:marBottom w:val="0"/>
      <w:divBdr>
        <w:top w:val="none" w:sz="0" w:space="0" w:color="auto"/>
        <w:left w:val="none" w:sz="0" w:space="0" w:color="auto"/>
        <w:bottom w:val="none" w:sz="0" w:space="0" w:color="auto"/>
        <w:right w:val="none" w:sz="0" w:space="0" w:color="auto"/>
      </w:divBdr>
    </w:div>
    <w:div w:id="1836914115">
      <w:bodyDiv w:val="1"/>
      <w:marLeft w:val="0"/>
      <w:marRight w:val="0"/>
      <w:marTop w:val="0"/>
      <w:marBottom w:val="0"/>
      <w:divBdr>
        <w:top w:val="none" w:sz="0" w:space="0" w:color="auto"/>
        <w:left w:val="none" w:sz="0" w:space="0" w:color="auto"/>
        <w:bottom w:val="none" w:sz="0" w:space="0" w:color="auto"/>
        <w:right w:val="none" w:sz="0" w:space="0" w:color="auto"/>
      </w:divBdr>
    </w:div>
    <w:div w:id="1854176506">
      <w:bodyDiv w:val="1"/>
      <w:marLeft w:val="0"/>
      <w:marRight w:val="0"/>
      <w:marTop w:val="0"/>
      <w:marBottom w:val="0"/>
      <w:divBdr>
        <w:top w:val="none" w:sz="0" w:space="0" w:color="auto"/>
        <w:left w:val="none" w:sz="0" w:space="0" w:color="auto"/>
        <w:bottom w:val="none" w:sz="0" w:space="0" w:color="auto"/>
        <w:right w:val="none" w:sz="0" w:space="0" w:color="auto"/>
      </w:divBdr>
    </w:div>
    <w:div w:id="1866946874">
      <w:bodyDiv w:val="1"/>
      <w:marLeft w:val="0"/>
      <w:marRight w:val="0"/>
      <w:marTop w:val="0"/>
      <w:marBottom w:val="0"/>
      <w:divBdr>
        <w:top w:val="none" w:sz="0" w:space="0" w:color="auto"/>
        <w:left w:val="none" w:sz="0" w:space="0" w:color="auto"/>
        <w:bottom w:val="none" w:sz="0" w:space="0" w:color="auto"/>
        <w:right w:val="none" w:sz="0" w:space="0" w:color="auto"/>
      </w:divBdr>
    </w:div>
    <w:div w:id="1886409985">
      <w:bodyDiv w:val="1"/>
      <w:marLeft w:val="0"/>
      <w:marRight w:val="0"/>
      <w:marTop w:val="0"/>
      <w:marBottom w:val="0"/>
      <w:divBdr>
        <w:top w:val="none" w:sz="0" w:space="0" w:color="auto"/>
        <w:left w:val="none" w:sz="0" w:space="0" w:color="auto"/>
        <w:bottom w:val="none" w:sz="0" w:space="0" w:color="auto"/>
        <w:right w:val="none" w:sz="0" w:space="0" w:color="auto"/>
      </w:divBdr>
    </w:div>
    <w:div w:id="1887986722">
      <w:bodyDiv w:val="1"/>
      <w:marLeft w:val="0"/>
      <w:marRight w:val="0"/>
      <w:marTop w:val="0"/>
      <w:marBottom w:val="0"/>
      <w:divBdr>
        <w:top w:val="none" w:sz="0" w:space="0" w:color="auto"/>
        <w:left w:val="none" w:sz="0" w:space="0" w:color="auto"/>
        <w:bottom w:val="none" w:sz="0" w:space="0" w:color="auto"/>
        <w:right w:val="none" w:sz="0" w:space="0" w:color="auto"/>
      </w:divBdr>
    </w:div>
    <w:div w:id="1891913602">
      <w:bodyDiv w:val="1"/>
      <w:marLeft w:val="0"/>
      <w:marRight w:val="0"/>
      <w:marTop w:val="0"/>
      <w:marBottom w:val="0"/>
      <w:divBdr>
        <w:top w:val="none" w:sz="0" w:space="0" w:color="auto"/>
        <w:left w:val="none" w:sz="0" w:space="0" w:color="auto"/>
        <w:bottom w:val="none" w:sz="0" w:space="0" w:color="auto"/>
        <w:right w:val="none" w:sz="0" w:space="0" w:color="auto"/>
      </w:divBdr>
    </w:div>
    <w:div w:id="1893812048">
      <w:bodyDiv w:val="1"/>
      <w:marLeft w:val="0"/>
      <w:marRight w:val="0"/>
      <w:marTop w:val="0"/>
      <w:marBottom w:val="0"/>
      <w:divBdr>
        <w:top w:val="none" w:sz="0" w:space="0" w:color="auto"/>
        <w:left w:val="none" w:sz="0" w:space="0" w:color="auto"/>
        <w:bottom w:val="none" w:sz="0" w:space="0" w:color="auto"/>
        <w:right w:val="none" w:sz="0" w:space="0" w:color="auto"/>
      </w:divBdr>
    </w:div>
    <w:div w:id="1899629236">
      <w:bodyDiv w:val="1"/>
      <w:marLeft w:val="0"/>
      <w:marRight w:val="0"/>
      <w:marTop w:val="0"/>
      <w:marBottom w:val="0"/>
      <w:divBdr>
        <w:top w:val="none" w:sz="0" w:space="0" w:color="auto"/>
        <w:left w:val="none" w:sz="0" w:space="0" w:color="auto"/>
        <w:bottom w:val="none" w:sz="0" w:space="0" w:color="auto"/>
        <w:right w:val="none" w:sz="0" w:space="0" w:color="auto"/>
      </w:divBdr>
    </w:div>
    <w:div w:id="1909804462">
      <w:bodyDiv w:val="1"/>
      <w:marLeft w:val="0"/>
      <w:marRight w:val="0"/>
      <w:marTop w:val="0"/>
      <w:marBottom w:val="0"/>
      <w:divBdr>
        <w:top w:val="none" w:sz="0" w:space="0" w:color="auto"/>
        <w:left w:val="none" w:sz="0" w:space="0" w:color="auto"/>
        <w:bottom w:val="none" w:sz="0" w:space="0" w:color="auto"/>
        <w:right w:val="none" w:sz="0" w:space="0" w:color="auto"/>
      </w:divBdr>
      <w:divsChild>
        <w:div w:id="218175678">
          <w:marLeft w:val="0"/>
          <w:marRight w:val="0"/>
          <w:marTop w:val="0"/>
          <w:marBottom w:val="0"/>
          <w:divBdr>
            <w:top w:val="none" w:sz="0" w:space="0" w:color="auto"/>
            <w:left w:val="none" w:sz="0" w:space="0" w:color="auto"/>
            <w:bottom w:val="none" w:sz="0" w:space="0" w:color="auto"/>
            <w:right w:val="none" w:sz="0" w:space="0" w:color="auto"/>
          </w:divBdr>
        </w:div>
        <w:div w:id="1848400681">
          <w:marLeft w:val="0"/>
          <w:marRight w:val="0"/>
          <w:marTop w:val="0"/>
          <w:marBottom w:val="0"/>
          <w:divBdr>
            <w:top w:val="none" w:sz="0" w:space="0" w:color="auto"/>
            <w:left w:val="none" w:sz="0" w:space="0" w:color="auto"/>
            <w:bottom w:val="none" w:sz="0" w:space="0" w:color="auto"/>
            <w:right w:val="none" w:sz="0" w:space="0" w:color="auto"/>
          </w:divBdr>
          <w:divsChild>
            <w:div w:id="1466656264">
              <w:marLeft w:val="0"/>
              <w:marRight w:val="0"/>
              <w:marTop w:val="0"/>
              <w:marBottom w:val="0"/>
              <w:divBdr>
                <w:top w:val="none" w:sz="0" w:space="0" w:color="auto"/>
                <w:left w:val="none" w:sz="0" w:space="0" w:color="auto"/>
                <w:bottom w:val="none" w:sz="0" w:space="0" w:color="auto"/>
                <w:right w:val="none" w:sz="0" w:space="0" w:color="auto"/>
              </w:divBdr>
            </w:div>
            <w:div w:id="3785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91">
      <w:bodyDiv w:val="1"/>
      <w:marLeft w:val="0"/>
      <w:marRight w:val="0"/>
      <w:marTop w:val="0"/>
      <w:marBottom w:val="0"/>
      <w:divBdr>
        <w:top w:val="none" w:sz="0" w:space="0" w:color="auto"/>
        <w:left w:val="none" w:sz="0" w:space="0" w:color="auto"/>
        <w:bottom w:val="none" w:sz="0" w:space="0" w:color="auto"/>
        <w:right w:val="none" w:sz="0" w:space="0" w:color="auto"/>
      </w:divBdr>
    </w:div>
    <w:div w:id="1916356697">
      <w:bodyDiv w:val="1"/>
      <w:marLeft w:val="0"/>
      <w:marRight w:val="0"/>
      <w:marTop w:val="0"/>
      <w:marBottom w:val="0"/>
      <w:divBdr>
        <w:top w:val="none" w:sz="0" w:space="0" w:color="auto"/>
        <w:left w:val="none" w:sz="0" w:space="0" w:color="auto"/>
        <w:bottom w:val="none" w:sz="0" w:space="0" w:color="auto"/>
        <w:right w:val="none" w:sz="0" w:space="0" w:color="auto"/>
      </w:divBdr>
    </w:div>
    <w:div w:id="1923374736">
      <w:bodyDiv w:val="1"/>
      <w:marLeft w:val="0"/>
      <w:marRight w:val="0"/>
      <w:marTop w:val="0"/>
      <w:marBottom w:val="0"/>
      <w:divBdr>
        <w:top w:val="none" w:sz="0" w:space="0" w:color="auto"/>
        <w:left w:val="none" w:sz="0" w:space="0" w:color="auto"/>
        <w:bottom w:val="none" w:sz="0" w:space="0" w:color="auto"/>
        <w:right w:val="none" w:sz="0" w:space="0" w:color="auto"/>
      </w:divBdr>
    </w:div>
    <w:div w:id="1969041202">
      <w:bodyDiv w:val="1"/>
      <w:marLeft w:val="0"/>
      <w:marRight w:val="0"/>
      <w:marTop w:val="0"/>
      <w:marBottom w:val="0"/>
      <w:divBdr>
        <w:top w:val="none" w:sz="0" w:space="0" w:color="auto"/>
        <w:left w:val="none" w:sz="0" w:space="0" w:color="auto"/>
        <w:bottom w:val="none" w:sz="0" w:space="0" w:color="auto"/>
        <w:right w:val="none" w:sz="0" w:space="0" w:color="auto"/>
      </w:divBdr>
    </w:div>
    <w:div w:id="1969892204">
      <w:bodyDiv w:val="1"/>
      <w:marLeft w:val="0"/>
      <w:marRight w:val="0"/>
      <w:marTop w:val="0"/>
      <w:marBottom w:val="0"/>
      <w:divBdr>
        <w:top w:val="none" w:sz="0" w:space="0" w:color="auto"/>
        <w:left w:val="none" w:sz="0" w:space="0" w:color="auto"/>
        <w:bottom w:val="none" w:sz="0" w:space="0" w:color="auto"/>
        <w:right w:val="none" w:sz="0" w:space="0" w:color="auto"/>
      </w:divBdr>
    </w:div>
    <w:div w:id="1972664434">
      <w:bodyDiv w:val="1"/>
      <w:marLeft w:val="0"/>
      <w:marRight w:val="0"/>
      <w:marTop w:val="0"/>
      <w:marBottom w:val="0"/>
      <w:divBdr>
        <w:top w:val="none" w:sz="0" w:space="0" w:color="auto"/>
        <w:left w:val="none" w:sz="0" w:space="0" w:color="auto"/>
        <w:bottom w:val="none" w:sz="0" w:space="0" w:color="auto"/>
        <w:right w:val="none" w:sz="0" w:space="0" w:color="auto"/>
      </w:divBdr>
    </w:div>
    <w:div w:id="1976060169">
      <w:bodyDiv w:val="1"/>
      <w:marLeft w:val="0"/>
      <w:marRight w:val="0"/>
      <w:marTop w:val="0"/>
      <w:marBottom w:val="0"/>
      <w:divBdr>
        <w:top w:val="none" w:sz="0" w:space="0" w:color="auto"/>
        <w:left w:val="none" w:sz="0" w:space="0" w:color="auto"/>
        <w:bottom w:val="none" w:sz="0" w:space="0" w:color="auto"/>
        <w:right w:val="none" w:sz="0" w:space="0" w:color="auto"/>
      </w:divBdr>
    </w:div>
    <w:div w:id="1982490901">
      <w:bodyDiv w:val="1"/>
      <w:marLeft w:val="0"/>
      <w:marRight w:val="0"/>
      <w:marTop w:val="0"/>
      <w:marBottom w:val="0"/>
      <w:divBdr>
        <w:top w:val="none" w:sz="0" w:space="0" w:color="auto"/>
        <w:left w:val="none" w:sz="0" w:space="0" w:color="auto"/>
        <w:bottom w:val="none" w:sz="0" w:space="0" w:color="auto"/>
        <w:right w:val="none" w:sz="0" w:space="0" w:color="auto"/>
      </w:divBdr>
    </w:div>
    <w:div w:id="1989744350">
      <w:bodyDiv w:val="1"/>
      <w:marLeft w:val="0"/>
      <w:marRight w:val="0"/>
      <w:marTop w:val="0"/>
      <w:marBottom w:val="0"/>
      <w:divBdr>
        <w:top w:val="none" w:sz="0" w:space="0" w:color="auto"/>
        <w:left w:val="none" w:sz="0" w:space="0" w:color="auto"/>
        <w:bottom w:val="none" w:sz="0" w:space="0" w:color="auto"/>
        <w:right w:val="none" w:sz="0" w:space="0" w:color="auto"/>
      </w:divBdr>
    </w:div>
    <w:div w:id="1997412923">
      <w:bodyDiv w:val="1"/>
      <w:marLeft w:val="0"/>
      <w:marRight w:val="0"/>
      <w:marTop w:val="0"/>
      <w:marBottom w:val="0"/>
      <w:divBdr>
        <w:top w:val="none" w:sz="0" w:space="0" w:color="auto"/>
        <w:left w:val="none" w:sz="0" w:space="0" w:color="auto"/>
        <w:bottom w:val="none" w:sz="0" w:space="0" w:color="auto"/>
        <w:right w:val="none" w:sz="0" w:space="0" w:color="auto"/>
      </w:divBdr>
    </w:div>
    <w:div w:id="2036229640">
      <w:bodyDiv w:val="1"/>
      <w:marLeft w:val="0"/>
      <w:marRight w:val="0"/>
      <w:marTop w:val="0"/>
      <w:marBottom w:val="0"/>
      <w:divBdr>
        <w:top w:val="none" w:sz="0" w:space="0" w:color="auto"/>
        <w:left w:val="none" w:sz="0" w:space="0" w:color="auto"/>
        <w:bottom w:val="none" w:sz="0" w:space="0" w:color="auto"/>
        <w:right w:val="none" w:sz="0" w:space="0" w:color="auto"/>
      </w:divBdr>
    </w:div>
    <w:div w:id="2039038233">
      <w:bodyDiv w:val="1"/>
      <w:marLeft w:val="0"/>
      <w:marRight w:val="0"/>
      <w:marTop w:val="0"/>
      <w:marBottom w:val="0"/>
      <w:divBdr>
        <w:top w:val="none" w:sz="0" w:space="0" w:color="auto"/>
        <w:left w:val="none" w:sz="0" w:space="0" w:color="auto"/>
        <w:bottom w:val="none" w:sz="0" w:space="0" w:color="auto"/>
        <w:right w:val="none" w:sz="0" w:space="0" w:color="auto"/>
      </w:divBdr>
    </w:div>
    <w:div w:id="2047219887">
      <w:bodyDiv w:val="1"/>
      <w:marLeft w:val="0"/>
      <w:marRight w:val="0"/>
      <w:marTop w:val="0"/>
      <w:marBottom w:val="0"/>
      <w:divBdr>
        <w:top w:val="none" w:sz="0" w:space="0" w:color="auto"/>
        <w:left w:val="none" w:sz="0" w:space="0" w:color="auto"/>
        <w:bottom w:val="none" w:sz="0" w:space="0" w:color="auto"/>
        <w:right w:val="none" w:sz="0" w:space="0" w:color="auto"/>
      </w:divBdr>
    </w:div>
    <w:div w:id="2050107571">
      <w:bodyDiv w:val="1"/>
      <w:marLeft w:val="0"/>
      <w:marRight w:val="0"/>
      <w:marTop w:val="0"/>
      <w:marBottom w:val="0"/>
      <w:divBdr>
        <w:top w:val="none" w:sz="0" w:space="0" w:color="auto"/>
        <w:left w:val="none" w:sz="0" w:space="0" w:color="auto"/>
        <w:bottom w:val="none" w:sz="0" w:space="0" w:color="auto"/>
        <w:right w:val="none" w:sz="0" w:space="0" w:color="auto"/>
      </w:divBdr>
    </w:div>
    <w:div w:id="2050642780">
      <w:bodyDiv w:val="1"/>
      <w:marLeft w:val="0"/>
      <w:marRight w:val="0"/>
      <w:marTop w:val="0"/>
      <w:marBottom w:val="0"/>
      <w:divBdr>
        <w:top w:val="none" w:sz="0" w:space="0" w:color="auto"/>
        <w:left w:val="none" w:sz="0" w:space="0" w:color="auto"/>
        <w:bottom w:val="none" w:sz="0" w:space="0" w:color="auto"/>
        <w:right w:val="none" w:sz="0" w:space="0" w:color="auto"/>
      </w:divBdr>
    </w:div>
    <w:div w:id="2051226058">
      <w:bodyDiv w:val="1"/>
      <w:marLeft w:val="0"/>
      <w:marRight w:val="0"/>
      <w:marTop w:val="0"/>
      <w:marBottom w:val="0"/>
      <w:divBdr>
        <w:top w:val="none" w:sz="0" w:space="0" w:color="auto"/>
        <w:left w:val="none" w:sz="0" w:space="0" w:color="auto"/>
        <w:bottom w:val="none" w:sz="0" w:space="0" w:color="auto"/>
        <w:right w:val="none" w:sz="0" w:space="0" w:color="auto"/>
      </w:divBdr>
    </w:div>
    <w:div w:id="2054960303">
      <w:bodyDiv w:val="1"/>
      <w:marLeft w:val="0"/>
      <w:marRight w:val="0"/>
      <w:marTop w:val="0"/>
      <w:marBottom w:val="0"/>
      <w:divBdr>
        <w:top w:val="none" w:sz="0" w:space="0" w:color="auto"/>
        <w:left w:val="none" w:sz="0" w:space="0" w:color="auto"/>
        <w:bottom w:val="none" w:sz="0" w:space="0" w:color="auto"/>
        <w:right w:val="none" w:sz="0" w:space="0" w:color="auto"/>
      </w:divBdr>
    </w:div>
    <w:div w:id="2055810791">
      <w:bodyDiv w:val="1"/>
      <w:marLeft w:val="0"/>
      <w:marRight w:val="0"/>
      <w:marTop w:val="0"/>
      <w:marBottom w:val="0"/>
      <w:divBdr>
        <w:top w:val="none" w:sz="0" w:space="0" w:color="auto"/>
        <w:left w:val="none" w:sz="0" w:space="0" w:color="auto"/>
        <w:bottom w:val="none" w:sz="0" w:space="0" w:color="auto"/>
        <w:right w:val="none" w:sz="0" w:space="0" w:color="auto"/>
      </w:divBdr>
    </w:div>
    <w:div w:id="2056925106">
      <w:bodyDiv w:val="1"/>
      <w:marLeft w:val="0"/>
      <w:marRight w:val="0"/>
      <w:marTop w:val="0"/>
      <w:marBottom w:val="0"/>
      <w:divBdr>
        <w:top w:val="none" w:sz="0" w:space="0" w:color="auto"/>
        <w:left w:val="none" w:sz="0" w:space="0" w:color="auto"/>
        <w:bottom w:val="none" w:sz="0" w:space="0" w:color="auto"/>
        <w:right w:val="none" w:sz="0" w:space="0" w:color="auto"/>
      </w:divBdr>
    </w:div>
    <w:div w:id="2059356751">
      <w:bodyDiv w:val="1"/>
      <w:marLeft w:val="0"/>
      <w:marRight w:val="0"/>
      <w:marTop w:val="0"/>
      <w:marBottom w:val="0"/>
      <w:divBdr>
        <w:top w:val="none" w:sz="0" w:space="0" w:color="auto"/>
        <w:left w:val="none" w:sz="0" w:space="0" w:color="auto"/>
        <w:bottom w:val="none" w:sz="0" w:space="0" w:color="auto"/>
        <w:right w:val="none" w:sz="0" w:space="0" w:color="auto"/>
      </w:divBdr>
    </w:div>
    <w:div w:id="2067607141">
      <w:bodyDiv w:val="1"/>
      <w:marLeft w:val="0"/>
      <w:marRight w:val="0"/>
      <w:marTop w:val="0"/>
      <w:marBottom w:val="0"/>
      <w:divBdr>
        <w:top w:val="none" w:sz="0" w:space="0" w:color="auto"/>
        <w:left w:val="none" w:sz="0" w:space="0" w:color="auto"/>
        <w:bottom w:val="none" w:sz="0" w:space="0" w:color="auto"/>
        <w:right w:val="none" w:sz="0" w:space="0" w:color="auto"/>
      </w:divBdr>
    </w:div>
    <w:div w:id="2067947188">
      <w:bodyDiv w:val="1"/>
      <w:marLeft w:val="0"/>
      <w:marRight w:val="0"/>
      <w:marTop w:val="0"/>
      <w:marBottom w:val="0"/>
      <w:divBdr>
        <w:top w:val="none" w:sz="0" w:space="0" w:color="auto"/>
        <w:left w:val="none" w:sz="0" w:space="0" w:color="auto"/>
        <w:bottom w:val="none" w:sz="0" w:space="0" w:color="auto"/>
        <w:right w:val="none" w:sz="0" w:space="0" w:color="auto"/>
      </w:divBdr>
    </w:div>
    <w:div w:id="2068644282">
      <w:bodyDiv w:val="1"/>
      <w:marLeft w:val="0"/>
      <w:marRight w:val="0"/>
      <w:marTop w:val="0"/>
      <w:marBottom w:val="0"/>
      <w:divBdr>
        <w:top w:val="none" w:sz="0" w:space="0" w:color="auto"/>
        <w:left w:val="none" w:sz="0" w:space="0" w:color="auto"/>
        <w:bottom w:val="none" w:sz="0" w:space="0" w:color="auto"/>
        <w:right w:val="none" w:sz="0" w:space="0" w:color="auto"/>
      </w:divBdr>
    </w:div>
    <w:div w:id="2069107928">
      <w:bodyDiv w:val="1"/>
      <w:marLeft w:val="0"/>
      <w:marRight w:val="0"/>
      <w:marTop w:val="0"/>
      <w:marBottom w:val="0"/>
      <w:divBdr>
        <w:top w:val="none" w:sz="0" w:space="0" w:color="auto"/>
        <w:left w:val="none" w:sz="0" w:space="0" w:color="auto"/>
        <w:bottom w:val="none" w:sz="0" w:space="0" w:color="auto"/>
        <w:right w:val="none" w:sz="0" w:space="0" w:color="auto"/>
      </w:divBdr>
    </w:div>
    <w:div w:id="2069113254">
      <w:bodyDiv w:val="1"/>
      <w:marLeft w:val="0"/>
      <w:marRight w:val="0"/>
      <w:marTop w:val="0"/>
      <w:marBottom w:val="0"/>
      <w:divBdr>
        <w:top w:val="none" w:sz="0" w:space="0" w:color="auto"/>
        <w:left w:val="none" w:sz="0" w:space="0" w:color="auto"/>
        <w:bottom w:val="none" w:sz="0" w:space="0" w:color="auto"/>
        <w:right w:val="none" w:sz="0" w:space="0" w:color="auto"/>
      </w:divBdr>
    </w:div>
    <w:div w:id="2069643592">
      <w:bodyDiv w:val="1"/>
      <w:marLeft w:val="0"/>
      <w:marRight w:val="0"/>
      <w:marTop w:val="0"/>
      <w:marBottom w:val="0"/>
      <w:divBdr>
        <w:top w:val="none" w:sz="0" w:space="0" w:color="auto"/>
        <w:left w:val="none" w:sz="0" w:space="0" w:color="auto"/>
        <w:bottom w:val="none" w:sz="0" w:space="0" w:color="auto"/>
        <w:right w:val="none" w:sz="0" w:space="0" w:color="auto"/>
      </w:divBdr>
    </w:div>
    <w:div w:id="2075665224">
      <w:bodyDiv w:val="1"/>
      <w:marLeft w:val="0"/>
      <w:marRight w:val="0"/>
      <w:marTop w:val="0"/>
      <w:marBottom w:val="0"/>
      <w:divBdr>
        <w:top w:val="none" w:sz="0" w:space="0" w:color="auto"/>
        <w:left w:val="none" w:sz="0" w:space="0" w:color="auto"/>
        <w:bottom w:val="none" w:sz="0" w:space="0" w:color="auto"/>
        <w:right w:val="none" w:sz="0" w:space="0" w:color="auto"/>
      </w:divBdr>
    </w:div>
    <w:div w:id="2083410805">
      <w:bodyDiv w:val="1"/>
      <w:marLeft w:val="0"/>
      <w:marRight w:val="0"/>
      <w:marTop w:val="0"/>
      <w:marBottom w:val="0"/>
      <w:divBdr>
        <w:top w:val="none" w:sz="0" w:space="0" w:color="auto"/>
        <w:left w:val="none" w:sz="0" w:space="0" w:color="auto"/>
        <w:bottom w:val="none" w:sz="0" w:space="0" w:color="auto"/>
        <w:right w:val="none" w:sz="0" w:space="0" w:color="auto"/>
      </w:divBdr>
    </w:div>
    <w:div w:id="2089493108">
      <w:bodyDiv w:val="1"/>
      <w:marLeft w:val="0"/>
      <w:marRight w:val="0"/>
      <w:marTop w:val="0"/>
      <w:marBottom w:val="0"/>
      <w:divBdr>
        <w:top w:val="none" w:sz="0" w:space="0" w:color="auto"/>
        <w:left w:val="none" w:sz="0" w:space="0" w:color="auto"/>
        <w:bottom w:val="none" w:sz="0" w:space="0" w:color="auto"/>
        <w:right w:val="none" w:sz="0" w:space="0" w:color="auto"/>
      </w:divBdr>
    </w:div>
    <w:div w:id="2094356616">
      <w:bodyDiv w:val="1"/>
      <w:marLeft w:val="0"/>
      <w:marRight w:val="0"/>
      <w:marTop w:val="0"/>
      <w:marBottom w:val="0"/>
      <w:divBdr>
        <w:top w:val="none" w:sz="0" w:space="0" w:color="auto"/>
        <w:left w:val="none" w:sz="0" w:space="0" w:color="auto"/>
        <w:bottom w:val="none" w:sz="0" w:space="0" w:color="auto"/>
        <w:right w:val="none" w:sz="0" w:space="0" w:color="auto"/>
      </w:divBdr>
    </w:div>
    <w:div w:id="2097238957">
      <w:bodyDiv w:val="1"/>
      <w:marLeft w:val="0"/>
      <w:marRight w:val="0"/>
      <w:marTop w:val="0"/>
      <w:marBottom w:val="0"/>
      <w:divBdr>
        <w:top w:val="none" w:sz="0" w:space="0" w:color="auto"/>
        <w:left w:val="none" w:sz="0" w:space="0" w:color="auto"/>
        <w:bottom w:val="none" w:sz="0" w:space="0" w:color="auto"/>
        <w:right w:val="none" w:sz="0" w:space="0" w:color="auto"/>
      </w:divBdr>
    </w:div>
    <w:div w:id="2101023030">
      <w:bodyDiv w:val="1"/>
      <w:marLeft w:val="0"/>
      <w:marRight w:val="0"/>
      <w:marTop w:val="0"/>
      <w:marBottom w:val="0"/>
      <w:divBdr>
        <w:top w:val="none" w:sz="0" w:space="0" w:color="auto"/>
        <w:left w:val="none" w:sz="0" w:space="0" w:color="auto"/>
        <w:bottom w:val="none" w:sz="0" w:space="0" w:color="auto"/>
        <w:right w:val="none" w:sz="0" w:space="0" w:color="auto"/>
      </w:divBdr>
    </w:div>
    <w:div w:id="2105028218">
      <w:bodyDiv w:val="1"/>
      <w:marLeft w:val="0"/>
      <w:marRight w:val="0"/>
      <w:marTop w:val="0"/>
      <w:marBottom w:val="0"/>
      <w:divBdr>
        <w:top w:val="none" w:sz="0" w:space="0" w:color="auto"/>
        <w:left w:val="none" w:sz="0" w:space="0" w:color="auto"/>
        <w:bottom w:val="none" w:sz="0" w:space="0" w:color="auto"/>
        <w:right w:val="none" w:sz="0" w:space="0" w:color="auto"/>
      </w:divBdr>
    </w:div>
    <w:div w:id="2111772800">
      <w:bodyDiv w:val="1"/>
      <w:marLeft w:val="0"/>
      <w:marRight w:val="0"/>
      <w:marTop w:val="0"/>
      <w:marBottom w:val="0"/>
      <w:divBdr>
        <w:top w:val="none" w:sz="0" w:space="0" w:color="auto"/>
        <w:left w:val="none" w:sz="0" w:space="0" w:color="auto"/>
        <w:bottom w:val="none" w:sz="0" w:space="0" w:color="auto"/>
        <w:right w:val="none" w:sz="0" w:space="0" w:color="auto"/>
      </w:divBdr>
    </w:div>
    <w:div w:id="2120484464">
      <w:bodyDiv w:val="1"/>
      <w:marLeft w:val="0"/>
      <w:marRight w:val="0"/>
      <w:marTop w:val="0"/>
      <w:marBottom w:val="0"/>
      <w:divBdr>
        <w:top w:val="none" w:sz="0" w:space="0" w:color="auto"/>
        <w:left w:val="none" w:sz="0" w:space="0" w:color="auto"/>
        <w:bottom w:val="none" w:sz="0" w:space="0" w:color="auto"/>
        <w:right w:val="none" w:sz="0" w:space="0" w:color="auto"/>
      </w:divBdr>
    </w:div>
    <w:div w:id="2125730833">
      <w:bodyDiv w:val="1"/>
      <w:marLeft w:val="0"/>
      <w:marRight w:val="0"/>
      <w:marTop w:val="0"/>
      <w:marBottom w:val="0"/>
      <w:divBdr>
        <w:top w:val="none" w:sz="0" w:space="0" w:color="auto"/>
        <w:left w:val="none" w:sz="0" w:space="0" w:color="auto"/>
        <w:bottom w:val="none" w:sz="0" w:space="0" w:color="auto"/>
        <w:right w:val="none" w:sz="0" w:space="0" w:color="auto"/>
      </w:divBdr>
    </w:div>
    <w:div w:id="2132090573">
      <w:bodyDiv w:val="1"/>
      <w:marLeft w:val="0"/>
      <w:marRight w:val="0"/>
      <w:marTop w:val="0"/>
      <w:marBottom w:val="0"/>
      <w:divBdr>
        <w:top w:val="none" w:sz="0" w:space="0" w:color="auto"/>
        <w:left w:val="none" w:sz="0" w:space="0" w:color="auto"/>
        <w:bottom w:val="none" w:sz="0" w:space="0" w:color="auto"/>
        <w:right w:val="none" w:sz="0" w:space="0" w:color="auto"/>
      </w:divBdr>
    </w:div>
    <w:div w:id="2136485919">
      <w:bodyDiv w:val="1"/>
      <w:marLeft w:val="0"/>
      <w:marRight w:val="0"/>
      <w:marTop w:val="0"/>
      <w:marBottom w:val="0"/>
      <w:divBdr>
        <w:top w:val="none" w:sz="0" w:space="0" w:color="auto"/>
        <w:left w:val="none" w:sz="0" w:space="0" w:color="auto"/>
        <w:bottom w:val="none" w:sz="0" w:space="0" w:color="auto"/>
        <w:right w:val="none" w:sz="0" w:space="0" w:color="auto"/>
      </w:divBdr>
    </w:div>
    <w:div w:id="2138641141">
      <w:bodyDiv w:val="1"/>
      <w:marLeft w:val="0"/>
      <w:marRight w:val="0"/>
      <w:marTop w:val="0"/>
      <w:marBottom w:val="0"/>
      <w:divBdr>
        <w:top w:val="none" w:sz="0" w:space="0" w:color="auto"/>
        <w:left w:val="none" w:sz="0" w:space="0" w:color="auto"/>
        <w:bottom w:val="none" w:sz="0" w:space="0" w:color="auto"/>
        <w:right w:val="none" w:sz="0" w:space="0" w:color="auto"/>
      </w:divBdr>
    </w:div>
    <w:div w:id="214473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webarchive.nationalarchives.gov.uk/20130123162956/http:/www.defra.gov.uk/environment/climatechange/uk/legislation/pdf/CCBill-summary.pdf" TargetMode="Externa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E:\PhD%20Research\FIELD%20WORK%20RESULTS\Madrid%20Street\154%2026-27.02.2013\154.%2026-27.02.2013%20IAQ%20measurements.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oleObject" Target="file:///J:\PhD%20Research\FIELD%20WORK%20RESULTS\Madrid%20Street\Madrid%20Street%20Summer\No.%20150%20(no.1)%20summer\No.150%20IAQ%20measurements%2010-11.09.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PhD%20Research\ANALYSIS\Madrid%20Street\Questionnaire%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latin typeface="Arial" panose="020B0604020202020204" pitchFamily="34" charset="0"/>
                <a:ea typeface="Arial Unicode MS" panose="020B0604020202020204" pitchFamily="34" charset="-128"/>
                <a:cs typeface="Arial" panose="020B0604020202020204" pitchFamily="34" charset="0"/>
              </a:defRPr>
            </a:pPr>
            <a:r>
              <a:rPr lang="en-GB" sz="800">
                <a:latin typeface="Arial" panose="020B0604020202020204" pitchFamily="34" charset="0"/>
                <a:ea typeface="Arial Unicode MS" panose="020B0604020202020204" pitchFamily="34" charset="-128"/>
                <a:cs typeface="Arial" panose="020B0604020202020204" pitchFamily="34" charset="0"/>
              </a:rPr>
              <a:t>Ventilation Strategies: Winter months</a:t>
            </a:r>
          </a:p>
        </c:rich>
      </c:tx>
      <c:layout>
        <c:manualLayout>
          <c:xMode val="edge"/>
          <c:yMode val="edge"/>
          <c:x val="0.33940958120548786"/>
          <c:y val="3.4307612206575168E-2"/>
        </c:manualLayout>
      </c:layout>
      <c:overlay val="0"/>
    </c:title>
    <c:autoTitleDeleted val="0"/>
    <c:plotArea>
      <c:layout>
        <c:manualLayout>
          <c:layoutTarget val="inner"/>
          <c:xMode val="edge"/>
          <c:yMode val="edge"/>
          <c:x val="6.4317614400195872E-2"/>
          <c:y val="0.2660010597280032"/>
          <c:w val="0.92326358348280857"/>
          <c:h val="0.44610753176379425"/>
        </c:manualLayout>
      </c:layout>
      <c:barChart>
        <c:barDir val="col"/>
        <c:grouping val="clustered"/>
        <c:varyColors val="0"/>
        <c:ser>
          <c:idx val="0"/>
          <c:order val="0"/>
          <c:tx>
            <c:strRef>
              <c:f>Sheet1!$B$1</c:f>
              <c:strCache>
                <c:ptCount val="1"/>
                <c:pt idx="0">
                  <c:v>Never</c:v>
                </c:pt>
              </c:strCache>
            </c:strRef>
          </c:tx>
          <c:invertIfNegative val="0"/>
          <c:cat>
            <c:strRef>
              <c:f>Sheet1!$A$2:$A$6</c:f>
              <c:strCache>
                <c:ptCount val="5"/>
                <c:pt idx="0">
                  <c:v>Frequency boost mode used</c:v>
                </c:pt>
                <c:pt idx="1">
                  <c:v>Frequency of window opening at night</c:v>
                </c:pt>
                <c:pt idx="2">
                  <c:v>Frequency of window opening in morning</c:v>
                </c:pt>
                <c:pt idx="3">
                  <c:v>Frequency of window opening during the day</c:v>
                </c:pt>
                <c:pt idx="4">
                  <c:v>Frequency of window opening in evening</c:v>
                </c:pt>
              </c:strCache>
            </c:strRef>
          </c:cat>
          <c:val>
            <c:numRef>
              <c:f>Sheet1!$B$2:$B$6</c:f>
              <c:numCache>
                <c:formatCode>General</c:formatCode>
                <c:ptCount val="5"/>
                <c:pt idx="0">
                  <c:v>2</c:v>
                </c:pt>
                <c:pt idx="1">
                  <c:v>3</c:v>
                </c:pt>
                <c:pt idx="2">
                  <c:v>2</c:v>
                </c:pt>
                <c:pt idx="3">
                  <c:v>2</c:v>
                </c:pt>
                <c:pt idx="4">
                  <c:v>3</c:v>
                </c:pt>
              </c:numCache>
            </c:numRef>
          </c:val>
        </c:ser>
        <c:ser>
          <c:idx val="1"/>
          <c:order val="1"/>
          <c:tx>
            <c:strRef>
              <c:f>Sheet1!$C$1</c:f>
              <c:strCache>
                <c:ptCount val="1"/>
                <c:pt idx="0">
                  <c:v>Rarely</c:v>
                </c:pt>
              </c:strCache>
            </c:strRef>
          </c:tx>
          <c:invertIfNegative val="0"/>
          <c:cat>
            <c:strRef>
              <c:f>Sheet1!$A$2:$A$6</c:f>
              <c:strCache>
                <c:ptCount val="5"/>
                <c:pt idx="0">
                  <c:v>Frequency boost mode used</c:v>
                </c:pt>
                <c:pt idx="1">
                  <c:v>Frequency of window opening at night</c:v>
                </c:pt>
                <c:pt idx="2">
                  <c:v>Frequency of window opening in morning</c:v>
                </c:pt>
                <c:pt idx="3">
                  <c:v>Frequency of window opening during the day</c:v>
                </c:pt>
                <c:pt idx="4">
                  <c:v>Frequency of window opening in evening</c:v>
                </c:pt>
              </c:strCache>
            </c:strRef>
          </c:cat>
          <c:val>
            <c:numRef>
              <c:f>Sheet1!$C$2:$C$6</c:f>
              <c:numCache>
                <c:formatCode>General</c:formatCode>
                <c:ptCount val="5"/>
                <c:pt idx="0">
                  <c:v>3</c:v>
                </c:pt>
                <c:pt idx="1">
                  <c:v>3</c:v>
                </c:pt>
                <c:pt idx="2">
                  <c:v>1</c:v>
                </c:pt>
                <c:pt idx="3">
                  <c:v>1</c:v>
                </c:pt>
                <c:pt idx="4">
                  <c:v>2</c:v>
                </c:pt>
              </c:numCache>
            </c:numRef>
          </c:val>
        </c:ser>
        <c:ser>
          <c:idx val="2"/>
          <c:order val="2"/>
          <c:tx>
            <c:strRef>
              <c:f>Sheet1!$D$1</c:f>
              <c:strCache>
                <c:ptCount val="1"/>
                <c:pt idx="0">
                  <c:v>Occasionally</c:v>
                </c:pt>
              </c:strCache>
            </c:strRef>
          </c:tx>
          <c:invertIfNegative val="0"/>
          <c:cat>
            <c:strRef>
              <c:f>Sheet1!$A$2:$A$6</c:f>
              <c:strCache>
                <c:ptCount val="5"/>
                <c:pt idx="0">
                  <c:v>Frequency boost mode used</c:v>
                </c:pt>
                <c:pt idx="1">
                  <c:v>Frequency of window opening at night</c:v>
                </c:pt>
                <c:pt idx="2">
                  <c:v>Frequency of window opening in morning</c:v>
                </c:pt>
                <c:pt idx="3">
                  <c:v>Frequency of window opening during the day</c:v>
                </c:pt>
                <c:pt idx="4">
                  <c:v>Frequency of window opening in evening</c:v>
                </c:pt>
              </c:strCache>
            </c:strRef>
          </c:cat>
          <c:val>
            <c:numRef>
              <c:f>Sheet1!$D$2:$D$6</c:f>
              <c:numCache>
                <c:formatCode>General</c:formatCode>
                <c:ptCount val="5"/>
                <c:pt idx="0">
                  <c:v>1</c:v>
                </c:pt>
                <c:pt idx="1">
                  <c:v>0</c:v>
                </c:pt>
                <c:pt idx="2">
                  <c:v>2</c:v>
                </c:pt>
                <c:pt idx="3">
                  <c:v>3</c:v>
                </c:pt>
                <c:pt idx="4">
                  <c:v>1</c:v>
                </c:pt>
              </c:numCache>
            </c:numRef>
          </c:val>
        </c:ser>
        <c:ser>
          <c:idx val="3"/>
          <c:order val="3"/>
          <c:tx>
            <c:strRef>
              <c:f>Sheet1!$E$1</c:f>
              <c:strCache>
                <c:ptCount val="1"/>
                <c:pt idx="0">
                  <c:v>Regularly</c:v>
                </c:pt>
              </c:strCache>
            </c:strRef>
          </c:tx>
          <c:invertIfNegative val="0"/>
          <c:cat>
            <c:strRef>
              <c:f>Sheet1!$A$2:$A$6</c:f>
              <c:strCache>
                <c:ptCount val="5"/>
                <c:pt idx="0">
                  <c:v>Frequency boost mode used</c:v>
                </c:pt>
                <c:pt idx="1">
                  <c:v>Frequency of window opening at night</c:v>
                </c:pt>
                <c:pt idx="2">
                  <c:v>Frequency of window opening in morning</c:v>
                </c:pt>
                <c:pt idx="3">
                  <c:v>Frequency of window opening during the day</c:v>
                </c:pt>
                <c:pt idx="4">
                  <c:v>Frequency of window opening in evening</c:v>
                </c:pt>
              </c:strCache>
            </c:strRef>
          </c:cat>
          <c:val>
            <c:numRef>
              <c:f>Sheet1!$E$2:$E$6</c:f>
              <c:numCache>
                <c:formatCode>General</c:formatCode>
                <c:ptCount val="5"/>
                <c:pt idx="0">
                  <c:v>0</c:v>
                </c:pt>
                <c:pt idx="1">
                  <c:v>0</c:v>
                </c:pt>
                <c:pt idx="2">
                  <c:v>1</c:v>
                </c:pt>
                <c:pt idx="3">
                  <c:v>0</c:v>
                </c:pt>
                <c:pt idx="4">
                  <c:v>0</c:v>
                </c:pt>
              </c:numCache>
            </c:numRef>
          </c:val>
        </c:ser>
        <c:dLbls>
          <c:showLegendKey val="0"/>
          <c:showVal val="0"/>
          <c:showCatName val="0"/>
          <c:showSerName val="0"/>
          <c:showPercent val="0"/>
          <c:showBubbleSize val="0"/>
        </c:dLbls>
        <c:gapWidth val="75"/>
        <c:overlap val="-25"/>
        <c:axId val="195058688"/>
        <c:axId val="195760896"/>
      </c:barChart>
      <c:catAx>
        <c:axId val="195058688"/>
        <c:scaling>
          <c:orientation val="minMax"/>
        </c:scaling>
        <c:delete val="0"/>
        <c:axPos val="b"/>
        <c:numFmt formatCode="General" sourceLinked="1"/>
        <c:majorTickMark val="cross"/>
        <c:minorTickMark val="none"/>
        <c:tickLblPos val="nextTo"/>
        <c:txPr>
          <a:bodyPr/>
          <a:lstStyle/>
          <a:p>
            <a:pPr>
              <a:defRPr sz="800">
                <a:latin typeface="Arial Unicode MS" panose="020B0604020202020204" pitchFamily="34" charset="-128"/>
                <a:ea typeface="Arial Unicode MS" panose="020B0604020202020204" pitchFamily="34" charset="-128"/>
                <a:cs typeface="Arial Unicode MS" panose="020B0604020202020204" pitchFamily="34" charset="-128"/>
              </a:defRPr>
            </a:pPr>
            <a:endParaRPr lang="en-US"/>
          </a:p>
        </c:txPr>
        <c:crossAx val="195760896"/>
        <c:crosses val="autoZero"/>
        <c:auto val="1"/>
        <c:lblAlgn val="ctr"/>
        <c:lblOffset val="100"/>
        <c:noMultiLvlLbl val="0"/>
      </c:catAx>
      <c:valAx>
        <c:axId val="195760896"/>
        <c:scaling>
          <c:orientation val="minMax"/>
        </c:scaling>
        <c:delete val="0"/>
        <c:axPos val="l"/>
        <c:majorGridlines>
          <c:spPr>
            <a:ln>
              <a:solidFill>
                <a:schemeClr val="bg1">
                  <a:lumMod val="85000"/>
                </a:schemeClr>
              </a:solidFill>
            </a:ln>
          </c:spPr>
        </c:majorGridlines>
        <c:title>
          <c:tx>
            <c:rich>
              <a:bodyPr/>
              <a:lstStyle/>
              <a:p>
                <a:pPr>
                  <a:defRPr sz="800" b="0">
                    <a:latin typeface="Arial Unicode MS" panose="020B0604020202020204" pitchFamily="34" charset="-128"/>
                    <a:ea typeface="Arial Unicode MS" panose="020B0604020202020204" pitchFamily="34" charset="-128"/>
                    <a:cs typeface="Arial Unicode MS" panose="020B0604020202020204" pitchFamily="34" charset="-128"/>
                  </a:defRPr>
                </a:pPr>
                <a:r>
                  <a:rPr lang="en-GB" sz="800" b="0">
                    <a:latin typeface="Arial Unicode MS" panose="020B0604020202020204" pitchFamily="34" charset="-128"/>
                    <a:ea typeface="Arial Unicode MS" panose="020B0604020202020204" pitchFamily="34" charset="-128"/>
                    <a:cs typeface="Arial Unicode MS" panose="020B0604020202020204" pitchFamily="34" charset="-128"/>
                  </a:rPr>
                  <a:t>No. of homes</a:t>
                </a:r>
              </a:p>
            </c:rich>
          </c:tx>
          <c:layout>
            <c:manualLayout>
              <c:xMode val="edge"/>
              <c:yMode val="edge"/>
              <c:x val="0"/>
              <c:y val="0.28507737065615152"/>
            </c:manualLayout>
          </c:layout>
          <c:overlay val="0"/>
        </c:title>
        <c:numFmt formatCode="General" sourceLinked="1"/>
        <c:majorTickMark val="none"/>
        <c:minorTickMark val="none"/>
        <c:tickLblPos val="nextTo"/>
        <c:txPr>
          <a:bodyPr/>
          <a:lstStyle/>
          <a:p>
            <a:pPr>
              <a:defRPr sz="800">
                <a:latin typeface="Arial Unicode MS" panose="020B0604020202020204" pitchFamily="34" charset="-128"/>
                <a:ea typeface="Arial Unicode MS" panose="020B0604020202020204" pitchFamily="34" charset="-128"/>
                <a:cs typeface="Arial Unicode MS" panose="020B0604020202020204" pitchFamily="34" charset="-128"/>
              </a:defRPr>
            </a:pPr>
            <a:endParaRPr lang="en-US"/>
          </a:p>
        </c:txPr>
        <c:crossAx val="195058688"/>
        <c:crosses val="autoZero"/>
        <c:crossBetween val="between"/>
        <c:majorUnit val="1"/>
      </c:valAx>
      <c:spPr>
        <a:solidFill>
          <a:schemeClr val="bg1">
            <a:lumMod val="95000"/>
          </a:schemeClr>
        </a:solidFill>
        <a:ln>
          <a:solidFill>
            <a:schemeClr val="bg1">
              <a:lumMod val="85000"/>
            </a:schemeClr>
          </a:solidFill>
        </a:ln>
      </c:spPr>
    </c:plotArea>
    <c:legend>
      <c:legendPos val="r"/>
      <c:layout>
        <c:manualLayout>
          <c:xMode val="edge"/>
          <c:yMode val="edge"/>
          <c:x val="0.24130682438251905"/>
          <c:y val="0.144647938952844"/>
          <c:w val="0.49503311258278143"/>
          <c:h val="9.6385542168675745E-2"/>
        </c:manualLayout>
      </c:layout>
      <c:overlay val="0"/>
      <c:txPr>
        <a:bodyPr/>
        <a:lstStyle/>
        <a:p>
          <a:pPr>
            <a:defRPr sz="800">
              <a:latin typeface="Arial Unicode MS" panose="020B0604020202020204" pitchFamily="34" charset="-128"/>
              <a:ea typeface="Arial Unicode MS" panose="020B0604020202020204" pitchFamily="34" charset="-128"/>
              <a:cs typeface="Arial Unicode MS" panose="020B0604020202020204" pitchFamily="34" charset="-128"/>
            </a:defRPr>
          </a:pPr>
          <a:endParaRPr lang="en-US"/>
        </a:p>
      </c:txPr>
    </c:legend>
    <c:plotVisOnly val="1"/>
    <c:dispBlanksAs val="gap"/>
    <c:showDLblsOverMax val="0"/>
  </c:chart>
  <c:spPr>
    <a:ln>
      <a:solidFill>
        <a:schemeClr val="bg1">
          <a:lumMod val="65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latin typeface="Arial" panose="020B0604020202020204" pitchFamily="34" charset="0"/>
                <a:ea typeface="Arial Unicode MS" panose="020B0604020202020204" pitchFamily="34" charset="-128"/>
                <a:cs typeface="Arial" panose="020B0604020202020204" pitchFamily="34" charset="0"/>
              </a:defRPr>
            </a:pPr>
            <a:r>
              <a:rPr lang="en-GB" sz="800">
                <a:latin typeface="Arial" panose="020B0604020202020204" pitchFamily="34" charset="0"/>
                <a:ea typeface="Arial Unicode MS" panose="020B0604020202020204" pitchFamily="34" charset="-128"/>
                <a:cs typeface="Arial" panose="020B0604020202020204" pitchFamily="34" charset="0"/>
              </a:rPr>
              <a:t>Ventilation Strategies: Summer months</a:t>
            </a:r>
          </a:p>
        </c:rich>
      </c:tx>
      <c:layout>
        <c:manualLayout>
          <c:xMode val="edge"/>
          <c:yMode val="edge"/>
          <c:x val="0.32832939186860877"/>
          <c:y val="2.1821214685989486E-2"/>
        </c:manualLayout>
      </c:layout>
      <c:overlay val="0"/>
    </c:title>
    <c:autoTitleDeleted val="0"/>
    <c:plotArea>
      <c:layout>
        <c:manualLayout>
          <c:layoutTarget val="inner"/>
          <c:xMode val="edge"/>
          <c:yMode val="edge"/>
          <c:x val="6.4317614400195816E-2"/>
          <c:y val="0.2660010597280032"/>
          <c:w val="0.92326358348280857"/>
          <c:h val="0.44610753176379425"/>
        </c:manualLayout>
      </c:layout>
      <c:barChart>
        <c:barDir val="col"/>
        <c:grouping val="clustered"/>
        <c:varyColors val="0"/>
        <c:ser>
          <c:idx val="0"/>
          <c:order val="0"/>
          <c:tx>
            <c:strRef>
              <c:f>Sheet1!$B$1</c:f>
              <c:strCache>
                <c:ptCount val="1"/>
                <c:pt idx="0">
                  <c:v>Never</c:v>
                </c:pt>
              </c:strCache>
            </c:strRef>
          </c:tx>
          <c:invertIfNegative val="0"/>
          <c:cat>
            <c:strRef>
              <c:f>Sheet1!$A$2:$A$6</c:f>
              <c:strCache>
                <c:ptCount val="5"/>
                <c:pt idx="0">
                  <c:v>Frequency boost mode used</c:v>
                </c:pt>
                <c:pt idx="1">
                  <c:v>Frequency of window opening at night</c:v>
                </c:pt>
                <c:pt idx="2">
                  <c:v>Frequency of window opening in morning</c:v>
                </c:pt>
                <c:pt idx="3">
                  <c:v>Frequency of window opening during the day</c:v>
                </c:pt>
                <c:pt idx="4">
                  <c:v>Frequency of window opening in evening</c:v>
                </c:pt>
              </c:strCache>
            </c:strRef>
          </c:cat>
          <c:val>
            <c:numRef>
              <c:f>Sheet1!$B$2:$B$6</c:f>
              <c:numCache>
                <c:formatCode>General</c:formatCode>
                <c:ptCount val="5"/>
                <c:pt idx="0">
                  <c:v>4</c:v>
                </c:pt>
                <c:pt idx="1">
                  <c:v>1</c:v>
                </c:pt>
                <c:pt idx="2">
                  <c:v>0</c:v>
                </c:pt>
                <c:pt idx="3">
                  <c:v>1</c:v>
                </c:pt>
                <c:pt idx="4">
                  <c:v>1</c:v>
                </c:pt>
              </c:numCache>
            </c:numRef>
          </c:val>
        </c:ser>
        <c:ser>
          <c:idx val="1"/>
          <c:order val="1"/>
          <c:tx>
            <c:strRef>
              <c:f>Sheet1!$C$1</c:f>
              <c:strCache>
                <c:ptCount val="1"/>
                <c:pt idx="0">
                  <c:v>Rarely</c:v>
                </c:pt>
              </c:strCache>
            </c:strRef>
          </c:tx>
          <c:invertIfNegative val="0"/>
          <c:cat>
            <c:strRef>
              <c:f>Sheet1!$A$2:$A$6</c:f>
              <c:strCache>
                <c:ptCount val="5"/>
                <c:pt idx="0">
                  <c:v>Frequency boost mode used</c:v>
                </c:pt>
                <c:pt idx="1">
                  <c:v>Frequency of window opening at night</c:v>
                </c:pt>
                <c:pt idx="2">
                  <c:v>Frequency of window opening in morning</c:v>
                </c:pt>
                <c:pt idx="3">
                  <c:v>Frequency of window opening during the day</c:v>
                </c:pt>
                <c:pt idx="4">
                  <c:v>Frequency of window opening in evening</c:v>
                </c:pt>
              </c:strCache>
            </c:strRef>
          </c:cat>
          <c:val>
            <c:numRef>
              <c:f>Sheet1!$C$2:$C$6</c:f>
              <c:numCache>
                <c:formatCode>General</c:formatCode>
                <c:ptCount val="5"/>
                <c:pt idx="0">
                  <c:v>1</c:v>
                </c:pt>
                <c:pt idx="1">
                  <c:v>1</c:v>
                </c:pt>
                <c:pt idx="2">
                  <c:v>0</c:v>
                </c:pt>
                <c:pt idx="3">
                  <c:v>1</c:v>
                </c:pt>
                <c:pt idx="4">
                  <c:v>0</c:v>
                </c:pt>
              </c:numCache>
            </c:numRef>
          </c:val>
        </c:ser>
        <c:ser>
          <c:idx val="2"/>
          <c:order val="2"/>
          <c:tx>
            <c:strRef>
              <c:f>Sheet1!$D$1</c:f>
              <c:strCache>
                <c:ptCount val="1"/>
                <c:pt idx="0">
                  <c:v>Occasionally</c:v>
                </c:pt>
              </c:strCache>
            </c:strRef>
          </c:tx>
          <c:invertIfNegative val="0"/>
          <c:cat>
            <c:strRef>
              <c:f>Sheet1!$A$2:$A$6</c:f>
              <c:strCache>
                <c:ptCount val="5"/>
                <c:pt idx="0">
                  <c:v>Frequency boost mode used</c:v>
                </c:pt>
                <c:pt idx="1">
                  <c:v>Frequency of window opening at night</c:v>
                </c:pt>
                <c:pt idx="2">
                  <c:v>Frequency of window opening in morning</c:v>
                </c:pt>
                <c:pt idx="3">
                  <c:v>Frequency of window opening during the day</c:v>
                </c:pt>
                <c:pt idx="4">
                  <c:v>Frequency of window opening in evening</c:v>
                </c:pt>
              </c:strCache>
            </c:strRef>
          </c:cat>
          <c:val>
            <c:numRef>
              <c:f>Sheet1!$D$2:$D$6</c:f>
              <c:numCache>
                <c:formatCode>General</c:formatCode>
                <c:ptCount val="5"/>
                <c:pt idx="0">
                  <c:v>1</c:v>
                </c:pt>
                <c:pt idx="1">
                  <c:v>2</c:v>
                </c:pt>
                <c:pt idx="2">
                  <c:v>2</c:v>
                </c:pt>
                <c:pt idx="3">
                  <c:v>0</c:v>
                </c:pt>
                <c:pt idx="4">
                  <c:v>2</c:v>
                </c:pt>
              </c:numCache>
            </c:numRef>
          </c:val>
        </c:ser>
        <c:ser>
          <c:idx val="3"/>
          <c:order val="3"/>
          <c:tx>
            <c:strRef>
              <c:f>Sheet1!$E$1</c:f>
              <c:strCache>
                <c:ptCount val="1"/>
                <c:pt idx="0">
                  <c:v>Regularly</c:v>
                </c:pt>
              </c:strCache>
            </c:strRef>
          </c:tx>
          <c:invertIfNegative val="0"/>
          <c:cat>
            <c:strRef>
              <c:f>Sheet1!$A$2:$A$6</c:f>
              <c:strCache>
                <c:ptCount val="5"/>
                <c:pt idx="0">
                  <c:v>Frequency boost mode used</c:v>
                </c:pt>
                <c:pt idx="1">
                  <c:v>Frequency of window opening at night</c:v>
                </c:pt>
                <c:pt idx="2">
                  <c:v>Frequency of window opening in morning</c:v>
                </c:pt>
                <c:pt idx="3">
                  <c:v>Frequency of window opening during the day</c:v>
                </c:pt>
                <c:pt idx="4">
                  <c:v>Frequency of window opening in evening</c:v>
                </c:pt>
              </c:strCache>
            </c:strRef>
          </c:cat>
          <c:val>
            <c:numRef>
              <c:f>Sheet1!$E$2:$E$6</c:f>
              <c:numCache>
                <c:formatCode>General</c:formatCode>
                <c:ptCount val="5"/>
                <c:pt idx="0">
                  <c:v>0</c:v>
                </c:pt>
                <c:pt idx="1">
                  <c:v>0</c:v>
                </c:pt>
                <c:pt idx="2">
                  <c:v>2</c:v>
                </c:pt>
                <c:pt idx="3">
                  <c:v>2</c:v>
                </c:pt>
                <c:pt idx="4">
                  <c:v>1</c:v>
                </c:pt>
              </c:numCache>
            </c:numRef>
          </c:val>
        </c:ser>
        <c:ser>
          <c:idx val="4"/>
          <c:order val="4"/>
          <c:tx>
            <c:strRef>
              <c:f>Sheet1!$F$1</c:f>
              <c:strCache>
                <c:ptCount val="1"/>
                <c:pt idx="0">
                  <c:v>Constantly</c:v>
                </c:pt>
              </c:strCache>
            </c:strRef>
          </c:tx>
          <c:invertIfNegative val="0"/>
          <c:cat>
            <c:strRef>
              <c:f>Sheet1!$A$2:$A$6</c:f>
              <c:strCache>
                <c:ptCount val="5"/>
                <c:pt idx="0">
                  <c:v>Frequency boost mode used</c:v>
                </c:pt>
                <c:pt idx="1">
                  <c:v>Frequency of window opening at night</c:v>
                </c:pt>
                <c:pt idx="2">
                  <c:v>Frequency of window opening in morning</c:v>
                </c:pt>
                <c:pt idx="3">
                  <c:v>Frequency of window opening during the day</c:v>
                </c:pt>
                <c:pt idx="4">
                  <c:v>Frequency of window opening in evening</c:v>
                </c:pt>
              </c:strCache>
            </c:strRef>
          </c:cat>
          <c:val>
            <c:numRef>
              <c:f>Sheet1!$F$2:$F$6</c:f>
              <c:numCache>
                <c:formatCode>General</c:formatCode>
                <c:ptCount val="5"/>
                <c:pt idx="0">
                  <c:v>0</c:v>
                </c:pt>
                <c:pt idx="1">
                  <c:v>2</c:v>
                </c:pt>
                <c:pt idx="2">
                  <c:v>2</c:v>
                </c:pt>
                <c:pt idx="3">
                  <c:v>2</c:v>
                </c:pt>
                <c:pt idx="4">
                  <c:v>2</c:v>
                </c:pt>
              </c:numCache>
            </c:numRef>
          </c:val>
        </c:ser>
        <c:dLbls>
          <c:showLegendKey val="0"/>
          <c:showVal val="0"/>
          <c:showCatName val="0"/>
          <c:showSerName val="0"/>
          <c:showPercent val="0"/>
          <c:showBubbleSize val="0"/>
        </c:dLbls>
        <c:gapWidth val="75"/>
        <c:overlap val="-25"/>
        <c:axId val="195813376"/>
        <c:axId val="195814912"/>
      </c:barChart>
      <c:catAx>
        <c:axId val="195813376"/>
        <c:scaling>
          <c:orientation val="minMax"/>
        </c:scaling>
        <c:delete val="0"/>
        <c:axPos val="b"/>
        <c:numFmt formatCode="General" sourceLinked="1"/>
        <c:majorTickMark val="cross"/>
        <c:minorTickMark val="none"/>
        <c:tickLblPos val="nextTo"/>
        <c:txPr>
          <a:bodyPr/>
          <a:lstStyle/>
          <a:p>
            <a:pPr>
              <a:defRPr sz="800">
                <a:latin typeface="Arial Unicode MS" panose="020B0604020202020204" pitchFamily="34" charset="-128"/>
                <a:ea typeface="Arial Unicode MS" panose="020B0604020202020204" pitchFamily="34" charset="-128"/>
                <a:cs typeface="Arial Unicode MS" panose="020B0604020202020204" pitchFamily="34" charset="-128"/>
              </a:defRPr>
            </a:pPr>
            <a:endParaRPr lang="en-US"/>
          </a:p>
        </c:txPr>
        <c:crossAx val="195814912"/>
        <c:crosses val="autoZero"/>
        <c:auto val="1"/>
        <c:lblAlgn val="ctr"/>
        <c:lblOffset val="100"/>
        <c:noMultiLvlLbl val="0"/>
      </c:catAx>
      <c:valAx>
        <c:axId val="195814912"/>
        <c:scaling>
          <c:orientation val="minMax"/>
          <c:max val="4"/>
        </c:scaling>
        <c:delete val="0"/>
        <c:axPos val="l"/>
        <c:majorGridlines>
          <c:spPr>
            <a:ln>
              <a:solidFill>
                <a:schemeClr val="bg1">
                  <a:lumMod val="85000"/>
                </a:schemeClr>
              </a:solidFill>
            </a:ln>
          </c:spPr>
        </c:majorGridlines>
        <c:title>
          <c:tx>
            <c:rich>
              <a:bodyPr/>
              <a:lstStyle/>
              <a:p>
                <a:pPr>
                  <a:defRPr sz="800" b="0">
                    <a:latin typeface="Arial Unicode MS" panose="020B0604020202020204" pitchFamily="34" charset="-128"/>
                    <a:ea typeface="Arial Unicode MS" panose="020B0604020202020204" pitchFamily="34" charset="-128"/>
                    <a:cs typeface="Arial Unicode MS" panose="020B0604020202020204" pitchFamily="34" charset="-128"/>
                  </a:defRPr>
                </a:pPr>
                <a:r>
                  <a:rPr lang="en-GB" sz="800" b="0">
                    <a:latin typeface="Arial Unicode MS" panose="020B0604020202020204" pitchFamily="34" charset="-128"/>
                    <a:ea typeface="Arial Unicode MS" panose="020B0604020202020204" pitchFamily="34" charset="-128"/>
                    <a:cs typeface="Arial Unicode MS" panose="020B0604020202020204" pitchFamily="34" charset="-128"/>
                  </a:rPr>
                  <a:t>No. of homes</a:t>
                </a:r>
              </a:p>
            </c:rich>
          </c:tx>
          <c:layout>
            <c:manualLayout>
              <c:xMode val="edge"/>
              <c:yMode val="edge"/>
              <c:x val="0"/>
              <c:y val="0.28507737065615152"/>
            </c:manualLayout>
          </c:layout>
          <c:overlay val="0"/>
        </c:title>
        <c:numFmt formatCode="General" sourceLinked="1"/>
        <c:majorTickMark val="none"/>
        <c:minorTickMark val="none"/>
        <c:tickLblPos val="nextTo"/>
        <c:txPr>
          <a:bodyPr/>
          <a:lstStyle/>
          <a:p>
            <a:pPr>
              <a:defRPr sz="800">
                <a:latin typeface="Arial Unicode MS" panose="020B0604020202020204" pitchFamily="34" charset="-128"/>
                <a:ea typeface="Arial Unicode MS" panose="020B0604020202020204" pitchFamily="34" charset="-128"/>
                <a:cs typeface="Arial Unicode MS" panose="020B0604020202020204" pitchFamily="34" charset="-128"/>
              </a:defRPr>
            </a:pPr>
            <a:endParaRPr lang="en-US"/>
          </a:p>
        </c:txPr>
        <c:crossAx val="195813376"/>
        <c:crosses val="autoZero"/>
        <c:crossBetween val="between"/>
        <c:majorUnit val="1"/>
      </c:valAx>
      <c:spPr>
        <a:solidFill>
          <a:schemeClr val="bg1">
            <a:lumMod val="95000"/>
          </a:schemeClr>
        </a:solidFill>
        <a:ln>
          <a:solidFill>
            <a:schemeClr val="bg1">
              <a:lumMod val="85000"/>
            </a:schemeClr>
          </a:solidFill>
        </a:ln>
      </c:spPr>
    </c:plotArea>
    <c:legend>
      <c:legendPos val="t"/>
      <c:layout>
        <c:manualLayout>
          <c:xMode val="edge"/>
          <c:yMode val="edge"/>
          <c:x val="0.21002454344615964"/>
          <c:y val="0.12171930404656797"/>
          <c:w val="0.55777835895863714"/>
          <c:h val="0.10412079099446778"/>
        </c:manualLayout>
      </c:layout>
      <c:overlay val="0"/>
      <c:txPr>
        <a:bodyPr/>
        <a:lstStyle/>
        <a:p>
          <a:pPr>
            <a:defRPr sz="800">
              <a:latin typeface="Arial Unicode MS" panose="020B0604020202020204" pitchFamily="34" charset="-128"/>
              <a:ea typeface="Arial Unicode MS" panose="020B0604020202020204" pitchFamily="34" charset="-128"/>
              <a:cs typeface="Arial Unicode MS" panose="020B0604020202020204" pitchFamily="34" charset="-128"/>
            </a:defRPr>
          </a:pPr>
          <a:endParaRPr lang="en-US"/>
        </a:p>
      </c:txPr>
    </c:legend>
    <c:plotVisOnly val="1"/>
    <c:dispBlanksAs val="gap"/>
    <c:showDLblsOverMax val="0"/>
  </c:chart>
  <c:spPr>
    <a:ln>
      <a:solidFill>
        <a:schemeClr val="bg1">
          <a:lumMod val="65000"/>
        </a:scheme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latin typeface="Arial" panose="020B0604020202020204" pitchFamily="34" charset="0"/>
                <a:ea typeface="Arial Unicode MS" panose="020B0604020202020204" pitchFamily="34" charset="-128"/>
                <a:cs typeface="Arial" panose="020B0604020202020204" pitchFamily="34" charset="0"/>
              </a:defRPr>
            </a:pPr>
            <a:r>
              <a:rPr lang="en-GB" sz="800">
                <a:latin typeface="Arial" panose="020B0604020202020204" pitchFamily="34" charset="0"/>
                <a:ea typeface="Arial Unicode MS" panose="020B0604020202020204" pitchFamily="34" charset="-128"/>
                <a:cs typeface="Arial" panose="020B0604020202020204" pitchFamily="34" charset="0"/>
              </a:rPr>
              <a:t>No.3: Carbon Dioxide and Occupancy Levels (winter)</a:t>
            </a:r>
          </a:p>
        </c:rich>
      </c:tx>
      <c:layout>
        <c:manualLayout>
          <c:xMode val="edge"/>
          <c:yMode val="edge"/>
          <c:x val="0.28449256342957208"/>
          <c:y val="2.2987060827922894E-2"/>
        </c:manualLayout>
      </c:layout>
      <c:overlay val="0"/>
    </c:title>
    <c:autoTitleDeleted val="0"/>
    <c:plotArea>
      <c:layout>
        <c:manualLayout>
          <c:layoutTarget val="inner"/>
          <c:xMode val="edge"/>
          <c:yMode val="edge"/>
          <c:x val="9.4399858671512224E-2"/>
          <c:y val="0.12488787002890461"/>
          <c:w val="0.83306009825694849"/>
          <c:h val="0.5976282812174365"/>
        </c:manualLayout>
      </c:layout>
      <c:barChart>
        <c:barDir val="col"/>
        <c:grouping val="stacked"/>
        <c:varyColors val="0"/>
        <c:ser>
          <c:idx val="1"/>
          <c:order val="1"/>
          <c:tx>
            <c:strRef>
              <c:f>'carbon dioxide occupancy'!$F$1</c:f>
              <c:strCache>
                <c:ptCount val="1"/>
                <c:pt idx="0">
                  <c:v>Occupancy Levels in Measurement room</c:v>
                </c:pt>
              </c:strCache>
            </c:strRef>
          </c:tx>
          <c:invertIfNegative val="0"/>
          <c:cat>
            <c:numRef>
              <c:f>'carbon dioxide occupancy'!$C$2:$C$302</c:f>
              <c:numCache>
                <c:formatCode>hh:mm</c:formatCode>
                <c:ptCount val="301"/>
                <c:pt idx="0">
                  <c:v>0.72983796296295822</c:v>
                </c:pt>
                <c:pt idx="1">
                  <c:v>0.7331944444444507</c:v>
                </c:pt>
                <c:pt idx="2">
                  <c:v>0.73655092592592053</c:v>
                </c:pt>
                <c:pt idx="3">
                  <c:v>0.7399074074074129</c:v>
                </c:pt>
                <c:pt idx="4">
                  <c:v>0.74326388888888895</c:v>
                </c:pt>
                <c:pt idx="5">
                  <c:v>0.74663194444445058</c:v>
                </c:pt>
                <c:pt idx="6">
                  <c:v>0.74998842592592552</c:v>
                </c:pt>
                <c:pt idx="7">
                  <c:v>0.75334490740741278</c:v>
                </c:pt>
                <c:pt idx="8">
                  <c:v>0.75670138888889493</c:v>
                </c:pt>
                <c:pt idx="9">
                  <c:v>0.76005787037037886</c:v>
                </c:pt>
                <c:pt idx="10">
                  <c:v>0.76341435185185158</c:v>
                </c:pt>
                <c:pt idx="11">
                  <c:v>0.76678240740741221</c:v>
                </c:pt>
                <c:pt idx="12">
                  <c:v>0.77013888888889503</c:v>
                </c:pt>
                <c:pt idx="13">
                  <c:v>0.77349537037037874</c:v>
                </c:pt>
                <c:pt idx="14">
                  <c:v>0.77685185185185723</c:v>
                </c:pt>
                <c:pt idx="15">
                  <c:v>0.78020833333333361</c:v>
                </c:pt>
                <c:pt idx="16">
                  <c:v>0.78356481481481488</c:v>
                </c:pt>
                <c:pt idx="17">
                  <c:v>0.78693287037037063</c:v>
                </c:pt>
                <c:pt idx="18">
                  <c:v>0.79028935185185156</c:v>
                </c:pt>
                <c:pt idx="19">
                  <c:v>0.79364583333334404</c:v>
                </c:pt>
                <c:pt idx="20">
                  <c:v>0.79700231481481476</c:v>
                </c:pt>
                <c:pt idx="21">
                  <c:v>0.80035879629629625</c:v>
                </c:pt>
                <c:pt idx="22">
                  <c:v>0.80371527777777774</c:v>
                </c:pt>
                <c:pt idx="23">
                  <c:v>0.8070833333333336</c:v>
                </c:pt>
                <c:pt idx="24">
                  <c:v>0.81043981481481564</c:v>
                </c:pt>
                <c:pt idx="25">
                  <c:v>0.81379629629630179</c:v>
                </c:pt>
                <c:pt idx="26">
                  <c:v>0.81715277777777751</c:v>
                </c:pt>
                <c:pt idx="27">
                  <c:v>0.82050925925925933</c:v>
                </c:pt>
                <c:pt idx="28">
                  <c:v>0.82386574074074059</c:v>
                </c:pt>
                <c:pt idx="29">
                  <c:v>0.82723379629629623</c:v>
                </c:pt>
                <c:pt idx="30">
                  <c:v>0.83059027777777772</c:v>
                </c:pt>
                <c:pt idx="31">
                  <c:v>0.83394675925925921</c:v>
                </c:pt>
                <c:pt idx="32">
                  <c:v>0.83730324074074058</c:v>
                </c:pt>
                <c:pt idx="33">
                  <c:v>0.84065972222222263</c:v>
                </c:pt>
                <c:pt idx="34">
                  <c:v>0.84401620370370367</c:v>
                </c:pt>
                <c:pt idx="35">
                  <c:v>0.8473726851851856</c:v>
                </c:pt>
                <c:pt idx="36">
                  <c:v>0.8507407407407408</c:v>
                </c:pt>
                <c:pt idx="37">
                  <c:v>0.85409722222222262</c:v>
                </c:pt>
                <c:pt idx="38">
                  <c:v>0.85745370370370377</c:v>
                </c:pt>
                <c:pt idx="39">
                  <c:v>0.86081018518518571</c:v>
                </c:pt>
                <c:pt idx="40">
                  <c:v>0.86416666666666653</c:v>
                </c:pt>
                <c:pt idx="41">
                  <c:v>0.86752314814814813</c:v>
                </c:pt>
                <c:pt idx="42">
                  <c:v>0.8708912037037122</c:v>
                </c:pt>
                <c:pt idx="43">
                  <c:v>0.87424768518519125</c:v>
                </c:pt>
                <c:pt idx="44">
                  <c:v>0.87760416666666663</c:v>
                </c:pt>
                <c:pt idx="45">
                  <c:v>0.88096064814814812</c:v>
                </c:pt>
                <c:pt idx="46">
                  <c:v>0.8843171296296225</c:v>
                </c:pt>
                <c:pt idx="47">
                  <c:v>0.88767361111111165</c:v>
                </c:pt>
                <c:pt idx="48">
                  <c:v>0.89104166666666673</c:v>
                </c:pt>
                <c:pt idx="49">
                  <c:v>0.89439814814814822</c:v>
                </c:pt>
                <c:pt idx="50">
                  <c:v>0.8977546296296296</c:v>
                </c:pt>
                <c:pt idx="51">
                  <c:v>0.90111111111111108</c:v>
                </c:pt>
                <c:pt idx="52">
                  <c:v>0.90446759259259268</c:v>
                </c:pt>
                <c:pt idx="53">
                  <c:v>0.90782407407408128</c:v>
                </c:pt>
                <c:pt idx="54">
                  <c:v>0.91119212962962959</c:v>
                </c:pt>
                <c:pt idx="55">
                  <c:v>0.91454861111111163</c:v>
                </c:pt>
                <c:pt idx="56">
                  <c:v>0.91790509259260178</c:v>
                </c:pt>
                <c:pt idx="57">
                  <c:v>0.92126157407407405</c:v>
                </c:pt>
                <c:pt idx="58">
                  <c:v>0.92461805555555565</c:v>
                </c:pt>
                <c:pt idx="59">
                  <c:v>0.92797453703703703</c:v>
                </c:pt>
                <c:pt idx="60">
                  <c:v>0.93134259259259744</c:v>
                </c:pt>
                <c:pt idx="61">
                  <c:v>0.93469907407408492</c:v>
                </c:pt>
                <c:pt idx="62">
                  <c:v>0.93805555555555564</c:v>
                </c:pt>
                <c:pt idx="63">
                  <c:v>0.94141203703703658</c:v>
                </c:pt>
                <c:pt idx="64">
                  <c:v>0.94476851851852572</c:v>
                </c:pt>
                <c:pt idx="65">
                  <c:v>0.94812500000000477</c:v>
                </c:pt>
                <c:pt idx="66">
                  <c:v>0.95148148148148171</c:v>
                </c:pt>
                <c:pt idx="67">
                  <c:v>0.95484953703704234</c:v>
                </c:pt>
                <c:pt idx="68">
                  <c:v>0.95820601851852472</c:v>
                </c:pt>
                <c:pt idx="69">
                  <c:v>0.96156249999999499</c:v>
                </c:pt>
                <c:pt idx="70">
                  <c:v>0.9649189814814817</c:v>
                </c:pt>
                <c:pt idx="71">
                  <c:v>0.96827546296296296</c:v>
                </c:pt>
                <c:pt idx="72">
                  <c:v>0.97163194444444989</c:v>
                </c:pt>
                <c:pt idx="73">
                  <c:v>0.97500000000000064</c:v>
                </c:pt>
                <c:pt idx="74">
                  <c:v>0.97835648148148169</c:v>
                </c:pt>
                <c:pt idx="75">
                  <c:v>0.98171296296295207</c:v>
                </c:pt>
                <c:pt idx="76">
                  <c:v>0.98506944444444444</c:v>
                </c:pt>
                <c:pt idx="77">
                  <c:v>0.98842592592591882</c:v>
                </c:pt>
                <c:pt idx="78">
                  <c:v>0.99178240740740742</c:v>
                </c:pt>
                <c:pt idx="79">
                  <c:v>0.99515046296295673</c:v>
                </c:pt>
                <c:pt idx="80">
                  <c:v>0.99850694444443966</c:v>
                </c:pt>
                <c:pt idx="81">
                  <c:v>1.8634259259259413E-3</c:v>
                </c:pt>
                <c:pt idx="82">
                  <c:v>5.2199074074074083E-3</c:v>
                </c:pt>
                <c:pt idx="83">
                  <c:v>8.5763888888890083E-3</c:v>
                </c:pt>
                <c:pt idx="84">
                  <c:v>1.1932870370370484E-2</c:v>
                </c:pt>
                <c:pt idx="85">
                  <c:v>1.5300925925925931E-2</c:v>
                </c:pt>
                <c:pt idx="86">
                  <c:v>1.8657407407407421E-2</c:v>
                </c:pt>
                <c:pt idx="87">
                  <c:v>2.2013888888888892E-2</c:v>
                </c:pt>
                <c:pt idx="88">
                  <c:v>2.5370370370370654E-2</c:v>
                </c:pt>
                <c:pt idx="89">
                  <c:v>2.8726851851851583E-2</c:v>
                </c:pt>
                <c:pt idx="90">
                  <c:v>3.2083333333333415E-2</c:v>
                </c:pt>
                <c:pt idx="91">
                  <c:v>3.5451388888888886E-2</c:v>
                </c:pt>
                <c:pt idx="92">
                  <c:v>3.8807870370370749E-2</c:v>
                </c:pt>
                <c:pt idx="93">
                  <c:v>4.2164351851852022E-2</c:v>
                </c:pt>
                <c:pt idx="94">
                  <c:v>4.5520833333333413E-2</c:v>
                </c:pt>
                <c:pt idx="95">
                  <c:v>4.8877314814814832E-2</c:v>
                </c:pt>
                <c:pt idx="96">
                  <c:v>5.2233796296296514E-2</c:v>
                </c:pt>
                <c:pt idx="97">
                  <c:v>5.5601851851851881E-2</c:v>
                </c:pt>
                <c:pt idx="98">
                  <c:v>5.8958333333333432E-2</c:v>
                </c:pt>
                <c:pt idx="99">
                  <c:v>6.2314814814815662E-2</c:v>
                </c:pt>
                <c:pt idx="100">
                  <c:v>6.5671296296296311E-2</c:v>
                </c:pt>
                <c:pt idx="101">
                  <c:v>6.9027777777777799E-2</c:v>
                </c:pt>
                <c:pt idx="102">
                  <c:v>7.2384259259259329E-2</c:v>
                </c:pt>
                <c:pt idx="103">
                  <c:v>7.5740740740740733E-2</c:v>
                </c:pt>
                <c:pt idx="104">
                  <c:v>7.9108796296296524E-2</c:v>
                </c:pt>
                <c:pt idx="105">
                  <c:v>8.2465277777777693E-2</c:v>
                </c:pt>
                <c:pt idx="106">
                  <c:v>8.5821759259259264E-2</c:v>
                </c:pt>
                <c:pt idx="107">
                  <c:v>8.9178240740740752E-2</c:v>
                </c:pt>
                <c:pt idx="108">
                  <c:v>9.2534722222223267E-2</c:v>
                </c:pt>
                <c:pt idx="109">
                  <c:v>9.5891203703703701E-2</c:v>
                </c:pt>
                <c:pt idx="110">
                  <c:v>9.9259259259259297E-2</c:v>
                </c:pt>
                <c:pt idx="111">
                  <c:v>0.10261574074074163</c:v>
                </c:pt>
                <c:pt idx="112">
                  <c:v>0.10597222222222322</c:v>
                </c:pt>
                <c:pt idx="113">
                  <c:v>0.10932870370370369</c:v>
                </c:pt>
                <c:pt idx="114">
                  <c:v>0.11268518518518519</c:v>
                </c:pt>
                <c:pt idx="115">
                  <c:v>0.11604166666666667</c:v>
                </c:pt>
                <c:pt idx="116">
                  <c:v>0.11940972222222222</c:v>
                </c:pt>
                <c:pt idx="117">
                  <c:v>0.12276620370370499</c:v>
                </c:pt>
                <c:pt idx="118">
                  <c:v>0.12612268518518518</c:v>
                </c:pt>
                <c:pt idx="119">
                  <c:v>0.1294791666666667</c:v>
                </c:pt>
                <c:pt idx="120">
                  <c:v>0.13283564814814816</c:v>
                </c:pt>
                <c:pt idx="121">
                  <c:v>0.13619212962962965</c:v>
                </c:pt>
                <c:pt idx="122">
                  <c:v>0.13956018518518659</c:v>
                </c:pt>
                <c:pt idx="123">
                  <c:v>0.14291666666666691</c:v>
                </c:pt>
                <c:pt idx="124">
                  <c:v>0.14627314814814821</c:v>
                </c:pt>
                <c:pt idx="125">
                  <c:v>0.14962962962962917</c:v>
                </c:pt>
                <c:pt idx="126">
                  <c:v>0.15298611111111307</c:v>
                </c:pt>
                <c:pt idx="127">
                  <c:v>0.15634259259259514</c:v>
                </c:pt>
                <c:pt idx="128">
                  <c:v>0.15971064814814948</c:v>
                </c:pt>
                <c:pt idx="129">
                  <c:v>0.16306712962962963</c:v>
                </c:pt>
                <c:pt idx="130">
                  <c:v>0.1664236111111112</c:v>
                </c:pt>
                <c:pt idx="131">
                  <c:v>0.16978009259259477</c:v>
                </c:pt>
                <c:pt idx="132">
                  <c:v>0.1731365740740741</c:v>
                </c:pt>
                <c:pt idx="133">
                  <c:v>0.17649305555555594</c:v>
                </c:pt>
                <c:pt idx="134">
                  <c:v>0.17986111111111144</c:v>
                </c:pt>
                <c:pt idx="135">
                  <c:v>0.18321759259259551</c:v>
                </c:pt>
                <c:pt idx="136">
                  <c:v>0.18657407407407409</c:v>
                </c:pt>
                <c:pt idx="137">
                  <c:v>0.18993055555555571</c:v>
                </c:pt>
                <c:pt idx="138">
                  <c:v>0.19328703703703851</c:v>
                </c:pt>
                <c:pt idx="139">
                  <c:v>0.19664351851851722</c:v>
                </c:pt>
                <c:pt idx="140">
                  <c:v>0.2</c:v>
                </c:pt>
                <c:pt idx="141">
                  <c:v>0.20336805555555559</c:v>
                </c:pt>
                <c:pt idx="142">
                  <c:v>0.20672453703703741</c:v>
                </c:pt>
                <c:pt idx="143">
                  <c:v>0.21008101851851838</c:v>
                </c:pt>
                <c:pt idx="144">
                  <c:v>0.21343750000000128</c:v>
                </c:pt>
                <c:pt idx="145">
                  <c:v>0.21679398148148454</c:v>
                </c:pt>
                <c:pt idx="146">
                  <c:v>0.22015046296296295</c:v>
                </c:pt>
                <c:pt idx="147">
                  <c:v>0.22351851851851837</c:v>
                </c:pt>
                <c:pt idx="148">
                  <c:v>0.22687500000000002</c:v>
                </c:pt>
                <c:pt idx="149">
                  <c:v>0.2302314814814842</c:v>
                </c:pt>
                <c:pt idx="150">
                  <c:v>0.23358796296296294</c:v>
                </c:pt>
                <c:pt idx="151">
                  <c:v>0.23694444444444723</c:v>
                </c:pt>
                <c:pt idx="152">
                  <c:v>0.24030092592592592</c:v>
                </c:pt>
                <c:pt idx="153">
                  <c:v>0.24366898148148392</c:v>
                </c:pt>
                <c:pt idx="154">
                  <c:v>0.24702546296296488</c:v>
                </c:pt>
                <c:pt idx="155">
                  <c:v>0.250381944444447</c:v>
                </c:pt>
                <c:pt idx="156">
                  <c:v>0.25373842592592594</c:v>
                </c:pt>
                <c:pt idx="157">
                  <c:v>0.25709490740740742</c:v>
                </c:pt>
                <c:pt idx="158">
                  <c:v>0.26045138888888891</c:v>
                </c:pt>
                <c:pt idx="159">
                  <c:v>0.26381944444444488</c:v>
                </c:pt>
                <c:pt idx="160">
                  <c:v>0.26717592592592598</c:v>
                </c:pt>
                <c:pt idx="161">
                  <c:v>0.27053240740740742</c:v>
                </c:pt>
                <c:pt idx="162">
                  <c:v>0.27388888888889429</c:v>
                </c:pt>
                <c:pt idx="163">
                  <c:v>0.27724537037037039</c:v>
                </c:pt>
                <c:pt idx="164">
                  <c:v>0.28060185185185188</c:v>
                </c:pt>
                <c:pt idx="165">
                  <c:v>0.28396990740741046</c:v>
                </c:pt>
                <c:pt idx="166">
                  <c:v>0.28732638888889411</c:v>
                </c:pt>
                <c:pt idx="167">
                  <c:v>0.29068287037037466</c:v>
                </c:pt>
                <c:pt idx="168">
                  <c:v>0.29403935185185187</c:v>
                </c:pt>
                <c:pt idx="169">
                  <c:v>0.29739583333333336</c:v>
                </c:pt>
                <c:pt idx="170">
                  <c:v>0.30075231481481751</c:v>
                </c:pt>
                <c:pt idx="171">
                  <c:v>0.30410879629629867</c:v>
                </c:pt>
                <c:pt idx="172">
                  <c:v>0.30747685185185719</c:v>
                </c:pt>
                <c:pt idx="173">
                  <c:v>0.31083333333333335</c:v>
                </c:pt>
                <c:pt idx="174">
                  <c:v>0.31418981481481983</c:v>
                </c:pt>
                <c:pt idx="175">
                  <c:v>0.31754629629629638</c:v>
                </c:pt>
                <c:pt idx="176">
                  <c:v>0.32090277777778403</c:v>
                </c:pt>
                <c:pt idx="177">
                  <c:v>0.32425925925926236</c:v>
                </c:pt>
                <c:pt idx="178">
                  <c:v>0.32762731481481916</c:v>
                </c:pt>
                <c:pt idx="179">
                  <c:v>0.33098379629630054</c:v>
                </c:pt>
                <c:pt idx="180">
                  <c:v>0.33434027777778319</c:v>
                </c:pt>
                <c:pt idx="181">
                  <c:v>0.33769675925926468</c:v>
                </c:pt>
                <c:pt idx="182">
                  <c:v>0.34105324074074078</c:v>
                </c:pt>
                <c:pt idx="183">
                  <c:v>0.34440972222222238</c:v>
                </c:pt>
                <c:pt idx="184">
                  <c:v>0.34777777777778085</c:v>
                </c:pt>
                <c:pt idx="185">
                  <c:v>0.35113425925926195</c:v>
                </c:pt>
                <c:pt idx="186">
                  <c:v>0.35449074074074088</c:v>
                </c:pt>
                <c:pt idx="187">
                  <c:v>0.35784722222222232</c:v>
                </c:pt>
                <c:pt idx="188">
                  <c:v>0.3612037037037038</c:v>
                </c:pt>
                <c:pt idx="189">
                  <c:v>0.36456018518518801</c:v>
                </c:pt>
                <c:pt idx="190">
                  <c:v>0.36792824074074493</c:v>
                </c:pt>
                <c:pt idx="191">
                  <c:v>0.37128472222222575</c:v>
                </c:pt>
                <c:pt idx="192">
                  <c:v>0.37464120370370368</c:v>
                </c:pt>
                <c:pt idx="193">
                  <c:v>0.37799768518518789</c:v>
                </c:pt>
                <c:pt idx="194">
                  <c:v>0.38135416666667094</c:v>
                </c:pt>
                <c:pt idx="195">
                  <c:v>0.38471064814814832</c:v>
                </c:pt>
                <c:pt idx="196">
                  <c:v>0.388078703703709</c:v>
                </c:pt>
                <c:pt idx="197">
                  <c:v>0.39143518518518688</c:v>
                </c:pt>
                <c:pt idx="198">
                  <c:v>0.39479166666666682</c:v>
                </c:pt>
                <c:pt idx="199">
                  <c:v>0.39814814814814831</c:v>
                </c:pt>
                <c:pt idx="200">
                  <c:v>0.40150462962963274</c:v>
                </c:pt>
                <c:pt idx="201">
                  <c:v>0.40486111111111112</c:v>
                </c:pt>
                <c:pt idx="202">
                  <c:v>0.40822916666666681</c:v>
                </c:pt>
                <c:pt idx="203">
                  <c:v>0.4115856481481483</c:v>
                </c:pt>
                <c:pt idx="204">
                  <c:v>0.41494212962963234</c:v>
                </c:pt>
                <c:pt idx="205">
                  <c:v>0.41829861111111111</c:v>
                </c:pt>
                <c:pt idx="206">
                  <c:v>0.4216550925925926</c:v>
                </c:pt>
                <c:pt idx="207">
                  <c:v>0.42501157407407758</c:v>
                </c:pt>
                <c:pt idx="208">
                  <c:v>0.42836805555555857</c:v>
                </c:pt>
                <c:pt idx="209">
                  <c:v>0.4317361111111111</c:v>
                </c:pt>
                <c:pt idx="210">
                  <c:v>0.43509259259259281</c:v>
                </c:pt>
                <c:pt idx="211">
                  <c:v>0.43844907407407713</c:v>
                </c:pt>
                <c:pt idx="212">
                  <c:v>0.44180555555555556</c:v>
                </c:pt>
                <c:pt idx="213">
                  <c:v>0.44516203703703705</c:v>
                </c:pt>
                <c:pt idx="214">
                  <c:v>0.44851851851851854</c:v>
                </c:pt>
                <c:pt idx="215">
                  <c:v>0.45188657407407939</c:v>
                </c:pt>
                <c:pt idx="216">
                  <c:v>0.45524305555555317</c:v>
                </c:pt>
                <c:pt idx="217">
                  <c:v>0.45859953703703704</c:v>
                </c:pt>
                <c:pt idx="218">
                  <c:v>0.46195601851851853</c:v>
                </c:pt>
                <c:pt idx="219">
                  <c:v>0.46531250000000307</c:v>
                </c:pt>
                <c:pt idx="220">
                  <c:v>0.46866898148148417</c:v>
                </c:pt>
                <c:pt idx="221">
                  <c:v>0.47203703703703703</c:v>
                </c:pt>
                <c:pt idx="222">
                  <c:v>0.47539351851851824</c:v>
                </c:pt>
                <c:pt idx="223">
                  <c:v>0.47875000000000001</c:v>
                </c:pt>
                <c:pt idx="224">
                  <c:v>0.48210648148148288</c:v>
                </c:pt>
                <c:pt idx="225">
                  <c:v>0.48546296296296992</c:v>
                </c:pt>
                <c:pt idx="226">
                  <c:v>0.48881944444444803</c:v>
                </c:pt>
                <c:pt idx="227">
                  <c:v>0.49218750000000239</c:v>
                </c:pt>
                <c:pt idx="228">
                  <c:v>0.49554398148148182</c:v>
                </c:pt>
                <c:pt idx="229">
                  <c:v>0.49890046296296869</c:v>
                </c:pt>
                <c:pt idx="230">
                  <c:v>0.50225694444444446</c:v>
                </c:pt>
                <c:pt idx="231">
                  <c:v>0.50561342592591985</c:v>
                </c:pt>
                <c:pt idx="232">
                  <c:v>0.5089814814814817</c:v>
                </c:pt>
                <c:pt idx="233">
                  <c:v>0.5123379629629522</c:v>
                </c:pt>
                <c:pt idx="234">
                  <c:v>0.5156944444444499</c:v>
                </c:pt>
                <c:pt idx="235">
                  <c:v>0.51906249999999465</c:v>
                </c:pt>
                <c:pt idx="236">
                  <c:v>0.52241898148148147</c:v>
                </c:pt>
                <c:pt idx="237">
                  <c:v>0.52577546296296296</c:v>
                </c:pt>
                <c:pt idx="238">
                  <c:v>0.52913194444444445</c:v>
                </c:pt>
                <c:pt idx="239">
                  <c:v>0.53249999999999997</c:v>
                </c:pt>
                <c:pt idx="240">
                  <c:v>0.53585648148148168</c:v>
                </c:pt>
                <c:pt idx="241">
                  <c:v>0.53921296296295207</c:v>
                </c:pt>
                <c:pt idx="242">
                  <c:v>0.54256944444444444</c:v>
                </c:pt>
                <c:pt idx="243">
                  <c:v>0.54592592592592559</c:v>
                </c:pt>
                <c:pt idx="244">
                  <c:v>0.54928240740740741</c:v>
                </c:pt>
                <c:pt idx="245">
                  <c:v>0.5526504629629625</c:v>
                </c:pt>
                <c:pt idx="246">
                  <c:v>0.55600694444444443</c:v>
                </c:pt>
                <c:pt idx="247">
                  <c:v>0.5593634259259187</c:v>
                </c:pt>
                <c:pt idx="248">
                  <c:v>0.56271990740740763</c:v>
                </c:pt>
                <c:pt idx="249">
                  <c:v>0.56607638888888889</c:v>
                </c:pt>
                <c:pt idx="250">
                  <c:v>0.5694328703703706</c:v>
                </c:pt>
                <c:pt idx="251">
                  <c:v>0.57280092592592557</c:v>
                </c:pt>
                <c:pt idx="252">
                  <c:v>0.57615740740740762</c:v>
                </c:pt>
                <c:pt idx="253">
                  <c:v>0.57951388888888888</c:v>
                </c:pt>
                <c:pt idx="254">
                  <c:v>0.58287037037037071</c:v>
                </c:pt>
                <c:pt idx="255">
                  <c:v>0.58622685185184642</c:v>
                </c:pt>
                <c:pt idx="256">
                  <c:v>0.58958333333333257</c:v>
                </c:pt>
                <c:pt idx="257">
                  <c:v>0.59295138888888888</c:v>
                </c:pt>
                <c:pt idx="258">
                  <c:v>0.5963078703703707</c:v>
                </c:pt>
                <c:pt idx="259">
                  <c:v>0.59966435185184586</c:v>
                </c:pt>
                <c:pt idx="260">
                  <c:v>0.60302083333334378</c:v>
                </c:pt>
                <c:pt idx="261">
                  <c:v>0.60637731481481483</c:v>
                </c:pt>
                <c:pt idx="262">
                  <c:v>0.60973379629629665</c:v>
                </c:pt>
                <c:pt idx="263">
                  <c:v>0.61310185185185184</c:v>
                </c:pt>
                <c:pt idx="264">
                  <c:v>0.6164583333333381</c:v>
                </c:pt>
                <c:pt idx="265">
                  <c:v>0.61981481481482092</c:v>
                </c:pt>
                <c:pt idx="266">
                  <c:v>0.62317129629630486</c:v>
                </c:pt>
                <c:pt idx="267">
                  <c:v>0.62652777777777779</c:v>
                </c:pt>
                <c:pt idx="268">
                  <c:v>0.62988425925925962</c:v>
                </c:pt>
                <c:pt idx="269">
                  <c:v>0.63324074074074077</c:v>
                </c:pt>
                <c:pt idx="270">
                  <c:v>0.63660879629630363</c:v>
                </c:pt>
                <c:pt idx="271">
                  <c:v>0.63996527777778311</c:v>
                </c:pt>
                <c:pt idx="272">
                  <c:v>0.64332175925925961</c:v>
                </c:pt>
                <c:pt idx="273">
                  <c:v>0.64667824074074165</c:v>
                </c:pt>
                <c:pt idx="274">
                  <c:v>0.65003472222222225</c:v>
                </c:pt>
                <c:pt idx="275">
                  <c:v>0.65339120370371084</c:v>
                </c:pt>
                <c:pt idx="276">
                  <c:v>0.65675925925926548</c:v>
                </c:pt>
                <c:pt idx="277">
                  <c:v>0.66011574074074053</c:v>
                </c:pt>
                <c:pt idx="278">
                  <c:v>0.66347222222222224</c:v>
                </c:pt>
                <c:pt idx="279">
                  <c:v>0.66682870370371072</c:v>
                </c:pt>
                <c:pt idx="280">
                  <c:v>0.67018518518518988</c:v>
                </c:pt>
                <c:pt idx="281">
                  <c:v>0.67354166666667492</c:v>
                </c:pt>
                <c:pt idx="282">
                  <c:v>0.67690972222222756</c:v>
                </c:pt>
                <c:pt idx="283">
                  <c:v>0.6802662037037035</c:v>
                </c:pt>
                <c:pt idx="284">
                  <c:v>0.68362268518518565</c:v>
                </c:pt>
                <c:pt idx="285">
                  <c:v>0.6869791666666667</c:v>
                </c:pt>
                <c:pt idx="286">
                  <c:v>0.69033564814814863</c:v>
                </c:pt>
                <c:pt idx="287">
                  <c:v>0.69369212962962967</c:v>
                </c:pt>
                <c:pt idx="288">
                  <c:v>0.69706018518518509</c:v>
                </c:pt>
                <c:pt idx="289">
                  <c:v>0.70041666666666658</c:v>
                </c:pt>
                <c:pt idx="290">
                  <c:v>0.70377314814814862</c:v>
                </c:pt>
                <c:pt idx="291">
                  <c:v>0.70712962962963433</c:v>
                </c:pt>
                <c:pt idx="292">
                  <c:v>0.71048611111111049</c:v>
                </c:pt>
                <c:pt idx="293">
                  <c:v>0.71384259259260063</c:v>
                </c:pt>
                <c:pt idx="294">
                  <c:v>0.71721064814814861</c:v>
                </c:pt>
                <c:pt idx="295">
                  <c:v>0.72056712962962477</c:v>
                </c:pt>
                <c:pt idx="296">
                  <c:v>0.72392361111111725</c:v>
                </c:pt>
                <c:pt idx="297">
                  <c:v>0.72728009259259974</c:v>
                </c:pt>
                <c:pt idx="298">
                  <c:v>0.73063657407407945</c:v>
                </c:pt>
                <c:pt idx="299">
                  <c:v>0.73399305555556171</c:v>
                </c:pt>
                <c:pt idx="300">
                  <c:v>0.73734953703703765</c:v>
                </c:pt>
              </c:numCache>
            </c:numRef>
          </c:cat>
          <c:val>
            <c:numRef>
              <c:f>'carbon dioxide occupancy'!$F$2:$F$302</c:f>
              <c:numCache>
                <c:formatCode>General</c:formatCode>
                <c:ptCount val="301"/>
                <c:pt idx="0">
                  <c:v>4</c:v>
                </c:pt>
                <c:pt idx="1">
                  <c:v>4</c:v>
                </c:pt>
                <c:pt idx="2">
                  <c:v>4</c:v>
                </c:pt>
                <c:pt idx="3">
                  <c:v>4</c:v>
                </c:pt>
                <c:pt idx="4">
                  <c:v>4</c:v>
                </c:pt>
                <c:pt idx="5">
                  <c:v>4</c:v>
                </c:pt>
                <c:pt idx="6">
                  <c:v>4</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pt idx="28">
                  <c:v>3</c:v>
                </c:pt>
                <c:pt idx="29">
                  <c:v>3</c:v>
                </c:pt>
                <c:pt idx="30">
                  <c:v>3</c:v>
                </c:pt>
                <c:pt idx="31">
                  <c:v>1</c:v>
                </c:pt>
                <c:pt idx="32">
                  <c:v>1</c:v>
                </c:pt>
                <c:pt idx="33">
                  <c:v>1</c:v>
                </c:pt>
                <c:pt idx="34">
                  <c:v>1</c:v>
                </c:pt>
                <c:pt idx="35">
                  <c:v>1</c:v>
                </c:pt>
                <c:pt idx="36">
                  <c:v>1</c:v>
                </c:pt>
                <c:pt idx="37">
                  <c:v>1</c:v>
                </c:pt>
                <c:pt idx="38">
                  <c:v>1</c:v>
                </c:pt>
                <c:pt idx="39">
                  <c:v>1</c:v>
                </c:pt>
                <c:pt idx="40">
                  <c:v>1</c:v>
                </c:pt>
                <c:pt idx="41">
                  <c:v>1</c:v>
                </c:pt>
                <c:pt idx="42">
                  <c:v>1</c:v>
                </c:pt>
                <c:pt idx="43">
                  <c:v>1</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1</c:v>
                </c:pt>
                <c:pt idx="169">
                  <c:v>1</c:v>
                </c:pt>
                <c:pt idx="170">
                  <c:v>1</c:v>
                </c:pt>
                <c:pt idx="171">
                  <c:v>1</c:v>
                </c:pt>
                <c:pt idx="172">
                  <c:v>1</c:v>
                </c:pt>
                <c:pt idx="173">
                  <c:v>1</c:v>
                </c:pt>
                <c:pt idx="174">
                  <c:v>1</c:v>
                </c:pt>
                <c:pt idx="175">
                  <c:v>1</c:v>
                </c:pt>
                <c:pt idx="176">
                  <c:v>1</c:v>
                </c:pt>
                <c:pt idx="177">
                  <c:v>1</c:v>
                </c:pt>
                <c:pt idx="178">
                  <c:v>1</c:v>
                </c:pt>
                <c:pt idx="179">
                  <c:v>1</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2</c:v>
                </c:pt>
                <c:pt idx="194">
                  <c:v>2</c:v>
                </c:pt>
                <c:pt idx="195">
                  <c:v>2</c:v>
                </c:pt>
                <c:pt idx="196">
                  <c:v>2</c:v>
                </c:pt>
                <c:pt idx="197">
                  <c:v>2</c:v>
                </c:pt>
                <c:pt idx="198">
                  <c:v>2</c:v>
                </c:pt>
                <c:pt idx="199">
                  <c:v>2</c:v>
                </c:pt>
                <c:pt idx="200">
                  <c:v>2</c:v>
                </c:pt>
                <c:pt idx="201">
                  <c:v>2</c:v>
                </c:pt>
                <c:pt idx="202">
                  <c:v>2</c:v>
                </c:pt>
                <c:pt idx="203">
                  <c:v>2</c:v>
                </c:pt>
                <c:pt idx="204">
                  <c:v>2</c:v>
                </c:pt>
                <c:pt idx="205">
                  <c:v>2</c:v>
                </c:pt>
                <c:pt idx="206">
                  <c:v>2</c:v>
                </c:pt>
                <c:pt idx="207">
                  <c:v>2</c:v>
                </c:pt>
                <c:pt idx="208">
                  <c:v>2</c:v>
                </c:pt>
                <c:pt idx="209">
                  <c:v>2</c:v>
                </c:pt>
                <c:pt idx="210">
                  <c:v>2</c:v>
                </c:pt>
                <c:pt idx="211">
                  <c:v>2</c:v>
                </c:pt>
                <c:pt idx="212">
                  <c:v>2</c:v>
                </c:pt>
                <c:pt idx="213">
                  <c:v>2</c:v>
                </c:pt>
                <c:pt idx="214">
                  <c:v>2</c:v>
                </c:pt>
                <c:pt idx="215">
                  <c:v>2</c:v>
                </c:pt>
                <c:pt idx="216">
                  <c:v>2</c:v>
                </c:pt>
                <c:pt idx="217">
                  <c:v>3</c:v>
                </c:pt>
                <c:pt idx="218">
                  <c:v>3</c:v>
                </c:pt>
                <c:pt idx="219">
                  <c:v>3</c:v>
                </c:pt>
                <c:pt idx="220">
                  <c:v>3</c:v>
                </c:pt>
                <c:pt idx="221">
                  <c:v>3</c:v>
                </c:pt>
                <c:pt idx="222">
                  <c:v>3</c:v>
                </c:pt>
                <c:pt idx="223">
                  <c:v>3</c:v>
                </c:pt>
                <c:pt idx="224">
                  <c:v>3</c:v>
                </c:pt>
                <c:pt idx="225">
                  <c:v>3</c:v>
                </c:pt>
                <c:pt idx="226">
                  <c:v>3</c:v>
                </c:pt>
                <c:pt idx="227">
                  <c:v>3</c:v>
                </c:pt>
                <c:pt idx="228">
                  <c:v>3</c:v>
                </c:pt>
                <c:pt idx="229">
                  <c:v>3</c:v>
                </c:pt>
                <c:pt idx="230">
                  <c:v>3</c:v>
                </c:pt>
                <c:pt idx="231">
                  <c:v>3</c:v>
                </c:pt>
                <c:pt idx="232">
                  <c:v>3</c:v>
                </c:pt>
                <c:pt idx="233">
                  <c:v>3</c:v>
                </c:pt>
                <c:pt idx="234">
                  <c:v>3</c:v>
                </c:pt>
                <c:pt idx="235">
                  <c:v>3</c:v>
                </c:pt>
                <c:pt idx="236">
                  <c:v>3</c:v>
                </c:pt>
                <c:pt idx="237">
                  <c:v>3</c:v>
                </c:pt>
                <c:pt idx="238">
                  <c:v>3</c:v>
                </c:pt>
                <c:pt idx="239">
                  <c:v>3</c:v>
                </c:pt>
                <c:pt idx="240">
                  <c:v>3</c:v>
                </c:pt>
                <c:pt idx="241">
                  <c:v>3</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3</c:v>
                </c:pt>
                <c:pt idx="268">
                  <c:v>3</c:v>
                </c:pt>
                <c:pt idx="269">
                  <c:v>3</c:v>
                </c:pt>
                <c:pt idx="270">
                  <c:v>3</c:v>
                </c:pt>
                <c:pt idx="271">
                  <c:v>3</c:v>
                </c:pt>
                <c:pt idx="272">
                  <c:v>3</c:v>
                </c:pt>
                <c:pt idx="273">
                  <c:v>3</c:v>
                </c:pt>
                <c:pt idx="274">
                  <c:v>3</c:v>
                </c:pt>
                <c:pt idx="275">
                  <c:v>3</c:v>
                </c:pt>
                <c:pt idx="276">
                  <c:v>3</c:v>
                </c:pt>
                <c:pt idx="277">
                  <c:v>3</c:v>
                </c:pt>
                <c:pt idx="278">
                  <c:v>3</c:v>
                </c:pt>
                <c:pt idx="279">
                  <c:v>2</c:v>
                </c:pt>
                <c:pt idx="280">
                  <c:v>2</c:v>
                </c:pt>
                <c:pt idx="281">
                  <c:v>2</c:v>
                </c:pt>
                <c:pt idx="282">
                  <c:v>2</c:v>
                </c:pt>
                <c:pt idx="283">
                  <c:v>2</c:v>
                </c:pt>
                <c:pt idx="284">
                  <c:v>2</c:v>
                </c:pt>
                <c:pt idx="285">
                  <c:v>2</c:v>
                </c:pt>
                <c:pt idx="286">
                  <c:v>2</c:v>
                </c:pt>
                <c:pt idx="287">
                  <c:v>2</c:v>
                </c:pt>
                <c:pt idx="288">
                  <c:v>2</c:v>
                </c:pt>
                <c:pt idx="289">
                  <c:v>2</c:v>
                </c:pt>
                <c:pt idx="290">
                  <c:v>2</c:v>
                </c:pt>
                <c:pt idx="291">
                  <c:v>2</c:v>
                </c:pt>
                <c:pt idx="292">
                  <c:v>3</c:v>
                </c:pt>
                <c:pt idx="293">
                  <c:v>3</c:v>
                </c:pt>
                <c:pt idx="294">
                  <c:v>3</c:v>
                </c:pt>
                <c:pt idx="295">
                  <c:v>3</c:v>
                </c:pt>
                <c:pt idx="296">
                  <c:v>3</c:v>
                </c:pt>
                <c:pt idx="297">
                  <c:v>3</c:v>
                </c:pt>
                <c:pt idx="298">
                  <c:v>3</c:v>
                </c:pt>
                <c:pt idx="299">
                  <c:v>3</c:v>
                </c:pt>
                <c:pt idx="300">
                  <c:v>3</c:v>
                </c:pt>
              </c:numCache>
            </c:numRef>
          </c:val>
        </c:ser>
        <c:dLbls>
          <c:showLegendKey val="0"/>
          <c:showVal val="0"/>
          <c:showCatName val="0"/>
          <c:showSerName val="0"/>
          <c:showPercent val="0"/>
          <c:showBubbleSize val="0"/>
        </c:dLbls>
        <c:gapWidth val="0"/>
        <c:overlap val="100"/>
        <c:axId val="201988352"/>
        <c:axId val="201986432"/>
      </c:barChart>
      <c:lineChart>
        <c:grouping val="standard"/>
        <c:varyColors val="0"/>
        <c:ser>
          <c:idx val="0"/>
          <c:order val="0"/>
          <c:tx>
            <c:strRef>
              <c:f>'carbon dioxide occupancy'!$D$1</c:f>
              <c:strCache>
                <c:ptCount val="1"/>
                <c:pt idx="0">
                  <c:v>Carbon Dioxide</c:v>
                </c:pt>
              </c:strCache>
            </c:strRef>
          </c:tx>
          <c:spPr>
            <a:ln w="22225"/>
          </c:spPr>
          <c:marker>
            <c:symbol val="none"/>
          </c:marker>
          <c:cat>
            <c:numRef>
              <c:f>'carbon dioxide occupancy'!$C$2:$C$302</c:f>
              <c:numCache>
                <c:formatCode>hh:mm</c:formatCode>
                <c:ptCount val="301"/>
                <c:pt idx="0">
                  <c:v>0.72983796296295822</c:v>
                </c:pt>
                <c:pt idx="1">
                  <c:v>0.7331944444444507</c:v>
                </c:pt>
                <c:pt idx="2">
                  <c:v>0.73655092592592053</c:v>
                </c:pt>
                <c:pt idx="3">
                  <c:v>0.7399074074074129</c:v>
                </c:pt>
                <c:pt idx="4">
                  <c:v>0.74326388888888895</c:v>
                </c:pt>
                <c:pt idx="5">
                  <c:v>0.74663194444445058</c:v>
                </c:pt>
                <c:pt idx="6">
                  <c:v>0.74998842592592552</c:v>
                </c:pt>
                <c:pt idx="7">
                  <c:v>0.75334490740741278</c:v>
                </c:pt>
                <c:pt idx="8">
                  <c:v>0.75670138888889493</c:v>
                </c:pt>
                <c:pt idx="9">
                  <c:v>0.76005787037037886</c:v>
                </c:pt>
                <c:pt idx="10">
                  <c:v>0.76341435185185158</c:v>
                </c:pt>
                <c:pt idx="11">
                  <c:v>0.76678240740741221</c:v>
                </c:pt>
                <c:pt idx="12">
                  <c:v>0.77013888888889503</c:v>
                </c:pt>
                <c:pt idx="13">
                  <c:v>0.77349537037037874</c:v>
                </c:pt>
                <c:pt idx="14">
                  <c:v>0.77685185185185723</c:v>
                </c:pt>
                <c:pt idx="15">
                  <c:v>0.78020833333333361</c:v>
                </c:pt>
                <c:pt idx="16">
                  <c:v>0.78356481481481488</c:v>
                </c:pt>
                <c:pt idx="17">
                  <c:v>0.78693287037037063</c:v>
                </c:pt>
                <c:pt idx="18">
                  <c:v>0.79028935185185156</c:v>
                </c:pt>
                <c:pt idx="19">
                  <c:v>0.79364583333334404</c:v>
                </c:pt>
                <c:pt idx="20">
                  <c:v>0.79700231481481476</c:v>
                </c:pt>
                <c:pt idx="21">
                  <c:v>0.80035879629629625</c:v>
                </c:pt>
                <c:pt idx="22">
                  <c:v>0.80371527777777774</c:v>
                </c:pt>
                <c:pt idx="23">
                  <c:v>0.8070833333333336</c:v>
                </c:pt>
                <c:pt idx="24">
                  <c:v>0.81043981481481564</c:v>
                </c:pt>
                <c:pt idx="25">
                  <c:v>0.81379629629630179</c:v>
                </c:pt>
                <c:pt idx="26">
                  <c:v>0.81715277777777751</c:v>
                </c:pt>
                <c:pt idx="27">
                  <c:v>0.82050925925925933</c:v>
                </c:pt>
                <c:pt idx="28">
                  <c:v>0.82386574074074059</c:v>
                </c:pt>
                <c:pt idx="29">
                  <c:v>0.82723379629629623</c:v>
                </c:pt>
                <c:pt idx="30">
                  <c:v>0.83059027777777772</c:v>
                </c:pt>
                <c:pt idx="31">
                  <c:v>0.83394675925925921</c:v>
                </c:pt>
                <c:pt idx="32">
                  <c:v>0.83730324074074058</c:v>
                </c:pt>
                <c:pt idx="33">
                  <c:v>0.84065972222222263</c:v>
                </c:pt>
                <c:pt idx="34">
                  <c:v>0.84401620370370367</c:v>
                </c:pt>
                <c:pt idx="35">
                  <c:v>0.8473726851851856</c:v>
                </c:pt>
                <c:pt idx="36">
                  <c:v>0.8507407407407408</c:v>
                </c:pt>
                <c:pt idx="37">
                  <c:v>0.85409722222222262</c:v>
                </c:pt>
                <c:pt idx="38">
                  <c:v>0.85745370370370377</c:v>
                </c:pt>
                <c:pt idx="39">
                  <c:v>0.86081018518518571</c:v>
                </c:pt>
                <c:pt idx="40">
                  <c:v>0.86416666666666653</c:v>
                </c:pt>
                <c:pt idx="41">
                  <c:v>0.86752314814814813</c:v>
                </c:pt>
                <c:pt idx="42">
                  <c:v>0.8708912037037122</c:v>
                </c:pt>
                <c:pt idx="43">
                  <c:v>0.87424768518519125</c:v>
                </c:pt>
                <c:pt idx="44">
                  <c:v>0.87760416666666663</c:v>
                </c:pt>
                <c:pt idx="45">
                  <c:v>0.88096064814814812</c:v>
                </c:pt>
                <c:pt idx="46">
                  <c:v>0.8843171296296225</c:v>
                </c:pt>
                <c:pt idx="47">
                  <c:v>0.88767361111111165</c:v>
                </c:pt>
                <c:pt idx="48">
                  <c:v>0.89104166666666673</c:v>
                </c:pt>
                <c:pt idx="49">
                  <c:v>0.89439814814814822</c:v>
                </c:pt>
                <c:pt idx="50">
                  <c:v>0.8977546296296296</c:v>
                </c:pt>
                <c:pt idx="51">
                  <c:v>0.90111111111111108</c:v>
                </c:pt>
                <c:pt idx="52">
                  <c:v>0.90446759259259268</c:v>
                </c:pt>
                <c:pt idx="53">
                  <c:v>0.90782407407408128</c:v>
                </c:pt>
                <c:pt idx="54">
                  <c:v>0.91119212962962959</c:v>
                </c:pt>
                <c:pt idx="55">
                  <c:v>0.91454861111111163</c:v>
                </c:pt>
                <c:pt idx="56">
                  <c:v>0.91790509259260178</c:v>
                </c:pt>
                <c:pt idx="57">
                  <c:v>0.92126157407407405</c:v>
                </c:pt>
                <c:pt idx="58">
                  <c:v>0.92461805555555565</c:v>
                </c:pt>
                <c:pt idx="59">
                  <c:v>0.92797453703703703</c:v>
                </c:pt>
                <c:pt idx="60">
                  <c:v>0.93134259259259744</c:v>
                </c:pt>
                <c:pt idx="61">
                  <c:v>0.93469907407408492</c:v>
                </c:pt>
                <c:pt idx="62">
                  <c:v>0.93805555555555564</c:v>
                </c:pt>
                <c:pt idx="63">
                  <c:v>0.94141203703703658</c:v>
                </c:pt>
                <c:pt idx="64">
                  <c:v>0.94476851851852572</c:v>
                </c:pt>
                <c:pt idx="65">
                  <c:v>0.94812500000000477</c:v>
                </c:pt>
                <c:pt idx="66">
                  <c:v>0.95148148148148171</c:v>
                </c:pt>
                <c:pt idx="67">
                  <c:v>0.95484953703704234</c:v>
                </c:pt>
                <c:pt idx="68">
                  <c:v>0.95820601851852472</c:v>
                </c:pt>
                <c:pt idx="69">
                  <c:v>0.96156249999999499</c:v>
                </c:pt>
                <c:pt idx="70">
                  <c:v>0.9649189814814817</c:v>
                </c:pt>
                <c:pt idx="71">
                  <c:v>0.96827546296296296</c:v>
                </c:pt>
                <c:pt idx="72">
                  <c:v>0.97163194444444989</c:v>
                </c:pt>
                <c:pt idx="73">
                  <c:v>0.97500000000000064</c:v>
                </c:pt>
                <c:pt idx="74">
                  <c:v>0.97835648148148169</c:v>
                </c:pt>
                <c:pt idx="75">
                  <c:v>0.98171296296295207</c:v>
                </c:pt>
                <c:pt idx="76">
                  <c:v>0.98506944444444444</c:v>
                </c:pt>
                <c:pt idx="77">
                  <c:v>0.98842592592591882</c:v>
                </c:pt>
                <c:pt idx="78">
                  <c:v>0.99178240740740742</c:v>
                </c:pt>
                <c:pt idx="79">
                  <c:v>0.99515046296295673</c:v>
                </c:pt>
                <c:pt idx="80">
                  <c:v>0.99850694444443966</c:v>
                </c:pt>
                <c:pt idx="81">
                  <c:v>1.8634259259259413E-3</c:v>
                </c:pt>
                <c:pt idx="82">
                  <c:v>5.2199074074074083E-3</c:v>
                </c:pt>
                <c:pt idx="83">
                  <c:v>8.5763888888890083E-3</c:v>
                </c:pt>
                <c:pt idx="84">
                  <c:v>1.1932870370370484E-2</c:v>
                </c:pt>
                <c:pt idx="85">
                  <c:v>1.5300925925925931E-2</c:v>
                </c:pt>
                <c:pt idx="86">
                  <c:v>1.8657407407407421E-2</c:v>
                </c:pt>
                <c:pt idx="87">
                  <c:v>2.2013888888888892E-2</c:v>
                </c:pt>
                <c:pt idx="88">
                  <c:v>2.5370370370370654E-2</c:v>
                </c:pt>
                <c:pt idx="89">
                  <c:v>2.8726851851851583E-2</c:v>
                </c:pt>
                <c:pt idx="90">
                  <c:v>3.2083333333333415E-2</c:v>
                </c:pt>
                <c:pt idx="91">
                  <c:v>3.5451388888888886E-2</c:v>
                </c:pt>
                <c:pt idx="92">
                  <c:v>3.8807870370370749E-2</c:v>
                </c:pt>
                <c:pt idx="93">
                  <c:v>4.2164351851852022E-2</c:v>
                </c:pt>
                <c:pt idx="94">
                  <c:v>4.5520833333333413E-2</c:v>
                </c:pt>
                <c:pt idx="95">
                  <c:v>4.8877314814814832E-2</c:v>
                </c:pt>
                <c:pt idx="96">
                  <c:v>5.2233796296296514E-2</c:v>
                </c:pt>
                <c:pt idx="97">
                  <c:v>5.5601851851851881E-2</c:v>
                </c:pt>
                <c:pt idx="98">
                  <c:v>5.8958333333333432E-2</c:v>
                </c:pt>
                <c:pt idx="99">
                  <c:v>6.2314814814815662E-2</c:v>
                </c:pt>
                <c:pt idx="100">
                  <c:v>6.5671296296296311E-2</c:v>
                </c:pt>
                <c:pt idx="101">
                  <c:v>6.9027777777777799E-2</c:v>
                </c:pt>
                <c:pt idx="102">
                  <c:v>7.2384259259259329E-2</c:v>
                </c:pt>
                <c:pt idx="103">
                  <c:v>7.5740740740740733E-2</c:v>
                </c:pt>
                <c:pt idx="104">
                  <c:v>7.9108796296296524E-2</c:v>
                </c:pt>
                <c:pt idx="105">
                  <c:v>8.2465277777777693E-2</c:v>
                </c:pt>
                <c:pt idx="106">
                  <c:v>8.5821759259259264E-2</c:v>
                </c:pt>
                <c:pt idx="107">
                  <c:v>8.9178240740740752E-2</c:v>
                </c:pt>
                <c:pt idx="108">
                  <c:v>9.2534722222223267E-2</c:v>
                </c:pt>
                <c:pt idx="109">
                  <c:v>9.5891203703703701E-2</c:v>
                </c:pt>
                <c:pt idx="110">
                  <c:v>9.9259259259259297E-2</c:v>
                </c:pt>
                <c:pt idx="111">
                  <c:v>0.10261574074074163</c:v>
                </c:pt>
                <c:pt idx="112">
                  <c:v>0.10597222222222322</c:v>
                </c:pt>
                <c:pt idx="113">
                  <c:v>0.10932870370370369</c:v>
                </c:pt>
                <c:pt idx="114">
                  <c:v>0.11268518518518519</c:v>
                </c:pt>
                <c:pt idx="115">
                  <c:v>0.11604166666666667</c:v>
                </c:pt>
                <c:pt idx="116">
                  <c:v>0.11940972222222222</c:v>
                </c:pt>
                <c:pt idx="117">
                  <c:v>0.12276620370370499</c:v>
                </c:pt>
                <c:pt idx="118">
                  <c:v>0.12612268518518518</c:v>
                </c:pt>
                <c:pt idx="119">
                  <c:v>0.1294791666666667</c:v>
                </c:pt>
                <c:pt idx="120">
                  <c:v>0.13283564814814816</c:v>
                </c:pt>
                <c:pt idx="121">
                  <c:v>0.13619212962962965</c:v>
                </c:pt>
                <c:pt idx="122">
                  <c:v>0.13956018518518659</c:v>
                </c:pt>
                <c:pt idx="123">
                  <c:v>0.14291666666666691</c:v>
                </c:pt>
                <c:pt idx="124">
                  <c:v>0.14627314814814821</c:v>
                </c:pt>
                <c:pt idx="125">
                  <c:v>0.14962962962962917</c:v>
                </c:pt>
                <c:pt idx="126">
                  <c:v>0.15298611111111307</c:v>
                </c:pt>
                <c:pt idx="127">
                  <c:v>0.15634259259259514</c:v>
                </c:pt>
                <c:pt idx="128">
                  <c:v>0.15971064814814948</c:v>
                </c:pt>
                <c:pt idx="129">
                  <c:v>0.16306712962962963</c:v>
                </c:pt>
                <c:pt idx="130">
                  <c:v>0.1664236111111112</c:v>
                </c:pt>
                <c:pt idx="131">
                  <c:v>0.16978009259259477</c:v>
                </c:pt>
                <c:pt idx="132">
                  <c:v>0.1731365740740741</c:v>
                </c:pt>
                <c:pt idx="133">
                  <c:v>0.17649305555555594</c:v>
                </c:pt>
                <c:pt idx="134">
                  <c:v>0.17986111111111144</c:v>
                </c:pt>
                <c:pt idx="135">
                  <c:v>0.18321759259259551</c:v>
                </c:pt>
                <c:pt idx="136">
                  <c:v>0.18657407407407409</c:v>
                </c:pt>
                <c:pt idx="137">
                  <c:v>0.18993055555555571</c:v>
                </c:pt>
                <c:pt idx="138">
                  <c:v>0.19328703703703851</c:v>
                </c:pt>
                <c:pt idx="139">
                  <c:v>0.19664351851851722</c:v>
                </c:pt>
                <c:pt idx="140">
                  <c:v>0.2</c:v>
                </c:pt>
                <c:pt idx="141">
                  <c:v>0.20336805555555559</c:v>
                </c:pt>
                <c:pt idx="142">
                  <c:v>0.20672453703703741</c:v>
                </c:pt>
                <c:pt idx="143">
                  <c:v>0.21008101851851838</c:v>
                </c:pt>
                <c:pt idx="144">
                  <c:v>0.21343750000000128</c:v>
                </c:pt>
                <c:pt idx="145">
                  <c:v>0.21679398148148454</c:v>
                </c:pt>
                <c:pt idx="146">
                  <c:v>0.22015046296296295</c:v>
                </c:pt>
                <c:pt idx="147">
                  <c:v>0.22351851851851837</c:v>
                </c:pt>
                <c:pt idx="148">
                  <c:v>0.22687500000000002</c:v>
                </c:pt>
                <c:pt idx="149">
                  <c:v>0.2302314814814842</c:v>
                </c:pt>
                <c:pt idx="150">
                  <c:v>0.23358796296296294</c:v>
                </c:pt>
                <c:pt idx="151">
                  <c:v>0.23694444444444723</c:v>
                </c:pt>
                <c:pt idx="152">
                  <c:v>0.24030092592592592</c:v>
                </c:pt>
                <c:pt idx="153">
                  <c:v>0.24366898148148392</c:v>
                </c:pt>
                <c:pt idx="154">
                  <c:v>0.24702546296296488</c:v>
                </c:pt>
                <c:pt idx="155">
                  <c:v>0.250381944444447</c:v>
                </c:pt>
                <c:pt idx="156">
                  <c:v>0.25373842592592594</c:v>
                </c:pt>
                <c:pt idx="157">
                  <c:v>0.25709490740740742</c:v>
                </c:pt>
                <c:pt idx="158">
                  <c:v>0.26045138888888891</c:v>
                </c:pt>
                <c:pt idx="159">
                  <c:v>0.26381944444444488</c:v>
                </c:pt>
                <c:pt idx="160">
                  <c:v>0.26717592592592598</c:v>
                </c:pt>
                <c:pt idx="161">
                  <c:v>0.27053240740740742</c:v>
                </c:pt>
                <c:pt idx="162">
                  <c:v>0.27388888888889429</c:v>
                </c:pt>
                <c:pt idx="163">
                  <c:v>0.27724537037037039</c:v>
                </c:pt>
                <c:pt idx="164">
                  <c:v>0.28060185185185188</c:v>
                </c:pt>
                <c:pt idx="165">
                  <c:v>0.28396990740741046</c:v>
                </c:pt>
                <c:pt idx="166">
                  <c:v>0.28732638888889411</c:v>
                </c:pt>
                <c:pt idx="167">
                  <c:v>0.29068287037037466</c:v>
                </c:pt>
                <c:pt idx="168">
                  <c:v>0.29403935185185187</c:v>
                </c:pt>
                <c:pt idx="169">
                  <c:v>0.29739583333333336</c:v>
                </c:pt>
                <c:pt idx="170">
                  <c:v>0.30075231481481751</c:v>
                </c:pt>
                <c:pt idx="171">
                  <c:v>0.30410879629629867</c:v>
                </c:pt>
                <c:pt idx="172">
                  <c:v>0.30747685185185719</c:v>
                </c:pt>
                <c:pt idx="173">
                  <c:v>0.31083333333333335</c:v>
                </c:pt>
                <c:pt idx="174">
                  <c:v>0.31418981481481983</c:v>
                </c:pt>
                <c:pt idx="175">
                  <c:v>0.31754629629629638</c:v>
                </c:pt>
                <c:pt idx="176">
                  <c:v>0.32090277777778403</c:v>
                </c:pt>
                <c:pt idx="177">
                  <c:v>0.32425925925926236</c:v>
                </c:pt>
                <c:pt idx="178">
                  <c:v>0.32762731481481916</c:v>
                </c:pt>
                <c:pt idx="179">
                  <c:v>0.33098379629630054</c:v>
                </c:pt>
                <c:pt idx="180">
                  <c:v>0.33434027777778319</c:v>
                </c:pt>
                <c:pt idx="181">
                  <c:v>0.33769675925926468</c:v>
                </c:pt>
                <c:pt idx="182">
                  <c:v>0.34105324074074078</c:v>
                </c:pt>
                <c:pt idx="183">
                  <c:v>0.34440972222222238</c:v>
                </c:pt>
                <c:pt idx="184">
                  <c:v>0.34777777777778085</c:v>
                </c:pt>
                <c:pt idx="185">
                  <c:v>0.35113425925926195</c:v>
                </c:pt>
                <c:pt idx="186">
                  <c:v>0.35449074074074088</c:v>
                </c:pt>
                <c:pt idx="187">
                  <c:v>0.35784722222222232</c:v>
                </c:pt>
                <c:pt idx="188">
                  <c:v>0.3612037037037038</c:v>
                </c:pt>
                <c:pt idx="189">
                  <c:v>0.36456018518518801</c:v>
                </c:pt>
                <c:pt idx="190">
                  <c:v>0.36792824074074493</c:v>
                </c:pt>
                <c:pt idx="191">
                  <c:v>0.37128472222222575</c:v>
                </c:pt>
                <c:pt idx="192">
                  <c:v>0.37464120370370368</c:v>
                </c:pt>
                <c:pt idx="193">
                  <c:v>0.37799768518518789</c:v>
                </c:pt>
                <c:pt idx="194">
                  <c:v>0.38135416666667094</c:v>
                </c:pt>
                <c:pt idx="195">
                  <c:v>0.38471064814814832</c:v>
                </c:pt>
                <c:pt idx="196">
                  <c:v>0.388078703703709</c:v>
                </c:pt>
                <c:pt idx="197">
                  <c:v>0.39143518518518688</c:v>
                </c:pt>
                <c:pt idx="198">
                  <c:v>0.39479166666666682</c:v>
                </c:pt>
                <c:pt idx="199">
                  <c:v>0.39814814814814831</c:v>
                </c:pt>
                <c:pt idx="200">
                  <c:v>0.40150462962963274</c:v>
                </c:pt>
                <c:pt idx="201">
                  <c:v>0.40486111111111112</c:v>
                </c:pt>
                <c:pt idx="202">
                  <c:v>0.40822916666666681</c:v>
                </c:pt>
                <c:pt idx="203">
                  <c:v>0.4115856481481483</c:v>
                </c:pt>
                <c:pt idx="204">
                  <c:v>0.41494212962963234</c:v>
                </c:pt>
                <c:pt idx="205">
                  <c:v>0.41829861111111111</c:v>
                </c:pt>
                <c:pt idx="206">
                  <c:v>0.4216550925925926</c:v>
                </c:pt>
                <c:pt idx="207">
                  <c:v>0.42501157407407758</c:v>
                </c:pt>
                <c:pt idx="208">
                  <c:v>0.42836805555555857</c:v>
                </c:pt>
                <c:pt idx="209">
                  <c:v>0.4317361111111111</c:v>
                </c:pt>
                <c:pt idx="210">
                  <c:v>0.43509259259259281</c:v>
                </c:pt>
                <c:pt idx="211">
                  <c:v>0.43844907407407713</c:v>
                </c:pt>
                <c:pt idx="212">
                  <c:v>0.44180555555555556</c:v>
                </c:pt>
                <c:pt idx="213">
                  <c:v>0.44516203703703705</c:v>
                </c:pt>
                <c:pt idx="214">
                  <c:v>0.44851851851851854</c:v>
                </c:pt>
                <c:pt idx="215">
                  <c:v>0.45188657407407939</c:v>
                </c:pt>
                <c:pt idx="216">
                  <c:v>0.45524305555555317</c:v>
                </c:pt>
                <c:pt idx="217">
                  <c:v>0.45859953703703704</c:v>
                </c:pt>
                <c:pt idx="218">
                  <c:v>0.46195601851851853</c:v>
                </c:pt>
                <c:pt idx="219">
                  <c:v>0.46531250000000307</c:v>
                </c:pt>
                <c:pt idx="220">
                  <c:v>0.46866898148148417</c:v>
                </c:pt>
                <c:pt idx="221">
                  <c:v>0.47203703703703703</c:v>
                </c:pt>
                <c:pt idx="222">
                  <c:v>0.47539351851851824</c:v>
                </c:pt>
                <c:pt idx="223">
                  <c:v>0.47875000000000001</c:v>
                </c:pt>
                <c:pt idx="224">
                  <c:v>0.48210648148148288</c:v>
                </c:pt>
                <c:pt idx="225">
                  <c:v>0.48546296296296992</c:v>
                </c:pt>
                <c:pt idx="226">
                  <c:v>0.48881944444444803</c:v>
                </c:pt>
                <c:pt idx="227">
                  <c:v>0.49218750000000239</c:v>
                </c:pt>
                <c:pt idx="228">
                  <c:v>0.49554398148148182</c:v>
                </c:pt>
                <c:pt idx="229">
                  <c:v>0.49890046296296869</c:v>
                </c:pt>
                <c:pt idx="230">
                  <c:v>0.50225694444444446</c:v>
                </c:pt>
                <c:pt idx="231">
                  <c:v>0.50561342592591985</c:v>
                </c:pt>
                <c:pt idx="232">
                  <c:v>0.5089814814814817</c:v>
                </c:pt>
                <c:pt idx="233">
                  <c:v>0.5123379629629522</c:v>
                </c:pt>
                <c:pt idx="234">
                  <c:v>0.5156944444444499</c:v>
                </c:pt>
                <c:pt idx="235">
                  <c:v>0.51906249999999465</c:v>
                </c:pt>
                <c:pt idx="236">
                  <c:v>0.52241898148148147</c:v>
                </c:pt>
                <c:pt idx="237">
                  <c:v>0.52577546296296296</c:v>
                </c:pt>
                <c:pt idx="238">
                  <c:v>0.52913194444444445</c:v>
                </c:pt>
                <c:pt idx="239">
                  <c:v>0.53249999999999997</c:v>
                </c:pt>
                <c:pt idx="240">
                  <c:v>0.53585648148148168</c:v>
                </c:pt>
                <c:pt idx="241">
                  <c:v>0.53921296296295207</c:v>
                </c:pt>
                <c:pt idx="242">
                  <c:v>0.54256944444444444</c:v>
                </c:pt>
                <c:pt idx="243">
                  <c:v>0.54592592592592559</c:v>
                </c:pt>
                <c:pt idx="244">
                  <c:v>0.54928240740740741</c:v>
                </c:pt>
                <c:pt idx="245">
                  <c:v>0.5526504629629625</c:v>
                </c:pt>
                <c:pt idx="246">
                  <c:v>0.55600694444444443</c:v>
                </c:pt>
                <c:pt idx="247">
                  <c:v>0.5593634259259187</c:v>
                </c:pt>
                <c:pt idx="248">
                  <c:v>0.56271990740740763</c:v>
                </c:pt>
                <c:pt idx="249">
                  <c:v>0.56607638888888889</c:v>
                </c:pt>
                <c:pt idx="250">
                  <c:v>0.5694328703703706</c:v>
                </c:pt>
                <c:pt idx="251">
                  <c:v>0.57280092592592557</c:v>
                </c:pt>
                <c:pt idx="252">
                  <c:v>0.57615740740740762</c:v>
                </c:pt>
                <c:pt idx="253">
                  <c:v>0.57951388888888888</c:v>
                </c:pt>
                <c:pt idx="254">
                  <c:v>0.58287037037037071</c:v>
                </c:pt>
                <c:pt idx="255">
                  <c:v>0.58622685185184642</c:v>
                </c:pt>
                <c:pt idx="256">
                  <c:v>0.58958333333333257</c:v>
                </c:pt>
                <c:pt idx="257">
                  <c:v>0.59295138888888888</c:v>
                </c:pt>
                <c:pt idx="258">
                  <c:v>0.5963078703703707</c:v>
                </c:pt>
                <c:pt idx="259">
                  <c:v>0.59966435185184586</c:v>
                </c:pt>
                <c:pt idx="260">
                  <c:v>0.60302083333334378</c:v>
                </c:pt>
                <c:pt idx="261">
                  <c:v>0.60637731481481483</c:v>
                </c:pt>
                <c:pt idx="262">
                  <c:v>0.60973379629629665</c:v>
                </c:pt>
                <c:pt idx="263">
                  <c:v>0.61310185185185184</c:v>
                </c:pt>
                <c:pt idx="264">
                  <c:v>0.6164583333333381</c:v>
                </c:pt>
                <c:pt idx="265">
                  <c:v>0.61981481481482092</c:v>
                </c:pt>
                <c:pt idx="266">
                  <c:v>0.62317129629630486</c:v>
                </c:pt>
                <c:pt idx="267">
                  <c:v>0.62652777777777779</c:v>
                </c:pt>
                <c:pt idx="268">
                  <c:v>0.62988425925925962</c:v>
                </c:pt>
                <c:pt idx="269">
                  <c:v>0.63324074074074077</c:v>
                </c:pt>
                <c:pt idx="270">
                  <c:v>0.63660879629630363</c:v>
                </c:pt>
                <c:pt idx="271">
                  <c:v>0.63996527777778311</c:v>
                </c:pt>
                <c:pt idx="272">
                  <c:v>0.64332175925925961</c:v>
                </c:pt>
                <c:pt idx="273">
                  <c:v>0.64667824074074165</c:v>
                </c:pt>
                <c:pt idx="274">
                  <c:v>0.65003472222222225</c:v>
                </c:pt>
                <c:pt idx="275">
                  <c:v>0.65339120370371084</c:v>
                </c:pt>
                <c:pt idx="276">
                  <c:v>0.65675925925926548</c:v>
                </c:pt>
                <c:pt idx="277">
                  <c:v>0.66011574074074053</c:v>
                </c:pt>
                <c:pt idx="278">
                  <c:v>0.66347222222222224</c:v>
                </c:pt>
                <c:pt idx="279">
                  <c:v>0.66682870370371072</c:v>
                </c:pt>
                <c:pt idx="280">
                  <c:v>0.67018518518518988</c:v>
                </c:pt>
                <c:pt idx="281">
                  <c:v>0.67354166666667492</c:v>
                </c:pt>
                <c:pt idx="282">
                  <c:v>0.67690972222222756</c:v>
                </c:pt>
                <c:pt idx="283">
                  <c:v>0.6802662037037035</c:v>
                </c:pt>
                <c:pt idx="284">
                  <c:v>0.68362268518518565</c:v>
                </c:pt>
                <c:pt idx="285">
                  <c:v>0.6869791666666667</c:v>
                </c:pt>
                <c:pt idx="286">
                  <c:v>0.69033564814814863</c:v>
                </c:pt>
                <c:pt idx="287">
                  <c:v>0.69369212962962967</c:v>
                </c:pt>
                <c:pt idx="288">
                  <c:v>0.69706018518518509</c:v>
                </c:pt>
                <c:pt idx="289">
                  <c:v>0.70041666666666658</c:v>
                </c:pt>
                <c:pt idx="290">
                  <c:v>0.70377314814814862</c:v>
                </c:pt>
                <c:pt idx="291">
                  <c:v>0.70712962962963433</c:v>
                </c:pt>
                <c:pt idx="292">
                  <c:v>0.71048611111111049</c:v>
                </c:pt>
                <c:pt idx="293">
                  <c:v>0.71384259259260063</c:v>
                </c:pt>
                <c:pt idx="294">
                  <c:v>0.71721064814814861</c:v>
                </c:pt>
                <c:pt idx="295">
                  <c:v>0.72056712962962477</c:v>
                </c:pt>
                <c:pt idx="296">
                  <c:v>0.72392361111111725</c:v>
                </c:pt>
                <c:pt idx="297">
                  <c:v>0.72728009259259974</c:v>
                </c:pt>
                <c:pt idx="298">
                  <c:v>0.73063657407407945</c:v>
                </c:pt>
                <c:pt idx="299">
                  <c:v>0.73399305555556171</c:v>
                </c:pt>
                <c:pt idx="300">
                  <c:v>0.73734953703703765</c:v>
                </c:pt>
              </c:numCache>
            </c:numRef>
          </c:cat>
          <c:val>
            <c:numRef>
              <c:f>'carbon dioxide occupancy'!$D$2:$D$302</c:f>
              <c:numCache>
                <c:formatCode>General</c:formatCode>
                <c:ptCount val="301"/>
                <c:pt idx="0">
                  <c:v>1968</c:v>
                </c:pt>
                <c:pt idx="1">
                  <c:v>1872</c:v>
                </c:pt>
                <c:pt idx="2">
                  <c:v>2163</c:v>
                </c:pt>
                <c:pt idx="3">
                  <c:v>1885</c:v>
                </c:pt>
                <c:pt idx="4">
                  <c:v>1871</c:v>
                </c:pt>
                <c:pt idx="5">
                  <c:v>1819</c:v>
                </c:pt>
                <c:pt idx="6">
                  <c:v>1841</c:v>
                </c:pt>
                <c:pt idx="7">
                  <c:v>1904</c:v>
                </c:pt>
                <c:pt idx="8">
                  <c:v>1839</c:v>
                </c:pt>
                <c:pt idx="9">
                  <c:v>1921</c:v>
                </c:pt>
                <c:pt idx="10">
                  <c:v>1911</c:v>
                </c:pt>
                <c:pt idx="11">
                  <c:v>1886</c:v>
                </c:pt>
                <c:pt idx="12">
                  <c:v>1876</c:v>
                </c:pt>
                <c:pt idx="13">
                  <c:v>1888</c:v>
                </c:pt>
                <c:pt idx="14">
                  <c:v>1859</c:v>
                </c:pt>
                <c:pt idx="15">
                  <c:v>1802</c:v>
                </c:pt>
                <c:pt idx="16">
                  <c:v>1594</c:v>
                </c:pt>
                <c:pt idx="17">
                  <c:v>1597</c:v>
                </c:pt>
                <c:pt idx="18">
                  <c:v>1587</c:v>
                </c:pt>
                <c:pt idx="19">
                  <c:v>1572</c:v>
                </c:pt>
                <c:pt idx="20">
                  <c:v>1496</c:v>
                </c:pt>
                <c:pt idx="21">
                  <c:v>1497</c:v>
                </c:pt>
                <c:pt idx="22">
                  <c:v>1446</c:v>
                </c:pt>
                <c:pt idx="23">
                  <c:v>1392</c:v>
                </c:pt>
                <c:pt idx="24">
                  <c:v>1422</c:v>
                </c:pt>
                <c:pt idx="25">
                  <c:v>1428</c:v>
                </c:pt>
                <c:pt idx="26">
                  <c:v>1507</c:v>
                </c:pt>
                <c:pt idx="27">
                  <c:v>1486</c:v>
                </c:pt>
                <c:pt idx="28">
                  <c:v>1491</c:v>
                </c:pt>
                <c:pt idx="29">
                  <c:v>1500</c:v>
                </c:pt>
                <c:pt idx="30">
                  <c:v>1550</c:v>
                </c:pt>
                <c:pt idx="31">
                  <c:v>1567</c:v>
                </c:pt>
                <c:pt idx="32">
                  <c:v>1549</c:v>
                </c:pt>
                <c:pt idx="33">
                  <c:v>1544</c:v>
                </c:pt>
                <c:pt idx="34">
                  <c:v>1539</c:v>
                </c:pt>
                <c:pt idx="35">
                  <c:v>1530</c:v>
                </c:pt>
                <c:pt idx="36">
                  <c:v>1488</c:v>
                </c:pt>
                <c:pt idx="37">
                  <c:v>1473</c:v>
                </c:pt>
                <c:pt idx="38">
                  <c:v>1469</c:v>
                </c:pt>
                <c:pt idx="39">
                  <c:v>1459</c:v>
                </c:pt>
                <c:pt idx="40">
                  <c:v>1433</c:v>
                </c:pt>
                <c:pt idx="41">
                  <c:v>1409</c:v>
                </c:pt>
                <c:pt idx="42">
                  <c:v>1434</c:v>
                </c:pt>
                <c:pt idx="43">
                  <c:v>1439</c:v>
                </c:pt>
                <c:pt idx="44">
                  <c:v>1423</c:v>
                </c:pt>
                <c:pt idx="45">
                  <c:v>1400</c:v>
                </c:pt>
                <c:pt idx="46">
                  <c:v>1375</c:v>
                </c:pt>
                <c:pt idx="47">
                  <c:v>1363</c:v>
                </c:pt>
                <c:pt idx="48">
                  <c:v>1372</c:v>
                </c:pt>
                <c:pt idx="49">
                  <c:v>1376</c:v>
                </c:pt>
                <c:pt idx="50">
                  <c:v>1406</c:v>
                </c:pt>
                <c:pt idx="51">
                  <c:v>1414</c:v>
                </c:pt>
                <c:pt idx="52">
                  <c:v>1424</c:v>
                </c:pt>
                <c:pt idx="53">
                  <c:v>1463</c:v>
                </c:pt>
                <c:pt idx="54">
                  <c:v>1462</c:v>
                </c:pt>
                <c:pt idx="55">
                  <c:v>1449</c:v>
                </c:pt>
                <c:pt idx="56">
                  <c:v>1437</c:v>
                </c:pt>
                <c:pt idx="57">
                  <c:v>1423</c:v>
                </c:pt>
                <c:pt idx="58">
                  <c:v>1397</c:v>
                </c:pt>
                <c:pt idx="59">
                  <c:v>1378</c:v>
                </c:pt>
                <c:pt idx="60">
                  <c:v>1357</c:v>
                </c:pt>
                <c:pt idx="61">
                  <c:v>1331</c:v>
                </c:pt>
                <c:pt idx="62">
                  <c:v>1313</c:v>
                </c:pt>
                <c:pt idx="63">
                  <c:v>1300</c:v>
                </c:pt>
                <c:pt idx="64">
                  <c:v>1287</c:v>
                </c:pt>
                <c:pt idx="65">
                  <c:v>1272</c:v>
                </c:pt>
                <c:pt idx="66">
                  <c:v>1256</c:v>
                </c:pt>
                <c:pt idx="67">
                  <c:v>1238</c:v>
                </c:pt>
                <c:pt idx="68">
                  <c:v>1219</c:v>
                </c:pt>
                <c:pt idx="69">
                  <c:v>1202</c:v>
                </c:pt>
                <c:pt idx="70">
                  <c:v>1187</c:v>
                </c:pt>
                <c:pt idx="71">
                  <c:v>1163</c:v>
                </c:pt>
                <c:pt idx="72">
                  <c:v>1145</c:v>
                </c:pt>
                <c:pt idx="73">
                  <c:v>1129</c:v>
                </c:pt>
                <c:pt idx="74">
                  <c:v>1118</c:v>
                </c:pt>
                <c:pt idx="75">
                  <c:v>1097</c:v>
                </c:pt>
                <c:pt idx="76">
                  <c:v>1086</c:v>
                </c:pt>
                <c:pt idx="77">
                  <c:v>1076</c:v>
                </c:pt>
                <c:pt idx="78">
                  <c:v>1058</c:v>
                </c:pt>
                <c:pt idx="79">
                  <c:v>1048</c:v>
                </c:pt>
                <c:pt idx="80">
                  <c:v>1038</c:v>
                </c:pt>
                <c:pt idx="81">
                  <c:v>1026</c:v>
                </c:pt>
                <c:pt idx="82">
                  <c:v>1021</c:v>
                </c:pt>
                <c:pt idx="83">
                  <c:v>1013</c:v>
                </c:pt>
                <c:pt idx="84">
                  <c:v>1001</c:v>
                </c:pt>
                <c:pt idx="85">
                  <c:v>996</c:v>
                </c:pt>
                <c:pt idx="86">
                  <c:v>990</c:v>
                </c:pt>
                <c:pt idx="87">
                  <c:v>984</c:v>
                </c:pt>
                <c:pt idx="88">
                  <c:v>976</c:v>
                </c:pt>
                <c:pt idx="89">
                  <c:v>973</c:v>
                </c:pt>
                <c:pt idx="90">
                  <c:v>971</c:v>
                </c:pt>
                <c:pt idx="91">
                  <c:v>964</c:v>
                </c:pt>
                <c:pt idx="92">
                  <c:v>959</c:v>
                </c:pt>
                <c:pt idx="93">
                  <c:v>954</c:v>
                </c:pt>
                <c:pt idx="94">
                  <c:v>945</c:v>
                </c:pt>
                <c:pt idx="95">
                  <c:v>941</c:v>
                </c:pt>
                <c:pt idx="96">
                  <c:v>943</c:v>
                </c:pt>
                <c:pt idx="97">
                  <c:v>934</c:v>
                </c:pt>
                <c:pt idx="98">
                  <c:v>931</c:v>
                </c:pt>
                <c:pt idx="99">
                  <c:v>923</c:v>
                </c:pt>
                <c:pt idx="100">
                  <c:v>919</c:v>
                </c:pt>
                <c:pt idx="101">
                  <c:v>896</c:v>
                </c:pt>
                <c:pt idx="102">
                  <c:v>892</c:v>
                </c:pt>
                <c:pt idx="103">
                  <c:v>894</c:v>
                </c:pt>
                <c:pt idx="104">
                  <c:v>884</c:v>
                </c:pt>
                <c:pt idx="105">
                  <c:v>887</c:v>
                </c:pt>
                <c:pt idx="106">
                  <c:v>885</c:v>
                </c:pt>
                <c:pt idx="107">
                  <c:v>862</c:v>
                </c:pt>
                <c:pt idx="108">
                  <c:v>849</c:v>
                </c:pt>
                <c:pt idx="109">
                  <c:v>866</c:v>
                </c:pt>
                <c:pt idx="110">
                  <c:v>862</c:v>
                </c:pt>
                <c:pt idx="111">
                  <c:v>857</c:v>
                </c:pt>
                <c:pt idx="112">
                  <c:v>843</c:v>
                </c:pt>
                <c:pt idx="113">
                  <c:v>839</c:v>
                </c:pt>
                <c:pt idx="114">
                  <c:v>831</c:v>
                </c:pt>
                <c:pt idx="115">
                  <c:v>826</c:v>
                </c:pt>
                <c:pt idx="116">
                  <c:v>821</c:v>
                </c:pt>
                <c:pt idx="117">
                  <c:v>822</c:v>
                </c:pt>
                <c:pt idx="118">
                  <c:v>820</c:v>
                </c:pt>
                <c:pt idx="119">
                  <c:v>813</c:v>
                </c:pt>
                <c:pt idx="120">
                  <c:v>810</c:v>
                </c:pt>
                <c:pt idx="121">
                  <c:v>805</c:v>
                </c:pt>
                <c:pt idx="122">
                  <c:v>803</c:v>
                </c:pt>
                <c:pt idx="123">
                  <c:v>787</c:v>
                </c:pt>
                <c:pt idx="124">
                  <c:v>798</c:v>
                </c:pt>
                <c:pt idx="125">
                  <c:v>790</c:v>
                </c:pt>
                <c:pt idx="126">
                  <c:v>779</c:v>
                </c:pt>
                <c:pt idx="127">
                  <c:v>774</c:v>
                </c:pt>
                <c:pt idx="128">
                  <c:v>775</c:v>
                </c:pt>
                <c:pt idx="129">
                  <c:v>765</c:v>
                </c:pt>
                <c:pt idx="130">
                  <c:v>756</c:v>
                </c:pt>
                <c:pt idx="131">
                  <c:v>749</c:v>
                </c:pt>
                <c:pt idx="132">
                  <c:v>747</c:v>
                </c:pt>
                <c:pt idx="133">
                  <c:v>747</c:v>
                </c:pt>
                <c:pt idx="134">
                  <c:v>744</c:v>
                </c:pt>
                <c:pt idx="135">
                  <c:v>744</c:v>
                </c:pt>
                <c:pt idx="136">
                  <c:v>740</c:v>
                </c:pt>
                <c:pt idx="137">
                  <c:v>743</c:v>
                </c:pt>
                <c:pt idx="138">
                  <c:v>740</c:v>
                </c:pt>
                <c:pt idx="139">
                  <c:v>734</c:v>
                </c:pt>
                <c:pt idx="140">
                  <c:v>735</c:v>
                </c:pt>
                <c:pt idx="141">
                  <c:v>730</c:v>
                </c:pt>
                <c:pt idx="142">
                  <c:v>723</c:v>
                </c:pt>
                <c:pt idx="143">
                  <c:v>719</c:v>
                </c:pt>
                <c:pt idx="144">
                  <c:v>714</c:v>
                </c:pt>
                <c:pt idx="145">
                  <c:v>706</c:v>
                </c:pt>
                <c:pt idx="146">
                  <c:v>709</c:v>
                </c:pt>
                <c:pt idx="147">
                  <c:v>704</c:v>
                </c:pt>
                <c:pt idx="148">
                  <c:v>706</c:v>
                </c:pt>
                <c:pt idx="149">
                  <c:v>701</c:v>
                </c:pt>
                <c:pt idx="150">
                  <c:v>700</c:v>
                </c:pt>
                <c:pt idx="151">
                  <c:v>694</c:v>
                </c:pt>
                <c:pt idx="152">
                  <c:v>688</c:v>
                </c:pt>
                <c:pt idx="153">
                  <c:v>687</c:v>
                </c:pt>
                <c:pt idx="154">
                  <c:v>686</c:v>
                </c:pt>
                <c:pt idx="155">
                  <c:v>679</c:v>
                </c:pt>
                <c:pt idx="156">
                  <c:v>682</c:v>
                </c:pt>
                <c:pt idx="157">
                  <c:v>685</c:v>
                </c:pt>
                <c:pt idx="158">
                  <c:v>673</c:v>
                </c:pt>
                <c:pt idx="159">
                  <c:v>670</c:v>
                </c:pt>
                <c:pt idx="160">
                  <c:v>669</c:v>
                </c:pt>
                <c:pt idx="161">
                  <c:v>670</c:v>
                </c:pt>
                <c:pt idx="162">
                  <c:v>669</c:v>
                </c:pt>
                <c:pt idx="163">
                  <c:v>677</c:v>
                </c:pt>
                <c:pt idx="164">
                  <c:v>667</c:v>
                </c:pt>
                <c:pt idx="165">
                  <c:v>661</c:v>
                </c:pt>
                <c:pt idx="166">
                  <c:v>663</c:v>
                </c:pt>
                <c:pt idx="167">
                  <c:v>663</c:v>
                </c:pt>
                <c:pt idx="168">
                  <c:v>655</c:v>
                </c:pt>
                <c:pt idx="169">
                  <c:v>649</c:v>
                </c:pt>
                <c:pt idx="170">
                  <c:v>652</c:v>
                </c:pt>
                <c:pt idx="171">
                  <c:v>673</c:v>
                </c:pt>
                <c:pt idx="172">
                  <c:v>698</c:v>
                </c:pt>
                <c:pt idx="173">
                  <c:v>737</c:v>
                </c:pt>
                <c:pt idx="174">
                  <c:v>758</c:v>
                </c:pt>
                <c:pt idx="175">
                  <c:v>769</c:v>
                </c:pt>
                <c:pt idx="176">
                  <c:v>771</c:v>
                </c:pt>
                <c:pt idx="177">
                  <c:v>792</c:v>
                </c:pt>
                <c:pt idx="178">
                  <c:v>814</c:v>
                </c:pt>
                <c:pt idx="179">
                  <c:v>843</c:v>
                </c:pt>
                <c:pt idx="180">
                  <c:v>859</c:v>
                </c:pt>
                <c:pt idx="181">
                  <c:v>877</c:v>
                </c:pt>
                <c:pt idx="182">
                  <c:v>885</c:v>
                </c:pt>
                <c:pt idx="183">
                  <c:v>891</c:v>
                </c:pt>
                <c:pt idx="184">
                  <c:v>894</c:v>
                </c:pt>
                <c:pt idx="185">
                  <c:v>901</c:v>
                </c:pt>
                <c:pt idx="186">
                  <c:v>888</c:v>
                </c:pt>
                <c:pt idx="187">
                  <c:v>881</c:v>
                </c:pt>
                <c:pt idx="188">
                  <c:v>884</c:v>
                </c:pt>
                <c:pt idx="189">
                  <c:v>875</c:v>
                </c:pt>
                <c:pt idx="190">
                  <c:v>871</c:v>
                </c:pt>
                <c:pt idx="191">
                  <c:v>884</c:v>
                </c:pt>
                <c:pt idx="192">
                  <c:v>916</c:v>
                </c:pt>
                <c:pt idx="193">
                  <c:v>910</c:v>
                </c:pt>
                <c:pt idx="194">
                  <c:v>921</c:v>
                </c:pt>
                <c:pt idx="195">
                  <c:v>955</c:v>
                </c:pt>
                <c:pt idx="196">
                  <c:v>1006</c:v>
                </c:pt>
                <c:pt idx="197">
                  <c:v>1064</c:v>
                </c:pt>
                <c:pt idx="198">
                  <c:v>1115</c:v>
                </c:pt>
                <c:pt idx="199">
                  <c:v>1171</c:v>
                </c:pt>
                <c:pt idx="200">
                  <c:v>1200</c:v>
                </c:pt>
                <c:pt idx="201">
                  <c:v>1210</c:v>
                </c:pt>
                <c:pt idx="202">
                  <c:v>1217</c:v>
                </c:pt>
                <c:pt idx="203">
                  <c:v>1239</c:v>
                </c:pt>
                <c:pt idx="204">
                  <c:v>1274</c:v>
                </c:pt>
                <c:pt idx="205">
                  <c:v>1279</c:v>
                </c:pt>
                <c:pt idx="206">
                  <c:v>1285</c:v>
                </c:pt>
                <c:pt idx="207">
                  <c:v>1288</c:v>
                </c:pt>
                <c:pt idx="208">
                  <c:v>1296</c:v>
                </c:pt>
                <c:pt idx="209">
                  <c:v>1284</c:v>
                </c:pt>
                <c:pt idx="210">
                  <c:v>1276</c:v>
                </c:pt>
                <c:pt idx="211">
                  <c:v>1271</c:v>
                </c:pt>
                <c:pt idx="212">
                  <c:v>1279</c:v>
                </c:pt>
                <c:pt idx="213">
                  <c:v>1281</c:v>
                </c:pt>
                <c:pt idx="214">
                  <c:v>1281</c:v>
                </c:pt>
                <c:pt idx="215">
                  <c:v>1289</c:v>
                </c:pt>
                <c:pt idx="216">
                  <c:v>1271</c:v>
                </c:pt>
                <c:pt idx="217">
                  <c:v>1300</c:v>
                </c:pt>
                <c:pt idx="218">
                  <c:v>1367</c:v>
                </c:pt>
                <c:pt idx="219">
                  <c:v>1382</c:v>
                </c:pt>
                <c:pt idx="220">
                  <c:v>1424</c:v>
                </c:pt>
                <c:pt idx="221">
                  <c:v>1424</c:v>
                </c:pt>
                <c:pt idx="222">
                  <c:v>1367</c:v>
                </c:pt>
                <c:pt idx="223">
                  <c:v>1384</c:v>
                </c:pt>
                <c:pt idx="224">
                  <c:v>1381</c:v>
                </c:pt>
                <c:pt idx="225">
                  <c:v>1365</c:v>
                </c:pt>
                <c:pt idx="226">
                  <c:v>1402</c:v>
                </c:pt>
                <c:pt idx="227">
                  <c:v>1368</c:v>
                </c:pt>
                <c:pt idx="228">
                  <c:v>1397</c:v>
                </c:pt>
                <c:pt idx="229">
                  <c:v>1390</c:v>
                </c:pt>
                <c:pt idx="230">
                  <c:v>1401</c:v>
                </c:pt>
                <c:pt idx="231">
                  <c:v>1438</c:v>
                </c:pt>
                <c:pt idx="232">
                  <c:v>1425</c:v>
                </c:pt>
                <c:pt idx="233">
                  <c:v>1494</c:v>
                </c:pt>
                <c:pt idx="234">
                  <c:v>1536</c:v>
                </c:pt>
                <c:pt idx="235">
                  <c:v>1605</c:v>
                </c:pt>
                <c:pt idx="236">
                  <c:v>1583</c:v>
                </c:pt>
                <c:pt idx="237">
                  <c:v>1517</c:v>
                </c:pt>
                <c:pt idx="238">
                  <c:v>1471</c:v>
                </c:pt>
                <c:pt idx="239">
                  <c:v>1431</c:v>
                </c:pt>
                <c:pt idx="240">
                  <c:v>1389</c:v>
                </c:pt>
                <c:pt idx="241">
                  <c:v>1358</c:v>
                </c:pt>
                <c:pt idx="242">
                  <c:v>1318</c:v>
                </c:pt>
                <c:pt idx="243">
                  <c:v>1301</c:v>
                </c:pt>
                <c:pt idx="244">
                  <c:v>1268</c:v>
                </c:pt>
                <c:pt idx="245">
                  <c:v>1249</c:v>
                </c:pt>
                <c:pt idx="246">
                  <c:v>1225</c:v>
                </c:pt>
                <c:pt idx="247">
                  <c:v>1234</c:v>
                </c:pt>
                <c:pt idx="248">
                  <c:v>1225</c:v>
                </c:pt>
                <c:pt idx="249">
                  <c:v>1212</c:v>
                </c:pt>
                <c:pt idx="250">
                  <c:v>1186</c:v>
                </c:pt>
                <c:pt idx="251">
                  <c:v>1179</c:v>
                </c:pt>
                <c:pt idx="252">
                  <c:v>1153</c:v>
                </c:pt>
                <c:pt idx="253">
                  <c:v>1135</c:v>
                </c:pt>
                <c:pt idx="254">
                  <c:v>1102</c:v>
                </c:pt>
                <c:pt idx="255">
                  <c:v>1092</c:v>
                </c:pt>
                <c:pt idx="256">
                  <c:v>1076</c:v>
                </c:pt>
                <c:pt idx="257">
                  <c:v>1063</c:v>
                </c:pt>
                <c:pt idx="258">
                  <c:v>1051</c:v>
                </c:pt>
                <c:pt idx="259">
                  <c:v>1035</c:v>
                </c:pt>
                <c:pt idx="260">
                  <c:v>1028</c:v>
                </c:pt>
                <c:pt idx="261">
                  <c:v>1013</c:v>
                </c:pt>
                <c:pt idx="262">
                  <c:v>1003</c:v>
                </c:pt>
                <c:pt idx="263">
                  <c:v>992</c:v>
                </c:pt>
                <c:pt idx="264">
                  <c:v>986</c:v>
                </c:pt>
                <c:pt idx="265">
                  <c:v>981</c:v>
                </c:pt>
                <c:pt idx="266">
                  <c:v>976</c:v>
                </c:pt>
                <c:pt idx="267">
                  <c:v>975</c:v>
                </c:pt>
                <c:pt idx="268">
                  <c:v>974</c:v>
                </c:pt>
                <c:pt idx="269">
                  <c:v>1059</c:v>
                </c:pt>
                <c:pt idx="270">
                  <c:v>1187</c:v>
                </c:pt>
                <c:pt idx="271">
                  <c:v>1238</c:v>
                </c:pt>
                <c:pt idx="272">
                  <c:v>1240</c:v>
                </c:pt>
                <c:pt idx="273">
                  <c:v>1287</c:v>
                </c:pt>
                <c:pt idx="274">
                  <c:v>1265</c:v>
                </c:pt>
                <c:pt idx="275">
                  <c:v>1335</c:v>
                </c:pt>
                <c:pt idx="276">
                  <c:v>1396</c:v>
                </c:pt>
                <c:pt idx="277">
                  <c:v>1387</c:v>
                </c:pt>
                <c:pt idx="278">
                  <c:v>1336</c:v>
                </c:pt>
                <c:pt idx="279">
                  <c:v>1292</c:v>
                </c:pt>
                <c:pt idx="280">
                  <c:v>1275</c:v>
                </c:pt>
                <c:pt idx="281">
                  <c:v>1264</c:v>
                </c:pt>
                <c:pt idx="282">
                  <c:v>1258</c:v>
                </c:pt>
                <c:pt idx="283">
                  <c:v>1274</c:v>
                </c:pt>
                <c:pt idx="284">
                  <c:v>1296</c:v>
                </c:pt>
                <c:pt idx="285">
                  <c:v>1460</c:v>
                </c:pt>
                <c:pt idx="286">
                  <c:v>1562</c:v>
                </c:pt>
                <c:pt idx="287">
                  <c:v>1645</c:v>
                </c:pt>
                <c:pt idx="288">
                  <c:v>1705</c:v>
                </c:pt>
                <c:pt idx="289">
                  <c:v>1857</c:v>
                </c:pt>
                <c:pt idx="290">
                  <c:v>1957</c:v>
                </c:pt>
                <c:pt idx="291">
                  <c:v>2062</c:v>
                </c:pt>
                <c:pt idx="292">
                  <c:v>1878</c:v>
                </c:pt>
                <c:pt idx="293">
                  <c:v>1789</c:v>
                </c:pt>
                <c:pt idx="294">
                  <c:v>1788</c:v>
                </c:pt>
                <c:pt idx="295">
                  <c:v>1754</c:v>
                </c:pt>
                <c:pt idx="296">
                  <c:v>1752</c:v>
                </c:pt>
                <c:pt idx="297">
                  <c:v>1743</c:v>
                </c:pt>
                <c:pt idx="298">
                  <c:v>1733</c:v>
                </c:pt>
                <c:pt idx="299">
                  <c:v>1702</c:v>
                </c:pt>
                <c:pt idx="300">
                  <c:v>1639</c:v>
                </c:pt>
              </c:numCache>
            </c:numRef>
          </c:val>
          <c:smooth val="0"/>
        </c:ser>
        <c:ser>
          <c:idx val="3"/>
          <c:order val="2"/>
          <c:tx>
            <c:strRef>
              <c:f>'carbon dioxide occupancy'!$E$1</c:f>
              <c:strCache>
                <c:ptCount val="1"/>
                <c:pt idx="0">
                  <c:v>Carbon Dioxide Guideline</c:v>
                </c:pt>
              </c:strCache>
            </c:strRef>
          </c:tx>
          <c:spPr>
            <a:ln w="22225"/>
          </c:spPr>
          <c:marker>
            <c:symbol val="none"/>
          </c:marker>
          <c:val>
            <c:numRef>
              <c:f>'carbon dioxide occupancy'!$E$2:$E$302</c:f>
              <c:numCache>
                <c:formatCode>General</c:formatCode>
                <c:ptCount val="301"/>
                <c:pt idx="0">
                  <c:v>1000</c:v>
                </c:pt>
                <c:pt idx="1">
                  <c:v>1000</c:v>
                </c:pt>
                <c:pt idx="2">
                  <c:v>1000</c:v>
                </c:pt>
                <c:pt idx="3">
                  <c:v>1000</c:v>
                </c:pt>
                <c:pt idx="4">
                  <c:v>1000</c:v>
                </c:pt>
                <c:pt idx="5">
                  <c:v>1000</c:v>
                </c:pt>
                <c:pt idx="6">
                  <c:v>1000</c:v>
                </c:pt>
                <c:pt idx="7">
                  <c:v>1000</c:v>
                </c:pt>
                <c:pt idx="8">
                  <c:v>1000</c:v>
                </c:pt>
                <c:pt idx="9">
                  <c:v>1000</c:v>
                </c:pt>
                <c:pt idx="10">
                  <c:v>1000</c:v>
                </c:pt>
                <c:pt idx="11">
                  <c:v>1000</c:v>
                </c:pt>
                <c:pt idx="12">
                  <c:v>1000</c:v>
                </c:pt>
                <c:pt idx="13">
                  <c:v>1000</c:v>
                </c:pt>
                <c:pt idx="14">
                  <c:v>1000</c:v>
                </c:pt>
                <c:pt idx="15">
                  <c:v>1000</c:v>
                </c:pt>
                <c:pt idx="16">
                  <c:v>1000</c:v>
                </c:pt>
                <c:pt idx="17">
                  <c:v>1000</c:v>
                </c:pt>
                <c:pt idx="18">
                  <c:v>1000</c:v>
                </c:pt>
                <c:pt idx="19">
                  <c:v>1000</c:v>
                </c:pt>
                <c:pt idx="20">
                  <c:v>1000</c:v>
                </c:pt>
                <c:pt idx="21">
                  <c:v>1000</c:v>
                </c:pt>
                <c:pt idx="22">
                  <c:v>1000</c:v>
                </c:pt>
                <c:pt idx="23">
                  <c:v>1000</c:v>
                </c:pt>
                <c:pt idx="24">
                  <c:v>1000</c:v>
                </c:pt>
                <c:pt idx="25">
                  <c:v>1000</c:v>
                </c:pt>
                <c:pt idx="26">
                  <c:v>1000</c:v>
                </c:pt>
                <c:pt idx="27">
                  <c:v>1000</c:v>
                </c:pt>
                <c:pt idx="28">
                  <c:v>1000</c:v>
                </c:pt>
                <c:pt idx="29">
                  <c:v>1000</c:v>
                </c:pt>
                <c:pt idx="30">
                  <c:v>1000</c:v>
                </c:pt>
                <c:pt idx="31">
                  <c:v>1000</c:v>
                </c:pt>
                <c:pt idx="32">
                  <c:v>1000</c:v>
                </c:pt>
                <c:pt idx="33">
                  <c:v>1000</c:v>
                </c:pt>
                <c:pt idx="34">
                  <c:v>1000</c:v>
                </c:pt>
                <c:pt idx="35">
                  <c:v>1000</c:v>
                </c:pt>
                <c:pt idx="36">
                  <c:v>1000</c:v>
                </c:pt>
                <c:pt idx="37">
                  <c:v>1000</c:v>
                </c:pt>
                <c:pt idx="38">
                  <c:v>1000</c:v>
                </c:pt>
                <c:pt idx="39">
                  <c:v>1000</c:v>
                </c:pt>
                <c:pt idx="40">
                  <c:v>1000</c:v>
                </c:pt>
                <c:pt idx="41">
                  <c:v>1000</c:v>
                </c:pt>
                <c:pt idx="42">
                  <c:v>1000</c:v>
                </c:pt>
                <c:pt idx="43">
                  <c:v>1000</c:v>
                </c:pt>
                <c:pt idx="44">
                  <c:v>1000</c:v>
                </c:pt>
                <c:pt idx="45">
                  <c:v>1000</c:v>
                </c:pt>
                <c:pt idx="46">
                  <c:v>1000</c:v>
                </c:pt>
                <c:pt idx="47">
                  <c:v>1000</c:v>
                </c:pt>
                <c:pt idx="48">
                  <c:v>1000</c:v>
                </c:pt>
                <c:pt idx="49">
                  <c:v>1000</c:v>
                </c:pt>
                <c:pt idx="50">
                  <c:v>1000</c:v>
                </c:pt>
                <c:pt idx="51">
                  <c:v>1000</c:v>
                </c:pt>
                <c:pt idx="52">
                  <c:v>1000</c:v>
                </c:pt>
                <c:pt idx="53">
                  <c:v>1000</c:v>
                </c:pt>
                <c:pt idx="54">
                  <c:v>1000</c:v>
                </c:pt>
                <c:pt idx="55">
                  <c:v>1000</c:v>
                </c:pt>
                <c:pt idx="56">
                  <c:v>1000</c:v>
                </c:pt>
                <c:pt idx="57">
                  <c:v>1000</c:v>
                </c:pt>
                <c:pt idx="58">
                  <c:v>1000</c:v>
                </c:pt>
                <c:pt idx="59">
                  <c:v>1000</c:v>
                </c:pt>
                <c:pt idx="60">
                  <c:v>1000</c:v>
                </c:pt>
                <c:pt idx="61">
                  <c:v>1000</c:v>
                </c:pt>
                <c:pt idx="62">
                  <c:v>1000</c:v>
                </c:pt>
                <c:pt idx="63">
                  <c:v>1000</c:v>
                </c:pt>
                <c:pt idx="64">
                  <c:v>1000</c:v>
                </c:pt>
                <c:pt idx="65">
                  <c:v>1000</c:v>
                </c:pt>
                <c:pt idx="66">
                  <c:v>1000</c:v>
                </c:pt>
                <c:pt idx="67">
                  <c:v>1000</c:v>
                </c:pt>
                <c:pt idx="68">
                  <c:v>1000</c:v>
                </c:pt>
                <c:pt idx="69">
                  <c:v>1000</c:v>
                </c:pt>
                <c:pt idx="70">
                  <c:v>1000</c:v>
                </c:pt>
                <c:pt idx="71">
                  <c:v>1000</c:v>
                </c:pt>
                <c:pt idx="72">
                  <c:v>1000</c:v>
                </c:pt>
                <c:pt idx="73">
                  <c:v>1000</c:v>
                </c:pt>
                <c:pt idx="74">
                  <c:v>1000</c:v>
                </c:pt>
                <c:pt idx="75">
                  <c:v>1000</c:v>
                </c:pt>
                <c:pt idx="76">
                  <c:v>1000</c:v>
                </c:pt>
                <c:pt idx="77">
                  <c:v>1000</c:v>
                </c:pt>
                <c:pt idx="78">
                  <c:v>1000</c:v>
                </c:pt>
                <c:pt idx="79">
                  <c:v>1000</c:v>
                </c:pt>
                <c:pt idx="80">
                  <c:v>1000</c:v>
                </c:pt>
                <c:pt idx="81">
                  <c:v>1000</c:v>
                </c:pt>
                <c:pt idx="82">
                  <c:v>1000</c:v>
                </c:pt>
                <c:pt idx="83">
                  <c:v>1000</c:v>
                </c:pt>
                <c:pt idx="84">
                  <c:v>1000</c:v>
                </c:pt>
                <c:pt idx="85">
                  <c:v>1000</c:v>
                </c:pt>
                <c:pt idx="86">
                  <c:v>1000</c:v>
                </c:pt>
                <c:pt idx="87">
                  <c:v>1000</c:v>
                </c:pt>
                <c:pt idx="88">
                  <c:v>1000</c:v>
                </c:pt>
                <c:pt idx="89">
                  <c:v>1000</c:v>
                </c:pt>
                <c:pt idx="90">
                  <c:v>1000</c:v>
                </c:pt>
                <c:pt idx="91">
                  <c:v>1000</c:v>
                </c:pt>
                <c:pt idx="92">
                  <c:v>1000</c:v>
                </c:pt>
                <c:pt idx="93">
                  <c:v>1000</c:v>
                </c:pt>
                <c:pt idx="94">
                  <c:v>1000</c:v>
                </c:pt>
                <c:pt idx="95">
                  <c:v>1000</c:v>
                </c:pt>
                <c:pt idx="96">
                  <c:v>1000</c:v>
                </c:pt>
                <c:pt idx="97">
                  <c:v>1000</c:v>
                </c:pt>
                <c:pt idx="98">
                  <c:v>1000</c:v>
                </c:pt>
                <c:pt idx="99">
                  <c:v>1000</c:v>
                </c:pt>
                <c:pt idx="100">
                  <c:v>1000</c:v>
                </c:pt>
                <c:pt idx="101">
                  <c:v>1000</c:v>
                </c:pt>
                <c:pt idx="102">
                  <c:v>1000</c:v>
                </c:pt>
                <c:pt idx="103">
                  <c:v>1000</c:v>
                </c:pt>
                <c:pt idx="104">
                  <c:v>1000</c:v>
                </c:pt>
                <c:pt idx="105">
                  <c:v>1000</c:v>
                </c:pt>
                <c:pt idx="106">
                  <c:v>1000</c:v>
                </c:pt>
                <c:pt idx="107">
                  <c:v>1000</c:v>
                </c:pt>
                <c:pt idx="108">
                  <c:v>1000</c:v>
                </c:pt>
                <c:pt idx="109">
                  <c:v>1000</c:v>
                </c:pt>
                <c:pt idx="110">
                  <c:v>1000</c:v>
                </c:pt>
                <c:pt idx="111">
                  <c:v>1000</c:v>
                </c:pt>
                <c:pt idx="112">
                  <c:v>1000</c:v>
                </c:pt>
                <c:pt idx="113">
                  <c:v>1000</c:v>
                </c:pt>
                <c:pt idx="114">
                  <c:v>1000</c:v>
                </c:pt>
                <c:pt idx="115">
                  <c:v>1000</c:v>
                </c:pt>
                <c:pt idx="116">
                  <c:v>1000</c:v>
                </c:pt>
                <c:pt idx="117">
                  <c:v>1000</c:v>
                </c:pt>
                <c:pt idx="118">
                  <c:v>1000</c:v>
                </c:pt>
                <c:pt idx="119">
                  <c:v>1000</c:v>
                </c:pt>
                <c:pt idx="120">
                  <c:v>1000</c:v>
                </c:pt>
                <c:pt idx="121">
                  <c:v>1000</c:v>
                </c:pt>
                <c:pt idx="122">
                  <c:v>1000</c:v>
                </c:pt>
                <c:pt idx="123">
                  <c:v>1000</c:v>
                </c:pt>
                <c:pt idx="124">
                  <c:v>1000</c:v>
                </c:pt>
                <c:pt idx="125">
                  <c:v>1000</c:v>
                </c:pt>
                <c:pt idx="126">
                  <c:v>1000</c:v>
                </c:pt>
                <c:pt idx="127">
                  <c:v>1000</c:v>
                </c:pt>
                <c:pt idx="128">
                  <c:v>1000</c:v>
                </c:pt>
                <c:pt idx="129">
                  <c:v>1000</c:v>
                </c:pt>
                <c:pt idx="130">
                  <c:v>1000</c:v>
                </c:pt>
                <c:pt idx="131">
                  <c:v>1000</c:v>
                </c:pt>
                <c:pt idx="132">
                  <c:v>1000</c:v>
                </c:pt>
                <c:pt idx="133">
                  <c:v>1000</c:v>
                </c:pt>
                <c:pt idx="134">
                  <c:v>1000</c:v>
                </c:pt>
                <c:pt idx="135">
                  <c:v>1000</c:v>
                </c:pt>
                <c:pt idx="136">
                  <c:v>1000</c:v>
                </c:pt>
                <c:pt idx="137">
                  <c:v>1000</c:v>
                </c:pt>
                <c:pt idx="138">
                  <c:v>1000</c:v>
                </c:pt>
                <c:pt idx="139">
                  <c:v>1000</c:v>
                </c:pt>
                <c:pt idx="140">
                  <c:v>1000</c:v>
                </c:pt>
                <c:pt idx="141">
                  <c:v>1000</c:v>
                </c:pt>
                <c:pt idx="142">
                  <c:v>1000</c:v>
                </c:pt>
                <c:pt idx="143">
                  <c:v>1000</c:v>
                </c:pt>
                <c:pt idx="144">
                  <c:v>1000</c:v>
                </c:pt>
                <c:pt idx="145">
                  <c:v>1000</c:v>
                </c:pt>
                <c:pt idx="146">
                  <c:v>1000</c:v>
                </c:pt>
                <c:pt idx="147">
                  <c:v>1000</c:v>
                </c:pt>
                <c:pt idx="148">
                  <c:v>1000</c:v>
                </c:pt>
                <c:pt idx="149">
                  <c:v>1000</c:v>
                </c:pt>
                <c:pt idx="150">
                  <c:v>1000</c:v>
                </c:pt>
                <c:pt idx="151">
                  <c:v>1000</c:v>
                </c:pt>
                <c:pt idx="152">
                  <c:v>1000</c:v>
                </c:pt>
                <c:pt idx="153">
                  <c:v>1000</c:v>
                </c:pt>
                <c:pt idx="154">
                  <c:v>1000</c:v>
                </c:pt>
                <c:pt idx="155">
                  <c:v>1000</c:v>
                </c:pt>
                <c:pt idx="156">
                  <c:v>1000</c:v>
                </c:pt>
                <c:pt idx="157">
                  <c:v>1000</c:v>
                </c:pt>
                <c:pt idx="158">
                  <c:v>1000</c:v>
                </c:pt>
                <c:pt idx="159">
                  <c:v>1000</c:v>
                </c:pt>
                <c:pt idx="160">
                  <c:v>1000</c:v>
                </c:pt>
                <c:pt idx="161">
                  <c:v>1000</c:v>
                </c:pt>
                <c:pt idx="162">
                  <c:v>1000</c:v>
                </c:pt>
                <c:pt idx="163">
                  <c:v>1000</c:v>
                </c:pt>
                <c:pt idx="164">
                  <c:v>1000</c:v>
                </c:pt>
                <c:pt idx="165">
                  <c:v>1000</c:v>
                </c:pt>
                <c:pt idx="166">
                  <c:v>1000</c:v>
                </c:pt>
                <c:pt idx="167">
                  <c:v>1000</c:v>
                </c:pt>
                <c:pt idx="168">
                  <c:v>1000</c:v>
                </c:pt>
                <c:pt idx="169">
                  <c:v>1000</c:v>
                </c:pt>
                <c:pt idx="170">
                  <c:v>1000</c:v>
                </c:pt>
                <c:pt idx="171">
                  <c:v>1000</c:v>
                </c:pt>
                <c:pt idx="172">
                  <c:v>1000</c:v>
                </c:pt>
                <c:pt idx="173">
                  <c:v>1000</c:v>
                </c:pt>
                <c:pt idx="174">
                  <c:v>1000</c:v>
                </c:pt>
                <c:pt idx="175">
                  <c:v>1000</c:v>
                </c:pt>
                <c:pt idx="176">
                  <c:v>1000</c:v>
                </c:pt>
                <c:pt idx="177">
                  <c:v>1000</c:v>
                </c:pt>
                <c:pt idx="178">
                  <c:v>1000</c:v>
                </c:pt>
                <c:pt idx="179">
                  <c:v>1000</c:v>
                </c:pt>
                <c:pt idx="180">
                  <c:v>1000</c:v>
                </c:pt>
                <c:pt idx="181">
                  <c:v>1000</c:v>
                </c:pt>
                <c:pt idx="182">
                  <c:v>1000</c:v>
                </c:pt>
                <c:pt idx="183">
                  <c:v>1000</c:v>
                </c:pt>
                <c:pt idx="184">
                  <c:v>1000</c:v>
                </c:pt>
                <c:pt idx="185">
                  <c:v>1000</c:v>
                </c:pt>
                <c:pt idx="186">
                  <c:v>1000</c:v>
                </c:pt>
                <c:pt idx="187">
                  <c:v>1000</c:v>
                </c:pt>
                <c:pt idx="188">
                  <c:v>1000</c:v>
                </c:pt>
                <c:pt idx="189">
                  <c:v>1000</c:v>
                </c:pt>
                <c:pt idx="190">
                  <c:v>1000</c:v>
                </c:pt>
                <c:pt idx="191">
                  <c:v>1000</c:v>
                </c:pt>
                <c:pt idx="192">
                  <c:v>1000</c:v>
                </c:pt>
                <c:pt idx="193">
                  <c:v>1000</c:v>
                </c:pt>
                <c:pt idx="194">
                  <c:v>1000</c:v>
                </c:pt>
                <c:pt idx="195">
                  <c:v>1000</c:v>
                </c:pt>
                <c:pt idx="196">
                  <c:v>1000</c:v>
                </c:pt>
                <c:pt idx="197">
                  <c:v>1000</c:v>
                </c:pt>
                <c:pt idx="198">
                  <c:v>1000</c:v>
                </c:pt>
                <c:pt idx="199">
                  <c:v>1000</c:v>
                </c:pt>
                <c:pt idx="200">
                  <c:v>1000</c:v>
                </c:pt>
                <c:pt idx="201">
                  <c:v>1000</c:v>
                </c:pt>
                <c:pt idx="202">
                  <c:v>1000</c:v>
                </c:pt>
                <c:pt idx="203">
                  <c:v>1000</c:v>
                </c:pt>
                <c:pt idx="204">
                  <c:v>1000</c:v>
                </c:pt>
                <c:pt idx="205">
                  <c:v>1000</c:v>
                </c:pt>
                <c:pt idx="206">
                  <c:v>1000</c:v>
                </c:pt>
                <c:pt idx="207">
                  <c:v>1000</c:v>
                </c:pt>
                <c:pt idx="208">
                  <c:v>1000</c:v>
                </c:pt>
                <c:pt idx="209">
                  <c:v>1000</c:v>
                </c:pt>
                <c:pt idx="210">
                  <c:v>1000</c:v>
                </c:pt>
                <c:pt idx="211">
                  <c:v>1000</c:v>
                </c:pt>
                <c:pt idx="212">
                  <c:v>1000</c:v>
                </c:pt>
                <c:pt idx="213">
                  <c:v>1000</c:v>
                </c:pt>
                <c:pt idx="214">
                  <c:v>1000</c:v>
                </c:pt>
                <c:pt idx="215">
                  <c:v>1000</c:v>
                </c:pt>
                <c:pt idx="216">
                  <c:v>1000</c:v>
                </c:pt>
                <c:pt idx="217">
                  <c:v>1000</c:v>
                </c:pt>
                <c:pt idx="218">
                  <c:v>1000</c:v>
                </c:pt>
                <c:pt idx="219">
                  <c:v>1000</c:v>
                </c:pt>
                <c:pt idx="220">
                  <c:v>1000</c:v>
                </c:pt>
                <c:pt idx="221">
                  <c:v>1000</c:v>
                </c:pt>
                <c:pt idx="222">
                  <c:v>1000</c:v>
                </c:pt>
                <c:pt idx="223">
                  <c:v>1000</c:v>
                </c:pt>
                <c:pt idx="224">
                  <c:v>1000</c:v>
                </c:pt>
                <c:pt idx="225">
                  <c:v>1000</c:v>
                </c:pt>
                <c:pt idx="226">
                  <c:v>1000</c:v>
                </c:pt>
                <c:pt idx="227">
                  <c:v>1000</c:v>
                </c:pt>
                <c:pt idx="228">
                  <c:v>1000</c:v>
                </c:pt>
                <c:pt idx="229">
                  <c:v>1000</c:v>
                </c:pt>
                <c:pt idx="230">
                  <c:v>1000</c:v>
                </c:pt>
                <c:pt idx="231">
                  <c:v>1000</c:v>
                </c:pt>
                <c:pt idx="232">
                  <c:v>1000</c:v>
                </c:pt>
                <c:pt idx="233">
                  <c:v>1000</c:v>
                </c:pt>
                <c:pt idx="234">
                  <c:v>1000</c:v>
                </c:pt>
                <c:pt idx="235">
                  <c:v>1000</c:v>
                </c:pt>
                <c:pt idx="236">
                  <c:v>1000</c:v>
                </c:pt>
                <c:pt idx="237">
                  <c:v>1000</c:v>
                </c:pt>
                <c:pt idx="238">
                  <c:v>1000</c:v>
                </c:pt>
                <c:pt idx="239">
                  <c:v>1000</c:v>
                </c:pt>
                <c:pt idx="240">
                  <c:v>1000</c:v>
                </c:pt>
                <c:pt idx="241">
                  <c:v>1000</c:v>
                </c:pt>
                <c:pt idx="242">
                  <c:v>1000</c:v>
                </c:pt>
                <c:pt idx="243">
                  <c:v>1000</c:v>
                </c:pt>
                <c:pt idx="244">
                  <c:v>1000</c:v>
                </c:pt>
                <c:pt idx="245">
                  <c:v>1000</c:v>
                </c:pt>
                <c:pt idx="246">
                  <c:v>1000</c:v>
                </c:pt>
                <c:pt idx="247">
                  <c:v>1000</c:v>
                </c:pt>
                <c:pt idx="248">
                  <c:v>1000</c:v>
                </c:pt>
                <c:pt idx="249">
                  <c:v>1000</c:v>
                </c:pt>
                <c:pt idx="250">
                  <c:v>1000</c:v>
                </c:pt>
                <c:pt idx="251">
                  <c:v>1000</c:v>
                </c:pt>
                <c:pt idx="252">
                  <c:v>1000</c:v>
                </c:pt>
                <c:pt idx="253">
                  <c:v>1000</c:v>
                </c:pt>
                <c:pt idx="254">
                  <c:v>1000</c:v>
                </c:pt>
                <c:pt idx="255">
                  <c:v>1000</c:v>
                </c:pt>
                <c:pt idx="256">
                  <c:v>1000</c:v>
                </c:pt>
                <c:pt idx="257">
                  <c:v>1000</c:v>
                </c:pt>
                <c:pt idx="258">
                  <c:v>1000</c:v>
                </c:pt>
                <c:pt idx="259">
                  <c:v>1000</c:v>
                </c:pt>
                <c:pt idx="260">
                  <c:v>1000</c:v>
                </c:pt>
                <c:pt idx="261">
                  <c:v>1000</c:v>
                </c:pt>
                <c:pt idx="262">
                  <c:v>1000</c:v>
                </c:pt>
                <c:pt idx="263">
                  <c:v>1000</c:v>
                </c:pt>
                <c:pt idx="264">
                  <c:v>1000</c:v>
                </c:pt>
                <c:pt idx="265">
                  <c:v>1000</c:v>
                </c:pt>
                <c:pt idx="266">
                  <c:v>1000</c:v>
                </c:pt>
                <c:pt idx="267">
                  <c:v>1000</c:v>
                </c:pt>
                <c:pt idx="268">
                  <c:v>1000</c:v>
                </c:pt>
                <c:pt idx="269">
                  <c:v>1000</c:v>
                </c:pt>
                <c:pt idx="270">
                  <c:v>1000</c:v>
                </c:pt>
                <c:pt idx="271">
                  <c:v>1000</c:v>
                </c:pt>
                <c:pt idx="272">
                  <c:v>1000</c:v>
                </c:pt>
                <c:pt idx="273">
                  <c:v>1000</c:v>
                </c:pt>
                <c:pt idx="274">
                  <c:v>1000</c:v>
                </c:pt>
                <c:pt idx="275">
                  <c:v>1000</c:v>
                </c:pt>
                <c:pt idx="276">
                  <c:v>1000</c:v>
                </c:pt>
                <c:pt idx="277">
                  <c:v>1000</c:v>
                </c:pt>
                <c:pt idx="278">
                  <c:v>1000</c:v>
                </c:pt>
                <c:pt idx="279">
                  <c:v>1000</c:v>
                </c:pt>
                <c:pt idx="280">
                  <c:v>1000</c:v>
                </c:pt>
                <c:pt idx="281">
                  <c:v>1000</c:v>
                </c:pt>
                <c:pt idx="282">
                  <c:v>1000</c:v>
                </c:pt>
                <c:pt idx="283">
                  <c:v>1000</c:v>
                </c:pt>
                <c:pt idx="284">
                  <c:v>1000</c:v>
                </c:pt>
                <c:pt idx="285">
                  <c:v>1000</c:v>
                </c:pt>
                <c:pt idx="286">
                  <c:v>1000</c:v>
                </c:pt>
                <c:pt idx="287">
                  <c:v>1000</c:v>
                </c:pt>
                <c:pt idx="288">
                  <c:v>1000</c:v>
                </c:pt>
                <c:pt idx="289">
                  <c:v>1000</c:v>
                </c:pt>
                <c:pt idx="290">
                  <c:v>1000</c:v>
                </c:pt>
                <c:pt idx="291">
                  <c:v>1000</c:v>
                </c:pt>
                <c:pt idx="292">
                  <c:v>1000</c:v>
                </c:pt>
                <c:pt idx="293">
                  <c:v>1000</c:v>
                </c:pt>
                <c:pt idx="294">
                  <c:v>1000</c:v>
                </c:pt>
                <c:pt idx="295">
                  <c:v>1000</c:v>
                </c:pt>
                <c:pt idx="296">
                  <c:v>1000</c:v>
                </c:pt>
                <c:pt idx="297">
                  <c:v>1000</c:v>
                </c:pt>
                <c:pt idx="298">
                  <c:v>1000</c:v>
                </c:pt>
                <c:pt idx="299">
                  <c:v>1000</c:v>
                </c:pt>
                <c:pt idx="300">
                  <c:v>1000</c:v>
                </c:pt>
              </c:numCache>
            </c:numRef>
          </c:val>
          <c:smooth val="0"/>
        </c:ser>
        <c:dLbls>
          <c:showLegendKey val="0"/>
          <c:showVal val="0"/>
          <c:showCatName val="0"/>
          <c:showSerName val="0"/>
          <c:showPercent val="0"/>
          <c:showBubbleSize val="0"/>
        </c:dLbls>
        <c:marker val="1"/>
        <c:smooth val="0"/>
        <c:axId val="201982720"/>
        <c:axId val="201984256"/>
      </c:lineChart>
      <c:catAx>
        <c:axId val="201982720"/>
        <c:scaling>
          <c:orientation val="minMax"/>
        </c:scaling>
        <c:delete val="0"/>
        <c:axPos val="b"/>
        <c:numFmt formatCode="hh:mm" sourceLinked="1"/>
        <c:majorTickMark val="none"/>
        <c:minorTickMark val="none"/>
        <c:tickLblPos val="nextTo"/>
        <c:txPr>
          <a:bodyPr/>
          <a:lstStyle/>
          <a:p>
            <a:pPr>
              <a:defRPr sz="800">
                <a:latin typeface="Arial Unicode MS" panose="020B0604020202020204" pitchFamily="34" charset="-128"/>
                <a:ea typeface="Arial Unicode MS" panose="020B0604020202020204" pitchFamily="34" charset="-128"/>
                <a:cs typeface="Arial Unicode MS" panose="020B0604020202020204" pitchFamily="34" charset="-128"/>
              </a:defRPr>
            </a:pPr>
            <a:endParaRPr lang="en-US"/>
          </a:p>
        </c:txPr>
        <c:crossAx val="201984256"/>
        <c:crosses val="autoZero"/>
        <c:auto val="1"/>
        <c:lblAlgn val="ctr"/>
        <c:lblOffset val="100"/>
        <c:noMultiLvlLbl val="0"/>
      </c:catAx>
      <c:valAx>
        <c:axId val="201984256"/>
        <c:scaling>
          <c:orientation val="minMax"/>
        </c:scaling>
        <c:delete val="0"/>
        <c:axPos val="l"/>
        <c:majorGridlines>
          <c:spPr>
            <a:ln>
              <a:solidFill>
                <a:schemeClr val="bg1">
                  <a:lumMod val="85000"/>
                </a:schemeClr>
              </a:solidFill>
            </a:ln>
          </c:spPr>
        </c:majorGridlines>
        <c:title>
          <c:tx>
            <c:rich>
              <a:bodyPr rot="-5400000" vert="horz"/>
              <a:lstStyle/>
              <a:p>
                <a:pPr>
                  <a:defRPr sz="800" b="0">
                    <a:latin typeface="Arial Unicode MS" panose="020B0604020202020204" pitchFamily="34" charset="-128"/>
                    <a:ea typeface="Arial Unicode MS" panose="020B0604020202020204" pitchFamily="34" charset="-128"/>
                    <a:cs typeface="Arial Unicode MS" panose="020B0604020202020204" pitchFamily="34" charset="-128"/>
                  </a:defRPr>
                </a:pPr>
                <a:r>
                  <a:rPr lang="en-GB" sz="800" b="0">
                    <a:latin typeface="Arial Unicode MS" panose="020B0604020202020204" pitchFamily="34" charset="-128"/>
                    <a:ea typeface="Arial Unicode MS" panose="020B0604020202020204" pitchFamily="34" charset="-128"/>
                    <a:cs typeface="Arial Unicode MS" panose="020B0604020202020204" pitchFamily="34" charset="-128"/>
                  </a:rPr>
                  <a:t>Carbon Dioxide levels (ppm)</a:t>
                </a:r>
              </a:p>
            </c:rich>
          </c:tx>
          <c:overlay val="0"/>
        </c:title>
        <c:numFmt formatCode="General" sourceLinked="1"/>
        <c:majorTickMark val="none"/>
        <c:minorTickMark val="none"/>
        <c:tickLblPos val="nextTo"/>
        <c:txPr>
          <a:bodyPr/>
          <a:lstStyle/>
          <a:p>
            <a:pPr>
              <a:defRPr sz="800">
                <a:latin typeface="Arial Unicode MS" panose="020B0604020202020204" pitchFamily="34" charset="-128"/>
                <a:ea typeface="Arial Unicode MS" panose="020B0604020202020204" pitchFamily="34" charset="-128"/>
                <a:cs typeface="Arial Unicode MS" panose="020B0604020202020204" pitchFamily="34" charset="-128"/>
              </a:defRPr>
            </a:pPr>
            <a:endParaRPr lang="en-US"/>
          </a:p>
        </c:txPr>
        <c:crossAx val="201982720"/>
        <c:crosses val="autoZero"/>
        <c:crossBetween val="between"/>
      </c:valAx>
      <c:valAx>
        <c:axId val="201986432"/>
        <c:scaling>
          <c:orientation val="minMax"/>
          <c:max val="12"/>
        </c:scaling>
        <c:delete val="0"/>
        <c:axPos val="r"/>
        <c:title>
          <c:tx>
            <c:rich>
              <a:bodyPr rot="-5400000" vert="horz"/>
              <a:lstStyle/>
              <a:p>
                <a:pPr>
                  <a:defRPr sz="800" b="0">
                    <a:latin typeface="Arial Unicode MS" panose="020B0604020202020204" pitchFamily="34" charset="-128"/>
                    <a:ea typeface="Arial Unicode MS" panose="020B0604020202020204" pitchFamily="34" charset="-128"/>
                    <a:cs typeface="Arial Unicode MS" panose="020B0604020202020204" pitchFamily="34" charset="-128"/>
                  </a:defRPr>
                </a:pPr>
                <a:r>
                  <a:rPr lang="en-GB" sz="800" b="0">
                    <a:latin typeface="Arial Unicode MS" panose="020B0604020202020204" pitchFamily="34" charset="-128"/>
                    <a:ea typeface="Arial Unicode MS" panose="020B0604020202020204" pitchFamily="34" charset="-128"/>
                    <a:cs typeface="Arial Unicode MS" panose="020B0604020202020204" pitchFamily="34" charset="-128"/>
                  </a:rPr>
                  <a:t>Average Occupancy (per hour)</a:t>
                </a:r>
              </a:p>
            </c:rich>
          </c:tx>
          <c:layout>
            <c:manualLayout>
              <c:xMode val="edge"/>
              <c:yMode val="edge"/>
              <c:x val="0.96459300760482358"/>
              <c:y val="9.7860243016228254E-2"/>
            </c:manualLayout>
          </c:layout>
          <c:overlay val="0"/>
        </c:title>
        <c:numFmt formatCode="General" sourceLinked="1"/>
        <c:majorTickMark val="none"/>
        <c:minorTickMark val="none"/>
        <c:tickLblPos val="nextTo"/>
        <c:txPr>
          <a:bodyPr/>
          <a:lstStyle/>
          <a:p>
            <a:pPr>
              <a:defRPr sz="800">
                <a:latin typeface="Arial Unicode MS" panose="020B0604020202020204" pitchFamily="34" charset="-128"/>
                <a:ea typeface="Arial Unicode MS" panose="020B0604020202020204" pitchFamily="34" charset="-128"/>
                <a:cs typeface="Arial Unicode MS" panose="020B0604020202020204" pitchFamily="34" charset="-128"/>
              </a:defRPr>
            </a:pPr>
            <a:endParaRPr lang="en-US"/>
          </a:p>
        </c:txPr>
        <c:crossAx val="201988352"/>
        <c:crosses val="max"/>
        <c:crossBetween val="between"/>
        <c:majorUnit val="1"/>
      </c:valAx>
      <c:catAx>
        <c:axId val="201988352"/>
        <c:scaling>
          <c:orientation val="minMax"/>
        </c:scaling>
        <c:delete val="1"/>
        <c:axPos val="b"/>
        <c:numFmt formatCode="hh:mm" sourceLinked="1"/>
        <c:majorTickMark val="out"/>
        <c:minorTickMark val="none"/>
        <c:tickLblPos val="none"/>
        <c:crossAx val="201986432"/>
        <c:crosses val="autoZero"/>
        <c:auto val="1"/>
        <c:lblAlgn val="ctr"/>
        <c:lblOffset val="100"/>
        <c:noMultiLvlLbl val="0"/>
      </c:catAx>
      <c:spPr>
        <a:solidFill>
          <a:schemeClr val="bg1">
            <a:lumMod val="95000"/>
          </a:schemeClr>
        </a:solidFill>
        <a:ln>
          <a:solidFill>
            <a:schemeClr val="bg1">
              <a:lumMod val="85000"/>
            </a:schemeClr>
          </a:solidFill>
        </a:ln>
      </c:spPr>
    </c:plotArea>
    <c:legend>
      <c:legendPos val="b"/>
      <c:layout>
        <c:manualLayout>
          <c:xMode val="edge"/>
          <c:yMode val="edge"/>
          <c:x val="6.507554344168516E-2"/>
          <c:y val="0.90039879262376465"/>
          <c:w val="0.87183717179282449"/>
          <c:h val="9.6058982210557045E-2"/>
        </c:manualLayout>
      </c:layout>
      <c:overlay val="0"/>
      <c:txPr>
        <a:bodyPr/>
        <a:lstStyle/>
        <a:p>
          <a:pPr>
            <a:defRPr sz="800">
              <a:latin typeface="Arial Unicode MS" panose="020B0604020202020204" pitchFamily="34" charset="-128"/>
              <a:ea typeface="Arial Unicode MS" panose="020B0604020202020204" pitchFamily="34" charset="-128"/>
              <a:cs typeface="Arial Unicode MS" panose="020B0604020202020204" pitchFamily="34" charset="-128"/>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a:latin typeface="Arial" panose="020B0604020202020204" pitchFamily="34" charset="0"/>
                <a:ea typeface="Arial Unicode MS" panose="020B0604020202020204" pitchFamily="34" charset="-128"/>
                <a:cs typeface="Arial" panose="020B0604020202020204" pitchFamily="34" charset="0"/>
              </a:defRPr>
            </a:pPr>
            <a:r>
              <a:rPr lang="en-US" sz="800" b="1">
                <a:latin typeface="Arial" panose="020B0604020202020204" pitchFamily="34" charset="0"/>
                <a:ea typeface="Arial Unicode MS" panose="020B0604020202020204" pitchFamily="34" charset="-128"/>
                <a:cs typeface="Arial" panose="020B0604020202020204" pitchFamily="34" charset="0"/>
              </a:rPr>
              <a:t>Frequency of drying clothes indoors without use of tumble drier</a:t>
            </a:r>
          </a:p>
        </c:rich>
      </c:tx>
      <c:layout>
        <c:manualLayout>
          <c:xMode val="edge"/>
          <c:yMode val="edge"/>
          <c:x val="0.20879565582972284"/>
          <c:y val="7.2725284339457574E-2"/>
        </c:manualLayout>
      </c:layout>
      <c:overlay val="0"/>
    </c:title>
    <c:autoTitleDeleted val="0"/>
    <c:plotArea>
      <c:layout>
        <c:manualLayout>
          <c:layoutTarget val="inner"/>
          <c:xMode val="edge"/>
          <c:yMode val="edge"/>
          <c:x val="9.5129239703860752E-2"/>
          <c:y val="0.2752823023327714"/>
          <c:w val="0.85251185510491045"/>
          <c:h val="0.53987699030894043"/>
        </c:manualLayout>
      </c:layout>
      <c:barChart>
        <c:barDir val="col"/>
        <c:grouping val="clustered"/>
        <c:varyColors val="0"/>
        <c:ser>
          <c:idx val="0"/>
          <c:order val="0"/>
          <c:tx>
            <c:strRef>
              <c:f>Sheet1!$B$1</c:f>
              <c:strCache>
                <c:ptCount val="1"/>
                <c:pt idx="0">
                  <c:v>No. of homes</c:v>
                </c:pt>
              </c:strCache>
            </c:strRef>
          </c:tx>
          <c:invertIfNegative val="0"/>
          <c:cat>
            <c:strRef>
              <c:f>Sheet1!$A$2:$A$6</c:f>
              <c:strCache>
                <c:ptCount val="5"/>
                <c:pt idx="0">
                  <c:v>Never </c:v>
                </c:pt>
                <c:pt idx="1">
                  <c:v>Rarely</c:v>
                </c:pt>
                <c:pt idx="2">
                  <c:v>Occasionally</c:v>
                </c:pt>
                <c:pt idx="3">
                  <c:v>Regularly</c:v>
                </c:pt>
                <c:pt idx="4">
                  <c:v>Constantly</c:v>
                </c:pt>
              </c:strCache>
            </c:strRef>
          </c:cat>
          <c:val>
            <c:numRef>
              <c:f>Sheet1!$B$2:$B$6</c:f>
              <c:numCache>
                <c:formatCode>General</c:formatCode>
                <c:ptCount val="5"/>
                <c:pt idx="0">
                  <c:v>0</c:v>
                </c:pt>
                <c:pt idx="1">
                  <c:v>1</c:v>
                </c:pt>
                <c:pt idx="2">
                  <c:v>0</c:v>
                </c:pt>
                <c:pt idx="3">
                  <c:v>3</c:v>
                </c:pt>
                <c:pt idx="4">
                  <c:v>2</c:v>
                </c:pt>
              </c:numCache>
            </c:numRef>
          </c:val>
        </c:ser>
        <c:dLbls>
          <c:showLegendKey val="0"/>
          <c:showVal val="0"/>
          <c:showCatName val="0"/>
          <c:showSerName val="0"/>
          <c:showPercent val="0"/>
          <c:showBubbleSize val="0"/>
        </c:dLbls>
        <c:gapWidth val="75"/>
        <c:overlap val="-25"/>
        <c:axId val="202029312"/>
        <c:axId val="202186752"/>
      </c:barChart>
      <c:catAx>
        <c:axId val="202029312"/>
        <c:scaling>
          <c:orientation val="minMax"/>
        </c:scaling>
        <c:delete val="0"/>
        <c:axPos val="b"/>
        <c:majorTickMark val="none"/>
        <c:minorTickMark val="none"/>
        <c:tickLblPos val="nextTo"/>
        <c:txPr>
          <a:bodyPr/>
          <a:lstStyle/>
          <a:p>
            <a:pPr>
              <a:defRPr sz="800">
                <a:latin typeface="Arial Unicode MS" panose="020B0604020202020204" pitchFamily="34" charset="-128"/>
                <a:ea typeface="Arial Unicode MS" panose="020B0604020202020204" pitchFamily="34" charset="-128"/>
                <a:cs typeface="Arial Unicode MS" panose="020B0604020202020204" pitchFamily="34" charset="-128"/>
              </a:defRPr>
            </a:pPr>
            <a:endParaRPr lang="en-US"/>
          </a:p>
        </c:txPr>
        <c:crossAx val="202186752"/>
        <c:crosses val="autoZero"/>
        <c:auto val="1"/>
        <c:lblAlgn val="ctr"/>
        <c:lblOffset val="100"/>
        <c:noMultiLvlLbl val="0"/>
      </c:catAx>
      <c:valAx>
        <c:axId val="202186752"/>
        <c:scaling>
          <c:orientation val="minMax"/>
        </c:scaling>
        <c:delete val="0"/>
        <c:axPos val="l"/>
        <c:majorGridlines>
          <c:spPr>
            <a:ln>
              <a:solidFill>
                <a:schemeClr val="bg1">
                  <a:lumMod val="85000"/>
                </a:schemeClr>
              </a:solidFill>
            </a:ln>
          </c:spPr>
        </c:majorGridlines>
        <c:title>
          <c:tx>
            <c:rich>
              <a:bodyPr rot="-5400000" vert="horz"/>
              <a:lstStyle/>
              <a:p>
                <a:pPr>
                  <a:defRPr sz="800" b="0">
                    <a:latin typeface="Arial Unicode MS" panose="020B0604020202020204" pitchFamily="34" charset="-128"/>
                    <a:ea typeface="Arial Unicode MS" panose="020B0604020202020204" pitchFamily="34" charset="-128"/>
                    <a:cs typeface="Arial Unicode MS" panose="020B0604020202020204" pitchFamily="34" charset="-128"/>
                  </a:defRPr>
                </a:pPr>
                <a:r>
                  <a:rPr lang="en-GB" sz="800" b="0">
                    <a:latin typeface="Arial Unicode MS" panose="020B0604020202020204" pitchFamily="34" charset="-128"/>
                    <a:ea typeface="Arial Unicode MS" panose="020B0604020202020204" pitchFamily="34" charset="-128"/>
                    <a:cs typeface="Arial Unicode MS" panose="020B0604020202020204" pitchFamily="34" charset="-128"/>
                  </a:rPr>
                  <a:t>No. of homes</a:t>
                </a:r>
              </a:p>
            </c:rich>
          </c:tx>
          <c:layout>
            <c:manualLayout>
              <c:xMode val="edge"/>
              <c:yMode val="edge"/>
              <c:x val="1.126822487166006E-2"/>
              <c:y val="0.22082026927527967"/>
            </c:manualLayout>
          </c:layout>
          <c:overlay val="0"/>
        </c:title>
        <c:numFmt formatCode="General" sourceLinked="1"/>
        <c:majorTickMark val="none"/>
        <c:minorTickMark val="none"/>
        <c:tickLblPos val="nextTo"/>
        <c:txPr>
          <a:bodyPr/>
          <a:lstStyle/>
          <a:p>
            <a:pPr>
              <a:defRPr sz="800">
                <a:latin typeface="Garamond" panose="02020404030301010803" pitchFamily="18" charset="0"/>
              </a:defRPr>
            </a:pPr>
            <a:endParaRPr lang="en-US"/>
          </a:p>
        </c:txPr>
        <c:crossAx val="202029312"/>
        <c:crosses val="autoZero"/>
        <c:crossBetween val="between"/>
        <c:majorUnit val="1"/>
      </c:valAx>
      <c:spPr>
        <a:solidFill>
          <a:schemeClr val="bg1">
            <a:lumMod val="95000"/>
          </a:schemeClr>
        </a:solidFill>
        <a:ln>
          <a:solidFill>
            <a:schemeClr val="bg1">
              <a:lumMod val="85000"/>
            </a:schemeClr>
          </a:solidFill>
        </a:ln>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latin typeface="Arial" panose="020B0604020202020204" pitchFamily="34" charset="0"/>
                <a:ea typeface="Arial Unicode MS" panose="020B0604020202020204" pitchFamily="34" charset="-128"/>
                <a:cs typeface="Arial" panose="020B0604020202020204" pitchFamily="34" charset="0"/>
              </a:defRPr>
            </a:pPr>
            <a:r>
              <a:rPr lang="en-US" sz="800">
                <a:latin typeface="Arial" panose="020B0604020202020204" pitchFamily="34" charset="0"/>
                <a:ea typeface="Arial Unicode MS" panose="020B0604020202020204" pitchFamily="34" charset="-128"/>
                <a:cs typeface="Arial" panose="020B0604020202020204" pitchFamily="34" charset="0"/>
              </a:rPr>
              <a:t>Summer</a:t>
            </a:r>
            <a:r>
              <a:rPr lang="en-US" sz="800" baseline="0">
                <a:latin typeface="Arial" panose="020B0604020202020204" pitchFamily="34" charset="0"/>
                <a:ea typeface="Arial Unicode MS" panose="020B0604020202020204" pitchFamily="34" charset="-128"/>
                <a:cs typeface="Arial" panose="020B0604020202020204" pitchFamily="34" charset="0"/>
              </a:rPr>
              <a:t> f</a:t>
            </a:r>
            <a:r>
              <a:rPr lang="en-US" sz="800">
                <a:latin typeface="Arial" panose="020B0604020202020204" pitchFamily="34" charset="0"/>
                <a:ea typeface="Arial Unicode MS" panose="020B0604020202020204" pitchFamily="34" charset="-128"/>
                <a:cs typeface="Arial" panose="020B0604020202020204" pitchFamily="34" charset="0"/>
              </a:rPr>
              <a:t>ormaldehyde levels (ppm):</a:t>
            </a:r>
            <a:r>
              <a:rPr lang="en-US" sz="800" baseline="0">
                <a:latin typeface="Arial" panose="020B0604020202020204" pitchFamily="34" charset="0"/>
                <a:ea typeface="Arial Unicode MS" panose="020B0604020202020204" pitchFamily="34" charset="-128"/>
                <a:cs typeface="Arial" panose="020B0604020202020204" pitchFamily="34" charset="0"/>
              </a:rPr>
              <a:t> No.1</a:t>
            </a:r>
            <a:r>
              <a:rPr lang="en-US" sz="800">
                <a:latin typeface="Arial" panose="020B0604020202020204" pitchFamily="34" charset="0"/>
                <a:ea typeface="Arial Unicode MS" panose="020B0604020202020204" pitchFamily="34" charset="-128"/>
                <a:cs typeface="Arial" panose="020B0604020202020204" pitchFamily="34" charset="0"/>
              </a:rPr>
              <a:t> </a:t>
            </a:r>
          </a:p>
        </c:rich>
      </c:tx>
      <c:layout>
        <c:manualLayout>
          <c:xMode val="edge"/>
          <c:yMode val="edge"/>
          <c:x val="0.32434523375123392"/>
          <c:y val="2.2333891680625471E-2"/>
        </c:manualLayout>
      </c:layout>
      <c:overlay val="0"/>
    </c:title>
    <c:autoTitleDeleted val="0"/>
    <c:plotArea>
      <c:layout>
        <c:manualLayout>
          <c:layoutTarget val="inner"/>
          <c:xMode val="edge"/>
          <c:yMode val="edge"/>
          <c:x val="9.2197083393296769E-2"/>
          <c:y val="0.12420072377163054"/>
          <c:w val="0.88777495988998001"/>
          <c:h val="0.70173571268415857"/>
        </c:manualLayout>
      </c:layout>
      <c:lineChart>
        <c:grouping val="standard"/>
        <c:varyColors val="0"/>
        <c:ser>
          <c:idx val="0"/>
          <c:order val="0"/>
          <c:tx>
            <c:strRef>
              <c:f>FORMALDEHYDE!$D$1</c:f>
              <c:strCache>
                <c:ptCount val="1"/>
                <c:pt idx="0">
                  <c:v>Formaldehyde</c:v>
                </c:pt>
              </c:strCache>
            </c:strRef>
          </c:tx>
          <c:spPr>
            <a:ln w="22225"/>
          </c:spPr>
          <c:marker>
            <c:symbol val="none"/>
          </c:marker>
          <c:cat>
            <c:numRef>
              <c:f>FORMALDEHYDE!$C$2:$C$279</c:f>
              <c:numCache>
                <c:formatCode>h:mm</c:formatCode>
                <c:ptCount val="278"/>
                <c:pt idx="0">
                  <c:v>0.80855324074073909</c:v>
                </c:pt>
                <c:pt idx="1">
                  <c:v>0.81204861111111282</c:v>
                </c:pt>
                <c:pt idx="2">
                  <c:v>0.81554398148148144</c:v>
                </c:pt>
                <c:pt idx="3">
                  <c:v>0.8190393518518515</c:v>
                </c:pt>
                <c:pt idx="4">
                  <c:v>0.82253472222222157</c:v>
                </c:pt>
                <c:pt idx="5">
                  <c:v>0.82603009259259486</c:v>
                </c:pt>
                <c:pt idx="6">
                  <c:v>0.82952546296296259</c:v>
                </c:pt>
                <c:pt idx="7">
                  <c:v>0.83302083333333576</c:v>
                </c:pt>
                <c:pt idx="8">
                  <c:v>0.8365162037037035</c:v>
                </c:pt>
                <c:pt idx="9">
                  <c:v>0.84002314814814805</c:v>
                </c:pt>
                <c:pt idx="10">
                  <c:v>0.84351851851852</c:v>
                </c:pt>
                <c:pt idx="11">
                  <c:v>0.84701388888888884</c:v>
                </c:pt>
                <c:pt idx="12">
                  <c:v>0.85050925925925924</c:v>
                </c:pt>
                <c:pt idx="13">
                  <c:v>0.85400462962962964</c:v>
                </c:pt>
                <c:pt idx="14">
                  <c:v>0.85749999999999993</c:v>
                </c:pt>
                <c:pt idx="15">
                  <c:v>0.86099537037037299</c:v>
                </c:pt>
                <c:pt idx="16">
                  <c:v>0.8644907407407405</c:v>
                </c:pt>
                <c:pt idx="17">
                  <c:v>0.86798611111111112</c:v>
                </c:pt>
                <c:pt idx="18">
                  <c:v>0.87148148148148163</c:v>
                </c:pt>
                <c:pt idx="19">
                  <c:v>0.87498842592592552</c:v>
                </c:pt>
                <c:pt idx="20">
                  <c:v>0.87848379629629625</c:v>
                </c:pt>
                <c:pt idx="21">
                  <c:v>0.88197916666666654</c:v>
                </c:pt>
                <c:pt idx="22">
                  <c:v>0.88547453703703649</c:v>
                </c:pt>
                <c:pt idx="23">
                  <c:v>0.88896990740740733</c:v>
                </c:pt>
                <c:pt idx="24">
                  <c:v>0.89246527777777751</c:v>
                </c:pt>
                <c:pt idx="25">
                  <c:v>0.89596064814814813</c:v>
                </c:pt>
                <c:pt idx="26">
                  <c:v>0.89945601851851864</c:v>
                </c:pt>
                <c:pt idx="27">
                  <c:v>0.90295138888888893</c:v>
                </c:pt>
                <c:pt idx="28">
                  <c:v>0.90644675925925799</c:v>
                </c:pt>
                <c:pt idx="29">
                  <c:v>0.9099421296296295</c:v>
                </c:pt>
                <c:pt idx="30">
                  <c:v>0.91343749999999957</c:v>
                </c:pt>
                <c:pt idx="31">
                  <c:v>0.91693287037037063</c:v>
                </c:pt>
                <c:pt idx="32">
                  <c:v>0.92042824074074059</c:v>
                </c:pt>
                <c:pt idx="33">
                  <c:v>0.92392361111111165</c:v>
                </c:pt>
                <c:pt idx="34">
                  <c:v>0.92741898148148139</c:v>
                </c:pt>
                <c:pt idx="35">
                  <c:v>0.93091435185185156</c:v>
                </c:pt>
                <c:pt idx="36">
                  <c:v>0.93440972222222218</c:v>
                </c:pt>
                <c:pt idx="37">
                  <c:v>0.93790509259259569</c:v>
                </c:pt>
                <c:pt idx="38">
                  <c:v>0.94140046296296143</c:v>
                </c:pt>
                <c:pt idx="39">
                  <c:v>0.94489583333333627</c:v>
                </c:pt>
                <c:pt idx="40">
                  <c:v>0.94839120370370511</c:v>
                </c:pt>
                <c:pt idx="41">
                  <c:v>0.95189814814814955</c:v>
                </c:pt>
                <c:pt idx="42">
                  <c:v>0.9553935185185205</c:v>
                </c:pt>
                <c:pt idx="43">
                  <c:v>0.95888888888889023</c:v>
                </c:pt>
                <c:pt idx="44">
                  <c:v>0.96238425925925919</c:v>
                </c:pt>
                <c:pt idx="45">
                  <c:v>0.96587962962963125</c:v>
                </c:pt>
                <c:pt idx="46">
                  <c:v>0.96937499999999999</c:v>
                </c:pt>
                <c:pt idx="47">
                  <c:v>0.97287037037037205</c:v>
                </c:pt>
                <c:pt idx="48">
                  <c:v>0.97636574074074056</c:v>
                </c:pt>
                <c:pt idx="49">
                  <c:v>0.97986111111111163</c:v>
                </c:pt>
                <c:pt idx="50">
                  <c:v>0.98335648148148147</c:v>
                </c:pt>
                <c:pt idx="51">
                  <c:v>0.98685185185185187</c:v>
                </c:pt>
                <c:pt idx="52">
                  <c:v>0.99034722222222227</c:v>
                </c:pt>
                <c:pt idx="53">
                  <c:v>0.993842592592594</c:v>
                </c:pt>
                <c:pt idx="54">
                  <c:v>0.99733796296295985</c:v>
                </c:pt>
                <c:pt idx="55">
                  <c:v>8.3333333333333566E-4</c:v>
                </c:pt>
                <c:pt idx="56">
                  <c:v>4.340277777777778E-3</c:v>
                </c:pt>
                <c:pt idx="57">
                  <c:v>7.8356481481481732E-3</c:v>
                </c:pt>
                <c:pt idx="58">
                  <c:v>1.1331018518518549E-2</c:v>
                </c:pt>
                <c:pt idx="59">
                  <c:v>1.4826388888888901E-2</c:v>
                </c:pt>
                <c:pt idx="60">
                  <c:v>1.8321759259259319E-2</c:v>
                </c:pt>
                <c:pt idx="61">
                  <c:v>2.1817129629629742E-2</c:v>
                </c:pt>
                <c:pt idx="62">
                  <c:v>2.5312499999999977E-2</c:v>
                </c:pt>
                <c:pt idx="63">
                  <c:v>2.8807870370370459E-2</c:v>
                </c:pt>
                <c:pt idx="64">
                  <c:v>3.2314814814814852E-2</c:v>
                </c:pt>
                <c:pt idx="65">
                  <c:v>3.5810185185185202E-2</c:v>
                </c:pt>
                <c:pt idx="66">
                  <c:v>3.93055555555556E-2</c:v>
                </c:pt>
                <c:pt idx="67">
                  <c:v>4.2800925925926117E-2</c:v>
                </c:pt>
                <c:pt idx="68">
                  <c:v>4.6296296296296439E-2</c:v>
                </c:pt>
                <c:pt idx="69">
                  <c:v>4.9791666666666734E-2</c:v>
                </c:pt>
                <c:pt idx="70">
                  <c:v>5.3287037037037181E-2</c:v>
                </c:pt>
                <c:pt idx="71">
                  <c:v>5.6782407407407524E-2</c:v>
                </c:pt>
                <c:pt idx="72">
                  <c:v>6.0277777777777777E-2</c:v>
                </c:pt>
                <c:pt idx="73">
                  <c:v>6.3773148148148162E-2</c:v>
                </c:pt>
                <c:pt idx="74">
                  <c:v>6.7268518518518519E-2</c:v>
                </c:pt>
                <c:pt idx="75">
                  <c:v>7.0763888888888904E-2</c:v>
                </c:pt>
                <c:pt idx="76">
                  <c:v>7.4259259259259261E-2</c:v>
                </c:pt>
                <c:pt idx="77">
                  <c:v>7.775462962962984E-2</c:v>
                </c:pt>
                <c:pt idx="78">
                  <c:v>8.1250000000000003E-2</c:v>
                </c:pt>
                <c:pt idx="79">
                  <c:v>8.475694444444476E-2</c:v>
                </c:pt>
                <c:pt idx="80">
                  <c:v>8.8252314814814825E-2</c:v>
                </c:pt>
                <c:pt idx="81">
                  <c:v>9.1747685185185196E-2</c:v>
                </c:pt>
                <c:pt idx="82">
                  <c:v>9.5243055555555553E-2</c:v>
                </c:pt>
                <c:pt idx="83">
                  <c:v>9.873842592592634E-2</c:v>
                </c:pt>
                <c:pt idx="84">
                  <c:v>0.10223379629629629</c:v>
                </c:pt>
                <c:pt idx="85">
                  <c:v>0.10572916666666669</c:v>
                </c:pt>
                <c:pt idx="86">
                  <c:v>0.10922453703703727</c:v>
                </c:pt>
                <c:pt idx="87">
                  <c:v>0.11271990740740741</c:v>
                </c:pt>
                <c:pt idx="88">
                  <c:v>0.11621527777777779</c:v>
                </c:pt>
                <c:pt idx="89">
                  <c:v>0.11971064814814816</c:v>
                </c:pt>
                <c:pt idx="90">
                  <c:v>0.12320601851851873</c:v>
                </c:pt>
                <c:pt idx="91">
                  <c:v>0.12670138888888891</c:v>
                </c:pt>
                <c:pt idx="92">
                  <c:v>0.13020833333333376</c:v>
                </c:pt>
                <c:pt idx="93">
                  <c:v>0.13370370370370369</c:v>
                </c:pt>
                <c:pt idx="94">
                  <c:v>0.13719907407407408</c:v>
                </c:pt>
                <c:pt idx="95">
                  <c:v>0.14069444444444493</c:v>
                </c:pt>
                <c:pt idx="96">
                  <c:v>0.14417824074074073</c:v>
                </c:pt>
                <c:pt idx="97">
                  <c:v>0.1476736111111111</c:v>
                </c:pt>
                <c:pt idx="98">
                  <c:v>0.15118055555555557</c:v>
                </c:pt>
                <c:pt idx="99">
                  <c:v>0.15467592592592588</c:v>
                </c:pt>
                <c:pt idx="100">
                  <c:v>0.15817129629629673</c:v>
                </c:pt>
                <c:pt idx="101">
                  <c:v>0.16166666666666665</c:v>
                </c:pt>
                <c:pt idx="102">
                  <c:v>0.16516203703703738</c:v>
                </c:pt>
                <c:pt idx="103">
                  <c:v>0.16865740740740781</c:v>
                </c:pt>
                <c:pt idx="104">
                  <c:v>0.17215277777777777</c:v>
                </c:pt>
                <c:pt idx="105">
                  <c:v>0.17564814814814841</c:v>
                </c:pt>
                <c:pt idx="106">
                  <c:v>0.17914351851851837</c:v>
                </c:pt>
                <c:pt idx="107">
                  <c:v>0.18265046296296331</c:v>
                </c:pt>
                <c:pt idx="108">
                  <c:v>0.18614583333333379</c:v>
                </c:pt>
                <c:pt idx="109">
                  <c:v>0.18964120370370371</c:v>
                </c:pt>
                <c:pt idx="110">
                  <c:v>0.19313657407407372</c:v>
                </c:pt>
                <c:pt idx="111">
                  <c:v>0.19663194444444443</c:v>
                </c:pt>
                <c:pt idx="112">
                  <c:v>0.20012731481481483</c:v>
                </c:pt>
                <c:pt idx="113">
                  <c:v>0.2036226851851852</c:v>
                </c:pt>
                <c:pt idx="114">
                  <c:v>0.20711805555555554</c:v>
                </c:pt>
                <c:pt idx="115">
                  <c:v>0.21061342592592591</c:v>
                </c:pt>
                <c:pt idx="116">
                  <c:v>0.21410879629629673</c:v>
                </c:pt>
                <c:pt idx="117">
                  <c:v>0.21760416666666671</c:v>
                </c:pt>
                <c:pt idx="118">
                  <c:v>0.22109953703703736</c:v>
                </c:pt>
                <c:pt idx="119">
                  <c:v>0.22459490740740778</c:v>
                </c:pt>
                <c:pt idx="120">
                  <c:v>0.22809027777777779</c:v>
                </c:pt>
                <c:pt idx="121">
                  <c:v>0.23158564814814819</c:v>
                </c:pt>
                <c:pt idx="122">
                  <c:v>0.23509259259259313</c:v>
                </c:pt>
                <c:pt idx="123">
                  <c:v>0.23858796296296331</c:v>
                </c:pt>
                <c:pt idx="124">
                  <c:v>0.24208333333333379</c:v>
                </c:pt>
                <c:pt idx="125">
                  <c:v>0.24557870370370372</c:v>
                </c:pt>
                <c:pt idx="126">
                  <c:v>0.24907407407407409</c:v>
                </c:pt>
                <c:pt idx="127">
                  <c:v>0.25256944444444446</c:v>
                </c:pt>
                <c:pt idx="128">
                  <c:v>0.25606481481481558</c:v>
                </c:pt>
                <c:pt idx="129">
                  <c:v>0.25956018518518531</c:v>
                </c:pt>
                <c:pt idx="130">
                  <c:v>0.26305555555555554</c:v>
                </c:pt>
                <c:pt idx="131">
                  <c:v>0.26655092592592661</c:v>
                </c:pt>
                <c:pt idx="132">
                  <c:v>0.27004629629629628</c:v>
                </c:pt>
                <c:pt idx="133">
                  <c:v>0.27355324074074078</c:v>
                </c:pt>
                <c:pt idx="134">
                  <c:v>0.27704861111111112</c:v>
                </c:pt>
                <c:pt idx="135">
                  <c:v>0.28054398148148146</c:v>
                </c:pt>
                <c:pt idx="136">
                  <c:v>0.28403935185185186</c:v>
                </c:pt>
                <c:pt idx="137">
                  <c:v>0.28753472222222232</c:v>
                </c:pt>
                <c:pt idx="138">
                  <c:v>0.2910300925925926</c:v>
                </c:pt>
                <c:pt idx="139">
                  <c:v>0.29452546296296428</c:v>
                </c:pt>
                <c:pt idx="140">
                  <c:v>0.29802083333333407</c:v>
                </c:pt>
                <c:pt idx="141">
                  <c:v>0.30151620370370452</c:v>
                </c:pt>
                <c:pt idx="142">
                  <c:v>0.30501157407407503</c:v>
                </c:pt>
                <c:pt idx="143">
                  <c:v>0.30850694444444565</c:v>
                </c:pt>
                <c:pt idx="144">
                  <c:v>0.31200231481481605</c:v>
                </c:pt>
                <c:pt idx="145">
                  <c:v>0.31549768518518595</c:v>
                </c:pt>
                <c:pt idx="146">
                  <c:v>0.31899305555555557</c:v>
                </c:pt>
                <c:pt idx="147">
                  <c:v>0.32248842592592747</c:v>
                </c:pt>
                <c:pt idx="148">
                  <c:v>0.32598379629629726</c:v>
                </c:pt>
                <c:pt idx="149">
                  <c:v>0.32947916666666788</c:v>
                </c:pt>
                <c:pt idx="150">
                  <c:v>0.33298611111111237</c:v>
                </c:pt>
                <c:pt idx="151">
                  <c:v>0.33648148148148266</c:v>
                </c:pt>
                <c:pt idx="152">
                  <c:v>0.33997685185185383</c:v>
                </c:pt>
                <c:pt idx="153">
                  <c:v>0.34347222222222301</c:v>
                </c:pt>
                <c:pt idx="154">
                  <c:v>0.34696759259259258</c:v>
                </c:pt>
                <c:pt idx="155">
                  <c:v>0.3504629629629647</c:v>
                </c:pt>
                <c:pt idx="156">
                  <c:v>0.35395833333333332</c:v>
                </c:pt>
                <c:pt idx="157">
                  <c:v>0.35746527777777876</c:v>
                </c:pt>
                <c:pt idx="158">
                  <c:v>0.36096064814814832</c:v>
                </c:pt>
                <c:pt idx="159">
                  <c:v>0.36445601851851855</c:v>
                </c:pt>
                <c:pt idx="160">
                  <c:v>0.36795138888888956</c:v>
                </c:pt>
                <c:pt idx="161">
                  <c:v>0.37144675925926079</c:v>
                </c:pt>
                <c:pt idx="162">
                  <c:v>0.37494212962963064</c:v>
                </c:pt>
                <c:pt idx="163">
                  <c:v>0.37843750000000032</c:v>
                </c:pt>
                <c:pt idx="164">
                  <c:v>0.38193287037037155</c:v>
                </c:pt>
                <c:pt idx="165">
                  <c:v>0.38542824074074206</c:v>
                </c:pt>
                <c:pt idx="166">
                  <c:v>0.3889236111111119</c:v>
                </c:pt>
                <c:pt idx="167">
                  <c:v>0.39241898148148302</c:v>
                </c:pt>
                <c:pt idx="168">
                  <c:v>0.39592592592592746</c:v>
                </c:pt>
                <c:pt idx="169">
                  <c:v>0.39942129629629708</c:v>
                </c:pt>
                <c:pt idx="170">
                  <c:v>0.40291666666666764</c:v>
                </c:pt>
                <c:pt idx="171">
                  <c:v>0.40641203703703732</c:v>
                </c:pt>
                <c:pt idx="172">
                  <c:v>0.40990740740740805</c:v>
                </c:pt>
                <c:pt idx="173">
                  <c:v>0.41340277777777923</c:v>
                </c:pt>
                <c:pt idx="174">
                  <c:v>0.41689814814814818</c:v>
                </c:pt>
                <c:pt idx="175">
                  <c:v>0.42039351851851853</c:v>
                </c:pt>
                <c:pt idx="176">
                  <c:v>0.42388888888889087</c:v>
                </c:pt>
                <c:pt idx="177">
                  <c:v>0.4273842592592611</c:v>
                </c:pt>
                <c:pt idx="178">
                  <c:v>0.43087962962963094</c:v>
                </c:pt>
                <c:pt idx="179">
                  <c:v>0.43437500000000073</c:v>
                </c:pt>
                <c:pt idx="180">
                  <c:v>0.43788194444444589</c:v>
                </c:pt>
                <c:pt idx="181">
                  <c:v>0.44137731481481557</c:v>
                </c:pt>
                <c:pt idx="182">
                  <c:v>0.44487268518518602</c:v>
                </c:pt>
                <c:pt idx="183">
                  <c:v>0.44836805555555581</c:v>
                </c:pt>
                <c:pt idx="184">
                  <c:v>0.45186342592592632</c:v>
                </c:pt>
                <c:pt idx="185">
                  <c:v>0.455358796296297</c:v>
                </c:pt>
                <c:pt idx="186">
                  <c:v>0.4588541666666674</c:v>
                </c:pt>
                <c:pt idx="187">
                  <c:v>0.46234953703703702</c:v>
                </c:pt>
                <c:pt idx="188">
                  <c:v>0.46584490740740842</c:v>
                </c:pt>
                <c:pt idx="189">
                  <c:v>0.46934027777777892</c:v>
                </c:pt>
                <c:pt idx="190">
                  <c:v>0.47283564814814816</c:v>
                </c:pt>
                <c:pt idx="191">
                  <c:v>0.47633101851851783</c:v>
                </c:pt>
                <c:pt idx="192">
                  <c:v>0.4798263888888904</c:v>
                </c:pt>
                <c:pt idx="193">
                  <c:v>0.4833217592592608</c:v>
                </c:pt>
                <c:pt idx="194">
                  <c:v>0.48682870370370523</c:v>
                </c:pt>
                <c:pt idx="195">
                  <c:v>0.49032407407407552</c:v>
                </c:pt>
                <c:pt idx="196">
                  <c:v>0.49381944444444542</c:v>
                </c:pt>
                <c:pt idx="197">
                  <c:v>0.49731481481481676</c:v>
                </c:pt>
                <c:pt idx="198">
                  <c:v>0.50081018518518516</c:v>
                </c:pt>
                <c:pt idx="199">
                  <c:v>0.50430555555555567</c:v>
                </c:pt>
                <c:pt idx="200">
                  <c:v>0.50780092592592418</c:v>
                </c:pt>
                <c:pt idx="201">
                  <c:v>0.51129629629629625</c:v>
                </c:pt>
                <c:pt idx="202">
                  <c:v>0.51479166666666665</c:v>
                </c:pt>
                <c:pt idx="203">
                  <c:v>0.51828703703703649</c:v>
                </c:pt>
                <c:pt idx="204">
                  <c:v>0.52178240740740744</c:v>
                </c:pt>
                <c:pt idx="205">
                  <c:v>0.52527777777777751</c:v>
                </c:pt>
                <c:pt idx="206">
                  <c:v>0.52877314814814813</c:v>
                </c:pt>
                <c:pt idx="207">
                  <c:v>0.53226851851851864</c:v>
                </c:pt>
                <c:pt idx="208">
                  <c:v>0.53576388888888882</c:v>
                </c:pt>
                <c:pt idx="209">
                  <c:v>0.53925925925925922</c:v>
                </c:pt>
                <c:pt idx="210">
                  <c:v>0.54276620370370354</c:v>
                </c:pt>
                <c:pt idx="211">
                  <c:v>0.54626157407407405</c:v>
                </c:pt>
                <c:pt idx="212">
                  <c:v>0.54975694444444445</c:v>
                </c:pt>
                <c:pt idx="213">
                  <c:v>0.55325231481481452</c:v>
                </c:pt>
                <c:pt idx="214">
                  <c:v>0.55674768518518702</c:v>
                </c:pt>
                <c:pt idx="215">
                  <c:v>0.56024305555555565</c:v>
                </c:pt>
                <c:pt idx="216">
                  <c:v>0.56373842592592549</c:v>
                </c:pt>
                <c:pt idx="217">
                  <c:v>0.56723379629629633</c:v>
                </c:pt>
                <c:pt idx="218">
                  <c:v>0.57072916666666662</c:v>
                </c:pt>
                <c:pt idx="219">
                  <c:v>0.57422453703703702</c:v>
                </c:pt>
                <c:pt idx="220">
                  <c:v>0.57771990740740764</c:v>
                </c:pt>
                <c:pt idx="221">
                  <c:v>0.58121527777777759</c:v>
                </c:pt>
                <c:pt idx="222">
                  <c:v>0.58471064814814822</c:v>
                </c:pt>
                <c:pt idx="223">
                  <c:v>0.58820601851851861</c:v>
                </c:pt>
                <c:pt idx="224">
                  <c:v>0.5917013888888889</c:v>
                </c:pt>
                <c:pt idx="225">
                  <c:v>0.59520833333333334</c:v>
                </c:pt>
                <c:pt idx="226">
                  <c:v>0.59869212962962959</c:v>
                </c:pt>
                <c:pt idx="227">
                  <c:v>0.60219907407407702</c:v>
                </c:pt>
                <c:pt idx="228">
                  <c:v>0.60569444444444676</c:v>
                </c:pt>
                <c:pt idx="229">
                  <c:v>0.6091898148148166</c:v>
                </c:pt>
                <c:pt idx="230">
                  <c:v>0.61268518518518655</c:v>
                </c:pt>
                <c:pt idx="231">
                  <c:v>0.61618055555555562</c:v>
                </c:pt>
                <c:pt idx="232">
                  <c:v>0.61967592592592591</c:v>
                </c:pt>
                <c:pt idx="233">
                  <c:v>0.62317129629629875</c:v>
                </c:pt>
                <c:pt idx="234">
                  <c:v>0.62666666666666671</c:v>
                </c:pt>
                <c:pt idx="235">
                  <c:v>0.63016203703703699</c:v>
                </c:pt>
                <c:pt idx="236">
                  <c:v>0.63365740740740928</c:v>
                </c:pt>
                <c:pt idx="237">
                  <c:v>0.6371643518518515</c:v>
                </c:pt>
                <c:pt idx="238">
                  <c:v>0.64065972222222378</c:v>
                </c:pt>
                <c:pt idx="239">
                  <c:v>0.64415509259259596</c:v>
                </c:pt>
                <c:pt idx="240">
                  <c:v>0.64765046296296302</c:v>
                </c:pt>
                <c:pt idx="241">
                  <c:v>0.6511458333333372</c:v>
                </c:pt>
                <c:pt idx="242">
                  <c:v>0.65464120370370682</c:v>
                </c:pt>
                <c:pt idx="243">
                  <c:v>0.65813657407407544</c:v>
                </c:pt>
                <c:pt idx="244">
                  <c:v>0.66163194444444628</c:v>
                </c:pt>
                <c:pt idx="245">
                  <c:v>0.66512731481481624</c:v>
                </c:pt>
                <c:pt idx="246">
                  <c:v>0.66863425925926079</c:v>
                </c:pt>
                <c:pt idx="247">
                  <c:v>0.67212962962963163</c:v>
                </c:pt>
                <c:pt idx="248">
                  <c:v>0.67562500000000303</c:v>
                </c:pt>
                <c:pt idx="249">
                  <c:v>0.67912037037037276</c:v>
                </c:pt>
                <c:pt idx="250">
                  <c:v>0.6826157407407405</c:v>
                </c:pt>
                <c:pt idx="251">
                  <c:v>0.68611111111111101</c:v>
                </c:pt>
                <c:pt idx="252">
                  <c:v>0.68960648148148163</c:v>
                </c:pt>
                <c:pt idx="253">
                  <c:v>0.6931018518518518</c:v>
                </c:pt>
                <c:pt idx="254">
                  <c:v>0.6965972222222222</c:v>
                </c:pt>
                <c:pt idx="255">
                  <c:v>0.70009259259259415</c:v>
                </c:pt>
                <c:pt idx="256">
                  <c:v>0.70358796296296044</c:v>
                </c:pt>
                <c:pt idx="257">
                  <c:v>0.70708333333333362</c:v>
                </c:pt>
                <c:pt idx="258">
                  <c:v>0.71057870370370368</c:v>
                </c:pt>
                <c:pt idx="259">
                  <c:v>0.71408564814814979</c:v>
                </c:pt>
                <c:pt idx="260">
                  <c:v>0.71758101851852041</c:v>
                </c:pt>
                <c:pt idx="261">
                  <c:v>0.72107638888888881</c:v>
                </c:pt>
                <c:pt idx="262">
                  <c:v>0.72457175925925921</c:v>
                </c:pt>
                <c:pt idx="263">
                  <c:v>0.72806712962962949</c:v>
                </c:pt>
                <c:pt idx="264">
                  <c:v>0.73156249999999956</c:v>
                </c:pt>
                <c:pt idx="265">
                  <c:v>0.7350578703703724</c:v>
                </c:pt>
                <c:pt idx="266">
                  <c:v>0.73855324074074058</c:v>
                </c:pt>
                <c:pt idx="267">
                  <c:v>0.74206018518518524</c:v>
                </c:pt>
                <c:pt idx="268">
                  <c:v>0.74555555555555564</c:v>
                </c:pt>
                <c:pt idx="269">
                  <c:v>0.74905092592592559</c:v>
                </c:pt>
                <c:pt idx="270">
                  <c:v>0.75254629629629755</c:v>
                </c:pt>
                <c:pt idx="271">
                  <c:v>0.7560416666666685</c:v>
                </c:pt>
                <c:pt idx="272">
                  <c:v>0.75953703703703701</c:v>
                </c:pt>
                <c:pt idx="273">
                  <c:v>0.76303240740740763</c:v>
                </c:pt>
                <c:pt idx="274">
                  <c:v>0.76652777777777781</c:v>
                </c:pt>
                <c:pt idx="275">
                  <c:v>0.77002314814814865</c:v>
                </c:pt>
                <c:pt idx="276">
                  <c:v>0.77351851851852016</c:v>
                </c:pt>
                <c:pt idx="277">
                  <c:v>0.77701388888889034</c:v>
                </c:pt>
              </c:numCache>
            </c:numRef>
          </c:cat>
          <c:val>
            <c:numRef>
              <c:f>FORMALDEHYDE!$D$2:$D$279</c:f>
              <c:numCache>
                <c:formatCode>0.00</c:formatCode>
                <c:ptCount val="278"/>
                <c:pt idx="0">
                  <c:v>0.14000000000000001</c:v>
                </c:pt>
                <c:pt idx="1">
                  <c:v>0.12000000000000002</c:v>
                </c:pt>
                <c:pt idx="2">
                  <c:v>0.1</c:v>
                </c:pt>
                <c:pt idx="3">
                  <c:v>0.1</c:v>
                </c:pt>
                <c:pt idx="4">
                  <c:v>0.1</c:v>
                </c:pt>
                <c:pt idx="5">
                  <c:v>9.0000000000000024E-2</c:v>
                </c:pt>
                <c:pt idx="6">
                  <c:v>9.0000000000000024E-2</c:v>
                </c:pt>
                <c:pt idx="7">
                  <c:v>0.1</c:v>
                </c:pt>
                <c:pt idx="8">
                  <c:v>9.0000000000000024E-2</c:v>
                </c:pt>
                <c:pt idx="9">
                  <c:v>0.29000000000000031</c:v>
                </c:pt>
                <c:pt idx="10">
                  <c:v>0.26</c:v>
                </c:pt>
                <c:pt idx="11">
                  <c:v>0.26</c:v>
                </c:pt>
                <c:pt idx="12">
                  <c:v>0.23</c:v>
                </c:pt>
                <c:pt idx="13">
                  <c:v>0.23</c:v>
                </c:pt>
                <c:pt idx="14">
                  <c:v>0.23</c:v>
                </c:pt>
                <c:pt idx="15">
                  <c:v>0.23</c:v>
                </c:pt>
                <c:pt idx="16">
                  <c:v>0.21000000000000021</c:v>
                </c:pt>
                <c:pt idx="17">
                  <c:v>0.21000000000000021</c:v>
                </c:pt>
                <c:pt idx="18">
                  <c:v>0.21000000000000021</c:v>
                </c:pt>
                <c:pt idx="19">
                  <c:v>0.17</c:v>
                </c:pt>
                <c:pt idx="20">
                  <c:v>0.18000000000000024</c:v>
                </c:pt>
                <c:pt idx="21">
                  <c:v>0.2</c:v>
                </c:pt>
                <c:pt idx="22">
                  <c:v>0.18000000000000024</c:v>
                </c:pt>
                <c:pt idx="23">
                  <c:v>0.2</c:v>
                </c:pt>
                <c:pt idx="24">
                  <c:v>0.23</c:v>
                </c:pt>
                <c:pt idx="25">
                  <c:v>0.2</c:v>
                </c:pt>
                <c:pt idx="26">
                  <c:v>0.17</c:v>
                </c:pt>
                <c:pt idx="27">
                  <c:v>0.13</c:v>
                </c:pt>
                <c:pt idx="28">
                  <c:v>0.18000000000000024</c:v>
                </c:pt>
                <c:pt idx="29">
                  <c:v>0.17</c:v>
                </c:pt>
                <c:pt idx="30">
                  <c:v>0.17</c:v>
                </c:pt>
                <c:pt idx="31">
                  <c:v>0.18000000000000024</c:v>
                </c:pt>
                <c:pt idx="32">
                  <c:v>0.18000000000000024</c:v>
                </c:pt>
                <c:pt idx="33">
                  <c:v>0.18000000000000024</c:v>
                </c:pt>
                <c:pt idx="34">
                  <c:v>0.2</c:v>
                </c:pt>
                <c:pt idx="35">
                  <c:v>0.18000000000000024</c:v>
                </c:pt>
                <c:pt idx="36">
                  <c:v>0.21000000000000021</c:v>
                </c:pt>
                <c:pt idx="37">
                  <c:v>0.19</c:v>
                </c:pt>
                <c:pt idx="38">
                  <c:v>0.21000000000000021</c:v>
                </c:pt>
                <c:pt idx="39">
                  <c:v>0.21000000000000021</c:v>
                </c:pt>
                <c:pt idx="40">
                  <c:v>0.21000000000000021</c:v>
                </c:pt>
                <c:pt idx="41">
                  <c:v>0.24000000000000021</c:v>
                </c:pt>
                <c:pt idx="42">
                  <c:v>0.23</c:v>
                </c:pt>
                <c:pt idx="43">
                  <c:v>0.24000000000000021</c:v>
                </c:pt>
                <c:pt idx="44">
                  <c:v>0.23</c:v>
                </c:pt>
                <c:pt idx="45">
                  <c:v>0.24000000000000021</c:v>
                </c:pt>
                <c:pt idx="46">
                  <c:v>0.27</c:v>
                </c:pt>
                <c:pt idx="47">
                  <c:v>0.26</c:v>
                </c:pt>
                <c:pt idx="48">
                  <c:v>0.27</c:v>
                </c:pt>
                <c:pt idx="49">
                  <c:v>0.29000000000000031</c:v>
                </c:pt>
                <c:pt idx="50">
                  <c:v>0.35000000000000031</c:v>
                </c:pt>
                <c:pt idx="51">
                  <c:v>0.42000000000000032</c:v>
                </c:pt>
                <c:pt idx="52">
                  <c:v>0.42000000000000032</c:v>
                </c:pt>
                <c:pt idx="53">
                  <c:v>0.42000000000000032</c:v>
                </c:pt>
                <c:pt idx="54">
                  <c:v>0.55000000000000004</c:v>
                </c:pt>
                <c:pt idx="55">
                  <c:v>0.76000000000000145</c:v>
                </c:pt>
                <c:pt idx="56">
                  <c:v>0.59</c:v>
                </c:pt>
                <c:pt idx="57">
                  <c:v>0.67000000000000182</c:v>
                </c:pt>
                <c:pt idx="58">
                  <c:v>0.64000000000000146</c:v>
                </c:pt>
                <c:pt idx="59">
                  <c:v>0.58000000000000007</c:v>
                </c:pt>
                <c:pt idx="60">
                  <c:v>0.55000000000000004</c:v>
                </c:pt>
                <c:pt idx="61">
                  <c:v>0.52</c:v>
                </c:pt>
                <c:pt idx="62">
                  <c:v>0.52</c:v>
                </c:pt>
                <c:pt idx="63">
                  <c:v>0.55000000000000004</c:v>
                </c:pt>
                <c:pt idx="64">
                  <c:v>0.49000000000000032</c:v>
                </c:pt>
                <c:pt idx="65">
                  <c:v>0.52</c:v>
                </c:pt>
                <c:pt idx="66">
                  <c:v>0.47000000000000008</c:v>
                </c:pt>
                <c:pt idx="67">
                  <c:v>0.46</c:v>
                </c:pt>
                <c:pt idx="68">
                  <c:v>0.44</c:v>
                </c:pt>
                <c:pt idx="69">
                  <c:v>0.44</c:v>
                </c:pt>
                <c:pt idx="70">
                  <c:v>0.44</c:v>
                </c:pt>
                <c:pt idx="71">
                  <c:v>0.46</c:v>
                </c:pt>
                <c:pt idx="72">
                  <c:v>0.4</c:v>
                </c:pt>
                <c:pt idx="73">
                  <c:v>0.41000000000000031</c:v>
                </c:pt>
                <c:pt idx="74">
                  <c:v>0.55000000000000004</c:v>
                </c:pt>
                <c:pt idx="75">
                  <c:v>0.44</c:v>
                </c:pt>
                <c:pt idx="76">
                  <c:v>0.44</c:v>
                </c:pt>
                <c:pt idx="77">
                  <c:v>0.44</c:v>
                </c:pt>
                <c:pt idx="78">
                  <c:v>0.42000000000000032</c:v>
                </c:pt>
                <c:pt idx="79">
                  <c:v>0.42000000000000032</c:v>
                </c:pt>
                <c:pt idx="80">
                  <c:v>0.41000000000000031</c:v>
                </c:pt>
                <c:pt idx="81">
                  <c:v>0.42000000000000032</c:v>
                </c:pt>
                <c:pt idx="82">
                  <c:v>0.46</c:v>
                </c:pt>
                <c:pt idx="83">
                  <c:v>0.44</c:v>
                </c:pt>
                <c:pt idx="84">
                  <c:v>0.44</c:v>
                </c:pt>
                <c:pt idx="85">
                  <c:v>0.42000000000000032</c:v>
                </c:pt>
                <c:pt idx="86">
                  <c:v>0.56000000000000005</c:v>
                </c:pt>
                <c:pt idx="87">
                  <c:v>0.44</c:v>
                </c:pt>
                <c:pt idx="88">
                  <c:v>0.44</c:v>
                </c:pt>
                <c:pt idx="89">
                  <c:v>0.46</c:v>
                </c:pt>
                <c:pt idx="90">
                  <c:v>0.44</c:v>
                </c:pt>
                <c:pt idx="91">
                  <c:v>0.47000000000000008</c:v>
                </c:pt>
                <c:pt idx="92">
                  <c:v>0.42000000000000032</c:v>
                </c:pt>
                <c:pt idx="93">
                  <c:v>0.41000000000000031</c:v>
                </c:pt>
                <c:pt idx="94">
                  <c:v>0.44</c:v>
                </c:pt>
                <c:pt idx="95">
                  <c:v>0.42000000000000032</c:v>
                </c:pt>
                <c:pt idx="96">
                  <c:v>0.4</c:v>
                </c:pt>
                <c:pt idx="97">
                  <c:v>0.4</c:v>
                </c:pt>
                <c:pt idx="98">
                  <c:v>0.37000000000000038</c:v>
                </c:pt>
                <c:pt idx="99">
                  <c:v>0.38000000000000073</c:v>
                </c:pt>
                <c:pt idx="100">
                  <c:v>0.35000000000000031</c:v>
                </c:pt>
                <c:pt idx="101">
                  <c:v>0.35000000000000031</c:v>
                </c:pt>
                <c:pt idx="102">
                  <c:v>0.34</c:v>
                </c:pt>
                <c:pt idx="103">
                  <c:v>0.32000000000000073</c:v>
                </c:pt>
                <c:pt idx="104">
                  <c:v>0.32000000000000073</c:v>
                </c:pt>
                <c:pt idx="105">
                  <c:v>0.32000000000000073</c:v>
                </c:pt>
                <c:pt idx="106">
                  <c:v>0.30000000000000032</c:v>
                </c:pt>
                <c:pt idx="107">
                  <c:v>0.28000000000000008</c:v>
                </c:pt>
                <c:pt idx="108">
                  <c:v>0.29000000000000031</c:v>
                </c:pt>
                <c:pt idx="109">
                  <c:v>0.29000000000000031</c:v>
                </c:pt>
                <c:pt idx="110">
                  <c:v>0.29000000000000031</c:v>
                </c:pt>
                <c:pt idx="111">
                  <c:v>0.27</c:v>
                </c:pt>
                <c:pt idx="112">
                  <c:v>0.29000000000000031</c:v>
                </c:pt>
                <c:pt idx="113">
                  <c:v>0.26</c:v>
                </c:pt>
                <c:pt idx="114">
                  <c:v>0.27</c:v>
                </c:pt>
                <c:pt idx="115">
                  <c:v>0.26</c:v>
                </c:pt>
                <c:pt idx="116">
                  <c:v>0.26</c:v>
                </c:pt>
                <c:pt idx="117">
                  <c:v>0.24000000000000021</c:v>
                </c:pt>
                <c:pt idx="118">
                  <c:v>0.24000000000000021</c:v>
                </c:pt>
                <c:pt idx="119">
                  <c:v>0.24000000000000021</c:v>
                </c:pt>
                <c:pt idx="120">
                  <c:v>0.24000000000000021</c:v>
                </c:pt>
                <c:pt idx="121">
                  <c:v>0.24000000000000021</c:v>
                </c:pt>
                <c:pt idx="122">
                  <c:v>0.24000000000000021</c:v>
                </c:pt>
                <c:pt idx="123">
                  <c:v>0.23</c:v>
                </c:pt>
                <c:pt idx="124">
                  <c:v>0.23</c:v>
                </c:pt>
                <c:pt idx="125">
                  <c:v>0.23</c:v>
                </c:pt>
                <c:pt idx="126">
                  <c:v>0.24000000000000021</c:v>
                </c:pt>
                <c:pt idx="127">
                  <c:v>0.21000000000000021</c:v>
                </c:pt>
                <c:pt idx="128">
                  <c:v>0.23</c:v>
                </c:pt>
                <c:pt idx="129">
                  <c:v>0.21000000000000021</c:v>
                </c:pt>
                <c:pt idx="130">
                  <c:v>0.21000000000000021</c:v>
                </c:pt>
                <c:pt idx="131">
                  <c:v>0.23</c:v>
                </c:pt>
                <c:pt idx="132">
                  <c:v>0.21000000000000021</c:v>
                </c:pt>
                <c:pt idx="133">
                  <c:v>0.21000000000000021</c:v>
                </c:pt>
                <c:pt idx="134">
                  <c:v>0.2</c:v>
                </c:pt>
                <c:pt idx="135">
                  <c:v>0.2</c:v>
                </c:pt>
                <c:pt idx="136">
                  <c:v>0.2</c:v>
                </c:pt>
                <c:pt idx="137">
                  <c:v>0.2</c:v>
                </c:pt>
                <c:pt idx="138">
                  <c:v>0.2</c:v>
                </c:pt>
                <c:pt idx="139">
                  <c:v>0.2</c:v>
                </c:pt>
                <c:pt idx="140">
                  <c:v>0.16</c:v>
                </c:pt>
                <c:pt idx="141">
                  <c:v>0.2</c:v>
                </c:pt>
                <c:pt idx="142">
                  <c:v>0.18000000000000024</c:v>
                </c:pt>
                <c:pt idx="143">
                  <c:v>0.18000000000000024</c:v>
                </c:pt>
                <c:pt idx="144">
                  <c:v>0.18000000000000024</c:v>
                </c:pt>
                <c:pt idx="145">
                  <c:v>0.18000000000000024</c:v>
                </c:pt>
                <c:pt idx="146">
                  <c:v>0.18000000000000024</c:v>
                </c:pt>
                <c:pt idx="147">
                  <c:v>0.18000000000000024</c:v>
                </c:pt>
                <c:pt idx="148">
                  <c:v>0.21000000000000021</c:v>
                </c:pt>
                <c:pt idx="149">
                  <c:v>0.2</c:v>
                </c:pt>
                <c:pt idx="150">
                  <c:v>0.21000000000000021</c:v>
                </c:pt>
                <c:pt idx="151">
                  <c:v>0.18000000000000024</c:v>
                </c:pt>
                <c:pt idx="152">
                  <c:v>0.16</c:v>
                </c:pt>
                <c:pt idx="153">
                  <c:v>0.2</c:v>
                </c:pt>
                <c:pt idx="154">
                  <c:v>0.2</c:v>
                </c:pt>
                <c:pt idx="155">
                  <c:v>0.53</c:v>
                </c:pt>
                <c:pt idx="156">
                  <c:v>0.44</c:v>
                </c:pt>
                <c:pt idx="157">
                  <c:v>0.37000000000000038</c:v>
                </c:pt>
                <c:pt idx="158">
                  <c:v>0.29000000000000031</c:v>
                </c:pt>
                <c:pt idx="159">
                  <c:v>0.32000000000000073</c:v>
                </c:pt>
                <c:pt idx="160">
                  <c:v>0.52</c:v>
                </c:pt>
                <c:pt idx="161">
                  <c:v>0.38000000000000073</c:v>
                </c:pt>
                <c:pt idx="162">
                  <c:v>0.35000000000000031</c:v>
                </c:pt>
                <c:pt idx="163">
                  <c:v>0.32000000000000073</c:v>
                </c:pt>
                <c:pt idx="164">
                  <c:v>0.30000000000000032</c:v>
                </c:pt>
                <c:pt idx="165">
                  <c:v>0.30000000000000032</c:v>
                </c:pt>
                <c:pt idx="166">
                  <c:v>0.29000000000000031</c:v>
                </c:pt>
                <c:pt idx="167">
                  <c:v>0.29000000000000031</c:v>
                </c:pt>
                <c:pt idx="168">
                  <c:v>0.26</c:v>
                </c:pt>
                <c:pt idx="169">
                  <c:v>0.26</c:v>
                </c:pt>
                <c:pt idx="170">
                  <c:v>0.24000000000000021</c:v>
                </c:pt>
                <c:pt idx="171">
                  <c:v>0.24000000000000021</c:v>
                </c:pt>
                <c:pt idx="172">
                  <c:v>0.24000000000000021</c:v>
                </c:pt>
                <c:pt idx="173">
                  <c:v>0.24000000000000021</c:v>
                </c:pt>
                <c:pt idx="174">
                  <c:v>0.23</c:v>
                </c:pt>
                <c:pt idx="175">
                  <c:v>0.24000000000000021</c:v>
                </c:pt>
                <c:pt idx="176">
                  <c:v>0.23</c:v>
                </c:pt>
                <c:pt idx="177">
                  <c:v>0.21000000000000021</c:v>
                </c:pt>
                <c:pt idx="178">
                  <c:v>0.21000000000000021</c:v>
                </c:pt>
                <c:pt idx="179">
                  <c:v>0.23</c:v>
                </c:pt>
                <c:pt idx="180">
                  <c:v>0.21000000000000021</c:v>
                </c:pt>
                <c:pt idx="181">
                  <c:v>0.21000000000000021</c:v>
                </c:pt>
                <c:pt idx="182">
                  <c:v>0.21000000000000021</c:v>
                </c:pt>
                <c:pt idx="183">
                  <c:v>0.2</c:v>
                </c:pt>
                <c:pt idx="184">
                  <c:v>0.2</c:v>
                </c:pt>
                <c:pt idx="185">
                  <c:v>0.2</c:v>
                </c:pt>
                <c:pt idx="186">
                  <c:v>0.18000000000000024</c:v>
                </c:pt>
                <c:pt idx="187">
                  <c:v>0.18000000000000024</c:v>
                </c:pt>
                <c:pt idx="188">
                  <c:v>0.18000000000000024</c:v>
                </c:pt>
                <c:pt idx="189">
                  <c:v>0.17</c:v>
                </c:pt>
                <c:pt idx="190">
                  <c:v>0.18000000000000024</c:v>
                </c:pt>
                <c:pt idx="191">
                  <c:v>0.18000000000000024</c:v>
                </c:pt>
                <c:pt idx="192">
                  <c:v>0.17</c:v>
                </c:pt>
                <c:pt idx="193">
                  <c:v>0.17</c:v>
                </c:pt>
                <c:pt idx="194">
                  <c:v>0.15000000000000024</c:v>
                </c:pt>
                <c:pt idx="195">
                  <c:v>0.17</c:v>
                </c:pt>
                <c:pt idx="196">
                  <c:v>0.15000000000000024</c:v>
                </c:pt>
                <c:pt idx="197">
                  <c:v>0.15000000000000024</c:v>
                </c:pt>
                <c:pt idx="198">
                  <c:v>0.15000000000000024</c:v>
                </c:pt>
                <c:pt idx="199">
                  <c:v>0.15000000000000024</c:v>
                </c:pt>
                <c:pt idx="200">
                  <c:v>0.15000000000000024</c:v>
                </c:pt>
                <c:pt idx="201">
                  <c:v>0.15000000000000024</c:v>
                </c:pt>
                <c:pt idx="202">
                  <c:v>0.17</c:v>
                </c:pt>
                <c:pt idx="203">
                  <c:v>0.15000000000000024</c:v>
                </c:pt>
                <c:pt idx="204">
                  <c:v>0.15000000000000024</c:v>
                </c:pt>
                <c:pt idx="205">
                  <c:v>0.17</c:v>
                </c:pt>
                <c:pt idx="206">
                  <c:v>0.17</c:v>
                </c:pt>
                <c:pt idx="207">
                  <c:v>0.17</c:v>
                </c:pt>
                <c:pt idx="208">
                  <c:v>0.14000000000000001</c:v>
                </c:pt>
                <c:pt idx="209">
                  <c:v>0.15000000000000024</c:v>
                </c:pt>
                <c:pt idx="210">
                  <c:v>0.14000000000000001</c:v>
                </c:pt>
                <c:pt idx="211">
                  <c:v>0.14000000000000001</c:v>
                </c:pt>
                <c:pt idx="212">
                  <c:v>0.14000000000000001</c:v>
                </c:pt>
                <c:pt idx="213">
                  <c:v>0.14000000000000001</c:v>
                </c:pt>
                <c:pt idx="214">
                  <c:v>0.14000000000000001</c:v>
                </c:pt>
                <c:pt idx="215">
                  <c:v>0.14000000000000001</c:v>
                </c:pt>
                <c:pt idx="216">
                  <c:v>0.14000000000000001</c:v>
                </c:pt>
                <c:pt idx="217">
                  <c:v>0.14000000000000001</c:v>
                </c:pt>
                <c:pt idx="218">
                  <c:v>0.14000000000000001</c:v>
                </c:pt>
                <c:pt idx="219">
                  <c:v>0.14000000000000001</c:v>
                </c:pt>
                <c:pt idx="220">
                  <c:v>0.14000000000000001</c:v>
                </c:pt>
                <c:pt idx="221">
                  <c:v>0.14000000000000001</c:v>
                </c:pt>
                <c:pt idx="222">
                  <c:v>0.14000000000000001</c:v>
                </c:pt>
                <c:pt idx="223">
                  <c:v>0.12000000000000002</c:v>
                </c:pt>
                <c:pt idx="224">
                  <c:v>0.1</c:v>
                </c:pt>
                <c:pt idx="225">
                  <c:v>0.12000000000000002</c:v>
                </c:pt>
                <c:pt idx="226">
                  <c:v>0.12000000000000002</c:v>
                </c:pt>
                <c:pt idx="227">
                  <c:v>0.12000000000000002</c:v>
                </c:pt>
                <c:pt idx="228">
                  <c:v>0.1</c:v>
                </c:pt>
                <c:pt idx="229">
                  <c:v>0.12000000000000002</c:v>
                </c:pt>
                <c:pt idx="230">
                  <c:v>0.14000000000000001</c:v>
                </c:pt>
                <c:pt idx="231">
                  <c:v>0.12000000000000002</c:v>
                </c:pt>
                <c:pt idx="232">
                  <c:v>0.12000000000000002</c:v>
                </c:pt>
                <c:pt idx="233">
                  <c:v>0.12000000000000002</c:v>
                </c:pt>
                <c:pt idx="234">
                  <c:v>0.14000000000000001</c:v>
                </c:pt>
                <c:pt idx="235">
                  <c:v>0.12000000000000002</c:v>
                </c:pt>
                <c:pt idx="236">
                  <c:v>0.12000000000000002</c:v>
                </c:pt>
                <c:pt idx="237">
                  <c:v>0.1</c:v>
                </c:pt>
                <c:pt idx="238">
                  <c:v>0.12000000000000002</c:v>
                </c:pt>
                <c:pt idx="239">
                  <c:v>0.1</c:v>
                </c:pt>
                <c:pt idx="240">
                  <c:v>0.1</c:v>
                </c:pt>
                <c:pt idx="241">
                  <c:v>0.1</c:v>
                </c:pt>
                <c:pt idx="242">
                  <c:v>9.0000000000000024E-2</c:v>
                </c:pt>
                <c:pt idx="243">
                  <c:v>0.1</c:v>
                </c:pt>
                <c:pt idx="244">
                  <c:v>0.1</c:v>
                </c:pt>
                <c:pt idx="245">
                  <c:v>0.1</c:v>
                </c:pt>
                <c:pt idx="246">
                  <c:v>7.0000000000000021E-2</c:v>
                </c:pt>
                <c:pt idx="247">
                  <c:v>9.0000000000000024E-2</c:v>
                </c:pt>
                <c:pt idx="248">
                  <c:v>7.0000000000000021E-2</c:v>
                </c:pt>
                <c:pt idx="249">
                  <c:v>9.0000000000000024E-2</c:v>
                </c:pt>
                <c:pt idx="250">
                  <c:v>9.0000000000000024E-2</c:v>
                </c:pt>
                <c:pt idx="251">
                  <c:v>7.0000000000000021E-2</c:v>
                </c:pt>
                <c:pt idx="252">
                  <c:v>7.0000000000000021E-2</c:v>
                </c:pt>
                <c:pt idx="253">
                  <c:v>6.0000000000000032E-2</c:v>
                </c:pt>
                <c:pt idx="254">
                  <c:v>6.0000000000000032E-2</c:v>
                </c:pt>
                <c:pt idx="255">
                  <c:v>6.0000000000000032E-2</c:v>
                </c:pt>
                <c:pt idx="256">
                  <c:v>6.0000000000000032E-2</c:v>
                </c:pt>
                <c:pt idx="257">
                  <c:v>6.0000000000000032E-2</c:v>
                </c:pt>
                <c:pt idx="258">
                  <c:v>6.0000000000000032E-2</c:v>
                </c:pt>
                <c:pt idx="259">
                  <c:v>6.0000000000000032E-2</c:v>
                </c:pt>
                <c:pt idx="260">
                  <c:v>6.0000000000000032E-2</c:v>
                </c:pt>
                <c:pt idx="261">
                  <c:v>6.0000000000000032E-2</c:v>
                </c:pt>
                <c:pt idx="262">
                  <c:v>7.0000000000000021E-2</c:v>
                </c:pt>
                <c:pt idx="263">
                  <c:v>6.0000000000000032E-2</c:v>
                </c:pt>
                <c:pt idx="264">
                  <c:v>6.0000000000000032E-2</c:v>
                </c:pt>
                <c:pt idx="265">
                  <c:v>6.0000000000000032E-2</c:v>
                </c:pt>
                <c:pt idx="266">
                  <c:v>6.0000000000000032E-2</c:v>
                </c:pt>
                <c:pt idx="267">
                  <c:v>4.0000000000000022E-2</c:v>
                </c:pt>
                <c:pt idx="268">
                  <c:v>6.0000000000000032E-2</c:v>
                </c:pt>
                <c:pt idx="269">
                  <c:v>4.0000000000000022E-2</c:v>
                </c:pt>
                <c:pt idx="270">
                  <c:v>6.0000000000000032E-2</c:v>
                </c:pt>
                <c:pt idx="271">
                  <c:v>6.0000000000000032E-2</c:v>
                </c:pt>
                <c:pt idx="272">
                  <c:v>4.0000000000000022E-2</c:v>
                </c:pt>
                <c:pt idx="273">
                  <c:v>6.0000000000000032E-2</c:v>
                </c:pt>
                <c:pt idx="274">
                  <c:v>6.0000000000000032E-2</c:v>
                </c:pt>
                <c:pt idx="275">
                  <c:v>6.0000000000000032E-2</c:v>
                </c:pt>
                <c:pt idx="276">
                  <c:v>4.0000000000000022E-2</c:v>
                </c:pt>
                <c:pt idx="277">
                  <c:v>4.0000000000000022E-2</c:v>
                </c:pt>
              </c:numCache>
            </c:numRef>
          </c:val>
          <c:smooth val="0"/>
        </c:ser>
        <c:ser>
          <c:idx val="1"/>
          <c:order val="1"/>
          <c:tx>
            <c:strRef>
              <c:f>FORMALDEHYDE!$E$1</c:f>
              <c:strCache>
                <c:ptCount val="1"/>
                <c:pt idx="0">
                  <c:v>Guideline</c:v>
                </c:pt>
              </c:strCache>
            </c:strRef>
          </c:tx>
          <c:spPr>
            <a:ln w="22225"/>
          </c:spPr>
          <c:marker>
            <c:symbol val="none"/>
          </c:marker>
          <c:cat>
            <c:numRef>
              <c:f>FORMALDEHYDE!$C$2:$C$279</c:f>
              <c:numCache>
                <c:formatCode>h:mm</c:formatCode>
                <c:ptCount val="278"/>
                <c:pt idx="0">
                  <c:v>0.80855324074073909</c:v>
                </c:pt>
                <c:pt idx="1">
                  <c:v>0.81204861111111282</c:v>
                </c:pt>
                <c:pt idx="2">
                  <c:v>0.81554398148148144</c:v>
                </c:pt>
                <c:pt idx="3">
                  <c:v>0.8190393518518515</c:v>
                </c:pt>
                <c:pt idx="4">
                  <c:v>0.82253472222222157</c:v>
                </c:pt>
                <c:pt idx="5">
                  <c:v>0.82603009259259486</c:v>
                </c:pt>
                <c:pt idx="6">
                  <c:v>0.82952546296296259</c:v>
                </c:pt>
                <c:pt idx="7">
                  <c:v>0.83302083333333576</c:v>
                </c:pt>
                <c:pt idx="8">
                  <c:v>0.8365162037037035</c:v>
                </c:pt>
                <c:pt idx="9">
                  <c:v>0.84002314814814805</c:v>
                </c:pt>
                <c:pt idx="10">
                  <c:v>0.84351851851852</c:v>
                </c:pt>
                <c:pt idx="11">
                  <c:v>0.84701388888888884</c:v>
                </c:pt>
                <c:pt idx="12">
                  <c:v>0.85050925925925924</c:v>
                </c:pt>
                <c:pt idx="13">
                  <c:v>0.85400462962962964</c:v>
                </c:pt>
                <c:pt idx="14">
                  <c:v>0.85749999999999993</c:v>
                </c:pt>
                <c:pt idx="15">
                  <c:v>0.86099537037037299</c:v>
                </c:pt>
                <c:pt idx="16">
                  <c:v>0.8644907407407405</c:v>
                </c:pt>
                <c:pt idx="17">
                  <c:v>0.86798611111111112</c:v>
                </c:pt>
                <c:pt idx="18">
                  <c:v>0.87148148148148163</c:v>
                </c:pt>
                <c:pt idx="19">
                  <c:v>0.87498842592592552</c:v>
                </c:pt>
                <c:pt idx="20">
                  <c:v>0.87848379629629625</c:v>
                </c:pt>
                <c:pt idx="21">
                  <c:v>0.88197916666666654</c:v>
                </c:pt>
                <c:pt idx="22">
                  <c:v>0.88547453703703649</c:v>
                </c:pt>
                <c:pt idx="23">
                  <c:v>0.88896990740740733</c:v>
                </c:pt>
                <c:pt idx="24">
                  <c:v>0.89246527777777751</c:v>
                </c:pt>
                <c:pt idx="25">
                  <c:v>0.89596064814814813</c:v>
                </c:pt>
                <c:pt idx="26">
                  <c:v>0.89945601851851864</c:v>
                </c:pt>
                <c:pt idx="27">
                  <c:v>0.90295138888888893</c:v>
                </c:pt>
                <c:pt idx="28">
                  <c:v>0.90644675925925799</c:v>
                </c:pt>
                <c:pt idx="29">
                  <c:v>0.9099421296296295</c:v>
                </c:pt>
                <c:pt idx="30">
                  <c:v>0.91343749999999957</c:v>
                </c:pt>
                <c:pt idx="31">
                  <c:v>0.91693287037037063</c:v>
                </c:pt>
                <c:pt idx="32">
                  <c:v>0.92042824074074059</c:v>
                </c:pt>
                <c:pt idx="33">
                  <c:v>0.92392361111111165</c:v>
                </c:pt>
                <c:pt idx="34">
                  <c:v>0.92741898148148139</c:v>
                </c:pt>
                <c:pt idx="35">
                  <c:v>0.93091435185185156</c:v>
                </c:pt>
                <c:pt idx="36">
                  <c:v>0.93440972222222218</c:v>
                </c:pt>
                <c:pt idx="37">
                  <c:v>0.93790509259259569</c:v>
                </c:pt>
                <c:pt idx="38">
                  <c:v>0.94140046296296143</c:v>
                </c:pt>
                <c:pt idx="39">
                  <c:v>0.94489583333333627</c:v>
                </c:pt>
                <c:pt idx="40">
                  <c:v>0.94839120370370511</c:v>
                </c:pt>
                <c:pt idx="41">
                  <c:v>0.95189814814814955</c:v>
                </c:pt>
                <c:pt idx="42">
                  <c:v>0.9553935185185205</c:v>
                </c:pt>
                <c:pt idx="43">
                  <c:v>0.95888888888889023</c:v>
                </c:pt>
                <c:pt idx="44">
                  <c:v>0.96238425925925919</c:v>
                </c:pt>
                <c:pt idx="45">
                  <c:v>0.96587962962963125</c:v>
                </c:pt>
                <c:pt idx="46">
                  <c:v>0.96937499999999999</c:v>
                </c:pt>
                <c:pt idx="47">
                  <c:v>0.97287037037037205</c:v>
                </c:pt>
                <c:pt idx="48">
                  <c:v>0.97636574074074056</c:v>
                </c:pt>
                <c:pt idx="49">
                  <c:v>0.97986111111111163</c:v>
                </c:pt>
                <c:pt idx="50">
                  <c:v>0.98335648148148147</c:v>
                </c:pt>
                <c:pt idx="51">
                  <c:v>0.98685185185185187</c:v>
                </c:pt>
                <c:pt idx="52">
                  <c:v>0.99034722222222227</c:v>
                </c:pt>
                <c:pt idx="53">
                  <c:v>0.993842592592594</c:v>
                </c:pt>
                <c:pt idx="54">
                  <c:v>0.99733796296295985</c:v>
                </c:pt>
                <c:pt idx="55">
                  <c:v>8.3333333333333566E-4</c:v>
                </c:pt>
                <c:pt idx="56">
                  <c:v>4.340277777777778E-3</c:v>
                </c:pt>
                <c:pt idx="57">
                  <c:v>7.8356481481481732E-3</c:v>
                </c:pt>
                <c:pt idx="58">
                  <c:v>1.1331018518518549E-2</c:v>
                </c:pt>
                <c:pt idx="59">
                  <c:v>1.4826388888888901E-2</c:v>
                </c:pt>
                <c:pt idx="60">
                  <c:v>1.8321759259259319E-2</c:v>
                </c:pt>
                <c:pt idx="61">
                  <c:v>2.1817129629629742E-2</c:v>
                </c:pt>
                <c:pt idx="62">
                  <c:v>2.5312499999999977E-2</c:v>
                </c:pt>
                <c:pt idx="63">
                  <c:v>2.8807870370370459E-2</c:v>
                </c:pt>
                <c:pt idx="64">
                  <c:v>3.2314814814814852E-2</c:v>
                </c:pt>
                <c:pt idx="65">
                  <c:v>3.5810185185185202E-2</c:v>
                </c:pt>
                <c:pt idx="66">
                  <c:v>3.93055555555556E-2</c:v>
                </c:pt>
                <c:pt idx="67">
                  <c:v>4.2800925925926117E-2</c:v>
                </c:pt>
                <c:pt idx="68">
                  <c:v>4.6296296296296439E-2</c:v>
                </c:pt>
                <c:pt idx="69">
                  <c:v>4.9791666666666734E-2</c:v>
                </c:pt>
                <c:pt idx="70">
                  <c:v>5.3287037037037181E-2</c:v>
                </c:pt>
                <c:pt idx="71">
                  <c:v>5.6782407407407524E-2</c:v>
                </c:pt>
                <c:pt idx="72">
                  <c:v>6.0277777777777777E-2</c:v>
                </c:pt>
                <c:pt idx="73">
                  <c:v>6.3773148148148162E-2</c:v>
                </c:pt>
                <c:pt idx="74">
                  <c:v>6.7268518518518519E-2</c:v>
                </c:pt>
                <c:pt idx="75">
                  <c:v>7.0763888888888904E-2</c:v>
                </c:pt>
                <c:pt idx="76">
                  <c:v>7.4259259259259261E-2</c:v>
                </c:pt>
                <c:pt idx="77">
                  <c:v>7.775462962962984E-2</c:v>
                </c:pt>
                <c:pt idx="78">
                  <c:v>8.1250000000000003E-2</c:v>
                </c:pt>
                <c:pt idx="79">
                  <c:v>8.475694444444476E-2</c:v>
                </c:pt>
                <c:pt idx="80">
                  <c:v>8.8252314814814825E-2</c:v>
                </c:pt>
                <c:pt idx="81">
                  <c:v>9.1747685185185196E-2</c:v>
                </c:pt>
                <c:pt idx="82">
                  <c:v>9.5243055555555553E-2</c:v>
                </c:pt>
                <c:pt idx="83">
                  <c:v>9.873842592592634E-2</c:v>
                </c:pt>
                <c:pt idx="84">
                  <c:v>0.10223379629629629</c:v>
                </c:pt>
                <c:pt idx="85">
                  <c:v>0.10572916666666669</c:v>
                </c:pt>
                <c:pt idx="86">
                  <c:v>0.10922453703703727</c:v>
                </c:pt>
                <c:pt idx="87">
                  <c:v>0.11271990740740741</c:v>
                </c:pt>
                <c:pt idx="88">
                  <c:v>0.11621527777777779</c:v>
                </c:pt>
                <c:pt idx="89">
                  <c:v>0.11971064814814816</c:v>
                </c:pt>
                <c:pt idx="90">
                  <c:v>0.12320601851851873</c:v>
                </c:pt>
                <c:pt idx="91">
                  <c:v>0.12670138888888891</c:v>
                </c:pt>
                <c:pt idx="92">
                  <c:v>0.13020833333333376</c:v>
                </c:pt>
                <c:pt idx="93">
                  <c:v>0.13370370370370369</c:v>
                </c:pt>
                <c:pt idx="94">
                  <c:v>0.13719907407407408</c:v>
                </c:pt>
                <c:pt idx="95">
                  <c:v>0.14069444444444493</c:v>
                </c:pt>
                <c:pt idx="96">
                  <c:v>0.14417824074074073</c:v>
                </c:pt>
                <c:pt idx="97">
                  <c:v>0.1476736111111111</c:v>
                </c:pt>
                <c:pt idx="98">
                  <c:v>0.15118055555555557</c:v>
                </c:pt>
                <c:pt idx="99">
                  <c:v>0.15467592592592588</c:v>
                </c:pt>
                <c:pt idx="100">
                  <c:v>0.15817129629629673</c:v>
                </c:pt>
                <c:pt idx="101">
                  <c:v>0.16166666666666665</c:v>
                </c:pt>
                <c:pt idx="102">
                  <c:v>0.16516203703703738</c:v>
                </c:pt>
                <c:pt idx="103">
                  <c:v>0.16865740740740781</c:v>
                </c:pt>
                <c:pt idx="104">
                  <c:v>0.17215277777777777</c:v>
                </c:pt>
                <c:pt idx="105">
                  <c:v>0.17564814814814841</c:v>
                </c:pt>
                <c:pt idx="106">
                  <c:v>0.17914351851851837</c:v>
                </c:pt>
                <c:pt idx="107">
                  <c:v>0.18265046296296331</c:v>
                </c:pt>
                <c:pt idx="108">
                  <c:v>0.18614583333333379</c:v>
                </c:pt>
                <c:pt idx="109">
                  <c:v>0.18964120370370371</c:v>
                </c:pt>
                <c:pt idx="110">
                  <c:v>0.19313657407407372</c:v>
                </c:pt>
                <c:pt idx="111">
                  <c:v>0.19663194444444443</c:v>
                </c:pt>
                <c:pt idx="112">
                  <c:v>0.20012731481481483</c:v>
                </c:pt>
                <c:pt idx="113">
                  <c:v>0.2036226851851852</c:v>
                </c:pt>
                <c:pt idx="114">
                  <c:v>0.20711805555555554</c:v>
                </c:pt>
                <c:pt idx="115">
                  <c:v>0.21061342592592591</c:v>
                </c:pt>
                <c:pt idx="116">
                  <c:v>0.21410879629629673</c:v>
                </c:pt>
                <c:pt idx="117">
                  <c:v>0.21760416666666671</c:v>
                </c:pt>
                <c:pt idx="118">
                  <c:v>0.22109953703703736</c:v>
                </c:pt>
                <c:pt idx="119">
                  <c:v>0.22459490740740778</c:v>
                </c:pt>
                <c:pt idx="120">
                  <c:v>0.22809027777777779</c:v>
                </c:pt>
                <c:pt idx="121">
                  <c:v>0.23158564814814819</c:v>
                </c:pt>
                <c:pt idx="122">
                  <c:v>0.23509259259259313</c:v>
                </c:pt>
                <c:pt idx="123">
                  <c:v>0.23858796296296331</c:v>
                </c:pt>
                <c:pt idx="124">
                  <c:v>0.24208333333333379</c:v>
                </c:pt>
                <c:pt idx="125">
                  <c:v>0.24557870370370372</c:v>
                </c:pt>
                <c:pt idx="126">
                  <c:v>0.24907407407407409</c:v>
                </c:pt>
                <c:pt idx="127">
                  <c:v>0.25256944444444446</c:v>
                </c:pt>
                <c:pt idx="128">
                  <c:v>0.25606481481481558</c:v>
                </c:pt>
                <c:pt idx="129">
                  <c:v>0.25956018518518531</c:v>
                </c:pt>
                <c:pt idx="130">
                  <c:v>0.26305555555555554</c:v>
                </c:pt>
                <c:pt idx="131">
                  <c:v>0.26655092592592661</c:v>
                </c:pt>
                <c:pt idx="132">
                  <c:v>0.27004629629629628</c:v>
                </c:pt>
                <c:pt idx="133">
                  <c:v>0.27355324074074078</c:v>
                </c:pt>
                <c:pt idx="134">
                  <c:v>0.27704861111111112</c:v>
                </c:pt>
                <c:pt idx="135">
                  <c:v>0.28054398148148146</c:v>
                </c:pt>
                <c:pt idx="136">
                  <c:v>0.28403935185185186</c:v>
                </c:pt>
                <c:pt idx="137">
                  <c:v>0.28753472222222232</c:v>
                </c:pt>
                <c:pt idx="138">
                  <c:v>0.2910300925925926</c:v>
                </c:pt>
                <c:pt idx="139">
                  <c:v>0.29452546296296428</c:v>
                </c:pt>
                <c:pt idx="140">
                  <c:v>0.29802083333333407</c:v>
                </c:pt>
                <c:pt idx="141">
                  <c:v>0.30151620370370452</c:v>
                </c:pt>
                <c:pt idx="142">
                  <c:v>0.30501157407407503</c:v>
                </c:pt>
                <c:pt idx="143">
                  <c:v>0.30850694444444565</c:v>
                </c:pt>
                <c:pt idx="144">
                  <c:v>0.31200231481481605</c:v>
                </c:pt>
                <c:pt idx="145">
                  <c:v>0.31549768518518595</c:v>
                </c:pt>
                <c:pt idx="146">
                  <c:v>0.31899305555555557</c:v>
                </c:pt>
                <c:pt idx="147">
                  <c:v>0.32248842592592747</c:v>
                </c:pt>
                <c:pt idx="148">
                  <c:v>0.32598379629629726</c:v>
                </c:pt>
                <c:pt idx="149">
                  <c:v>0.32947916666666788</c:v>
                </c:pt>
                <c:pt idx="150">
                  <c:v>0.33298611111111237</c:v>
                </c:pt>
                <c:pt idx="151">
                  <c:v>0.33648148148148266</c:v>
                </c:pt>
                <c:pt idx="152">
                  <c:v>0.33997685185185383</c:v>
                </c:pt>
                <c:pt idx="153">
                  <c:v>0.34347222222222301</c:v>
                </c:pt>
                <c:pt idx="154">
                  <c:v>0.34696759259259258</c:v>
                </c:pt>
                <c:pt idx="155">
                  <c:v>0.3504629629629647</c:v>
                </c:pt>
                <c:pt idx="156">
                  <c:v>0.35395833333333332</c:v>
                </c:pt>
                <c:pt idx="157">
                  <c:v>0.35746527777777876</c:v>
                </c:pt>
                <c:pt idx="158">
                  <c:v>0.36096064814814832</c:v>
                </c:pt>
                <c:pt idx="159">
                  <c:v>0.36445601851851855</c:v>
                </c:pt>
                <c:pt idx="160">
                  <c:v>0.36795138888888956</c:v>
                </c:pt>
                <c:pt idx="161">
                  <c:v>0.37144675925926079</c:v>
                </c:pt>
                <c:pt idx="162">
                  <c:v>0.37494212962963064</c:v>
                </c:pt>
                <c:pt idx="163">
                  <c:v>0.37843750000000032</c:v>
                </c:pt>
                <c:pt idx="164">
                  <c:v>0.38193287037037155</c:v>
                </c:pt>
                <c:pt idx="165">
                  <c:v>0.38542824074074206</c:v>
                </c:pt>
                <c:pt idx="166">
                  <c:v>0.3889236111111119</c:v>
                </c:pt>
                <c:pt idx="167">
                  <c:v>0.39241898148148302</c:v>
                </c:pt>
                <c:pt idx="168">
                  <c:v>0.39592592592592746</c:v>
                </c:pt>
                <c:pt idx="169">
                  <c:v>0.39942129629629708</c:v>
                </c:pt>
                <c:pt idx="170">
                  <c:v>0.40291666666666764</c:v>
                </c:pt>
                <c:pt idx="171">
                  <c:v>0.40641203703703732</c:v>
                </c:pt>
                <c:pt idx="172">
                  <c:v>0.40990740740740805</c:v>
                </c:pt>
                <c:pt idx="173">
                  <c:v>0.41340277777777923</c:v>
                </c:pt>
                <c:pt idx="174">
                  <c:v>0.41689814814814818</c:v>
                </c:pt>
                <c:pt idx="175">
                  <c:v>0.42039351851851853</c:v>
                </c:pt>
                <c:pt idx="176">
                  <c:v>0.42388888888889087</c:v>
                </c:pt>
                <c:pt idx="177">
                  <c:v>0.4273842592592611</c:v>
                </c:pt>
                <c:pt idx="178">
                  <c:v>0.43087962962963094</c:v>
                </c:pt>
                <c:pt idx="179">
                  <c:v>0.43437500000000073</c:v>
                </c:pt>
                <c:pt idx="180">
                  <c:v>0.43788194444444589</c:v>
                </c:pt>
                <c:pt idx="181">
                  <c:v>0.44137731481481557</c:v>
                </c:pt>
                <c:pt idx="182">
                  <c:v>0.44487268518518602</c:v>
                </c:pt>
                <c:pt idx="183">
                  <c:v>0.44836805555555581</c:v>
                </c:pt>
                <c:pt idx="184">
                  <c:v>0.45186342592592632</c:v>
                </c:pt>
                <c:pt idx="185">
                  <c:v>0.455358796296297</c:v>
                </c:pt>
                <c:pt idx="186">
                  <c:v>0.4588541666666674</c:v>
                </c:pt>
                <c:pt idx="187">
                  <c:v>0.46234953703703702</c:v>
                </c:pt>
                <c:pt idx="188">
                  <c:v>0.46584490740740842</c:v>
                </c:pt>
                <c:pt idx="189">
                  <c:v>0.46934027777777892</c:v>
                </c:pt>
                <c:pt idx="190">
                  <c:v>0.47283564814814816</c:v>
                </c:pt>
                <c:pt idx="191">
                  <c:v>0.47633101851851783</c:v>
                </c:pt>
                <c:pt idx="192">
                  <c:v>0.4798263888888904</c:v>
                </c:pt>
                <c:pt idx="193">
                  <c:v>0.4833217592592608</c:v>
                </c:pt>
                <c:pt idx="194">
                  <c:v>0.48682870370370523</c:v>
                </c:pt>
                <c:pt idx="195">
                  <c:v>0.49032407407407552</c:v>
                </c:pt>
                <c:pt idx="196">
                  <c:v>0.49381944444444542</c:v>
                </c:pt>
                <c:pt idx="197">
                  <c:v>0.49731481481481676</c:v>
                </c:pt>
                <c:pt idx="198">
                  <c:v>0.50081018518518516</c:v>
                </c:pt>
                <c:pt idx="199">
                  <c:v>0.50430555555555567</c:v>
                </c:pt>
                <c:pt idx="200">
                  <c:v>0.50780092592592418</c:v>
                </c:pt>
                <c:pt idx="201">
                  <c:v>0.51129629629629625</c:v>
                </c:pt>
                <c:pt idx="202">
                  <c:v>0.51479166666666665</c:v>
                </c:pt>
                <c:pt idx="203">
                  <c:v>0.51828703703703649</c:v>
                </c:pt>
                <c:pt idx="204">
                  <c:v>0.52178240740740744</c:v>
                </c:pt>
                <c:pt idx="205">
                  <c:v>0.52527777777777751</c:v>
                </c:pt>
                <c:pt idx="206">
                  <c:v>0.52877314814814813</c:v>
                </c:pt>
                <c:pt idx="207">
                  <c:v>0.53226851851851864</c:v>
                </c:pt>
                <c:pt idx="208">
                  <c:v>0.53576388888888882</c:v>
                </c:pt>
                <c:pt idx="209">
                  <c:v>0.53925925925925922</c:v>
                </c:pt>
                <c:pt idx="210">
                  <c:v>0.54276620370370354</c:v>
                </c:pt>
                <c:pt idx="211">
                  <c:v>0.54626157407407405</c:v>
                </c:pt>
                <c:pt idx="212">
                  <c:v>0.54975694444444445</c:v>
                </c:pt>
                <c:pt idx="213">
                  <c:v>0.55325231481481452</c:v>
                </c:pt>
                <c:pt idx="214">
                  <c:v>0.55674768518518702</c:v>
                </c:pt>
                <c:pt idx="215">
                  <c:v>0.56024305555555565</c:v>
                </c:pt>
                <c:pt idx="216">
                  <c:v>0.56373842592592549</c:v>
                </c:pt>
                <c:pt idx="217">
                  <c:v>0.56723379629629633</c:v>
                </c:pt>
                <c:pt idx="218">
                  <c:v>0.57072916666666662</c:v>
                </c:pt>
                <c:pt idx="219">
                  <c:v>0.57422453703703702</c:v>
                </c:pt>
                <c:pt idx="220">
                  <c:v>0.57771990740740764</c:v>
                </c:pt>
                <c:pt idx="221">
                  <c:v>0.58121527777777759</c:v>
                </c:pt>
                <c:pt idx="222">
                  <c:v>0.58471064814814822</c:v>
                </c:pt>
                <c:pt idx="223">
                  <c:v>0.58820601851851861</c:v>
                </c:pt>
                <c:pt idx="224">
                  <c:v>0.5917013888888889</c:v>
                </c:pt>
                <c:pt idx="225">
                  <c:v>0.59520833333333334</c:v>
                </c:pt>
                <c:pt idx="226">
                  <c:v>0.59869212962962959</c:v>
                </c:pt>
                <c:pt idx="227">
                  <c:v>0.60219907407407702</c:v>
                </c:pt>
                <c:pt idx="228">
                  <c:v>0.60569444444444676</c:v>
                </c:pt>
                <c:pt idx="229">
                  <c:v>0.6091898148148166</c:v>
                </c:pt>
                <c:pt idx="230">
                  <c:v>0.61268518518518655</c:v>
                </c:pt>
                <c:pt idx="231">
                  <c:v>0.61618055555555562</c:v>
                </c:pt>
                <c:pt idx="232">
                  <c:v>0.61967592592592591</c:v>
                </c:pt>
                <c:pt idx="233">
                  <c:v>0.62317129629629875</c:v>
                </c:pt>
                <c:pt idx="234">
                  <c:v>0.62666666666666671</c:v>
                </c:pt>
                <c:pt idx="235">
                  <c:v>0.63016203703703699</c:v>
                </c:pt>
                <c:pt idx="236">
                  <c:v>0.63365740740740928</c:v>
                </c:pt>
                <c:pt idx="237">
                  <c:v>0.6371643518518515</c:v>
                </c:pt>
                <c:pt idx="238">
                  <c:v>0.64065972222222378</c:v>
                </c:pt>
                <c:pt idx="239">
                  <c:v>0.64415509259259596</c:v>
                </c:pt>
                <c:pt idx="240">
                  <c:v>0.64765046296296302</c:v>
                </c:pt>
                <c:pt idx="241">
                  <c:v>0.6511458333333372</c:v>
                </c:pt>
                <c:pt idx="242">
                  <c:v>0.65464120370370682</c:v>
                </c:pt>
                <c:pt idx="243">
                  <c:v>0.65813657407407544</c:v>
                </c:pt>
                <c:pt idx="244">
                  <c:v>0.66163194444444628</c:v>
                </c:pt>
                <c:pt idx="245">
                  <c:v>0.66512731481481624</c:v>
                </c:pt>
                <c:pt idx="246">
                  <c:v>0.66863425925926079</c:v>
                </c:pt>
                <c:pt idx="247">
                  <c:v>0.67212962962963163</c:v>
                </c:pt>
                <c:pt idx="248">
                  <c:v>0.67562500000000303</c:v>
                </c:pt>
                <c:pt idx="249">
                  <c:v>0.67912037037037276</c:v>
                </c:pt>
                <c:pt idx="250">
                  <c:v>0.6826157407407405</c:v>
                </c:pt>
                <c:pt idx="251">
                  <c:v>0.68611111111111101</c:v>
                </c:pt>
                <c:pt idx="252">
                  <c:v>0.68960648148148163</c:v>
                </c:pt>
                <c:pt idx="253">
                  <c:v>0.6931018518518518</c:v>
                </c:pt>
                <c:pt idx="254">
                  <c:v>0.6965972222222222</c:v>
                </c:pt>
                <c:pt idx="255">
                  <c:v>0.70009259259259415</c:v>
                </c:pt>
                <c:pt idx="256">
                  <c:v>0.70358796296296044</c:v>
                </c:pt>
                <c:pt idx="257">
                  <c:v>0.70708333333333362</c:v>
                </c:pt>
                <c:pt idx="258">
                  <c:v>0.71057870370370368</c:v>
                </c:pt>
                <c:pt idx="259">
                  <c:v>0.71408564814814979</c:v>
                </c:pt>
                <c:pt idx="260">
                  <c:v>0.71758101851852041</c:v>
                </c:pt>
                <c:pt idx="261">
                  <c:v>0.72107638888888881</c:v>
                </c:pt>
                <c:pt idx="262">
                  <c:v>0.72457175925925921</c:v>
                </c:pt>
                <c:pt idx="263">
                  <c:v>0.72806712962962949</c:v>
                </c:pt>
                <c:pt idx="264">
                  <c:v>0.73156249999999956</c:v>
                </c:pt>
                <c:pt idx="265">
                  <c:v>0.7350578703703724</c:v>
                </c:pt>
                <c:pt idx="266">
                  <c:v>0.73855324074074058</c:v>
                </c:pt>
                <c:pt idx="267">
                  <c:v>0.74206018518518524</c:v>
                </c:pt>
                <c:pt idx="268">
                  <c:v>0.74555555555555564</c:v>
                </c:pt>
                <c:pt idx="269">
                  <c:v>0.74905092592592559</c:v>
                </c:pt>
                <c:pt idx="270">
                  <c:v>0.75254629629629755</c:v>
                </c:pt>
                <c:pt idx="271">
                  <c:v>0.7560416666666685</c:v>
                </c:pt>
                <c:pt idx="272">
                  <c:v>0.75953703703703701</c:v>
                </c:pt>
                <c:pt idx="273">
                  <c:v>0.76303240740740763</c:v>
                </c:pt>
                <c:pt idx="274">
                  <c:v>0.76652777777777781</c:v>
                </c:pt>
                <c:pt idx="275">
                  <c:v>0.77002314814814865</c:v>
                </c:pt>
                <c:pt idx="276">
                  <c:v>0.77351851851852016</c:v>
                </c:pt>
                <c:pt idx="277">
                  <c:v>0.77701388888889034</c:v>
                </c:pt>
              </c:numCache>
            </c:numRef>
          </c:cat>
          <c:val>
            <c:numRef>
              <c:f>FORMALDEHYDE!$E$2:$E$279</c:f>
              <c:numCache>
                <c:formatCode>General</c:formatCode>
                <c:ptCount val="278"/>
                <c:pt idx="0">
                  <c:v>8.0000000000000043E-2</c:v>
                </c:pt>
                <c:pt idx="1">
                  <c:v>8.0000000000000043E-2</c:v>
                </c:pt>
                <c:pt idx="2">
                  <c:v>8.0000000000000043E-2</c:v>
                </c:pt>
                <c:pt idx="3">
                  <c:v>8.0000000000000043E-2</c:v>
                </c:pt>
                <c:pt idx="4">
                  <c:v>8.0000000000000043E-2</c:v>
                </c:pt>
                <c:pt idx="5">
                  <c:v>8.0000000000000043E-2</c:v>
                </c:pt>
                <c:pt idx="6">
                  <c:v>8.0000000000000043E-2</c:v>
                </c:pt>
                <c:pt idx="7">
                  <c:v>8.0000000000000043E-2</c:v>
                </c:pt>
                <c:pt idx="8">
                  <c:v>8.0000000000000043E-2</c:v>
                </c:pt>
                <c:pt idx="9">
                  <c:v>8.0000000000000043E-2</c:v>
                </c:pt>
                <c:pt idx="10">
                  <c:v>8.0000000000000043E-2</c:v>
                </c:pt>
                <c:pt idx="11">
                  <c:v>8.0000000000000043E-2</c:v>
                </c:pt>
                <c:pt idx="12">
                  <c:v>8.0000000000000043E-2</c:v>
                </c:pt>
                <c:pt idx="13">
                  <c:v>8.0000000000000043E-2</c:v>
                </c:pt>
                <c:pt idx="14">
                  <c:v>8.0000000000000043E-2</c:v>
                </c:pt>
                <c:pt idx="15">
                  <c:v>8.0000000000000043E-2</c:v>
                </c:pt>
                <c:pt idx="16">
                  <c:v>8.0000000000000043E-2</c:v>
                </c:pt>
                <c:pt idx="17">
                  <c:v>8.0000000000000043E-2</c:v>
                </c:pt>
                <c:pt idx="18">
                  <c:v>8.0000000000000043E-2</c:v>
                </c:pt>
                <c:pt idx="19">
                  <c:v>8.0000000000000043E-2</c:v>
                </c:pt>
                <c:pt idx="20">
                  <c:v>8.0000000000000043E-2</c:v>
                </c:pt>
                <c:pt idx="21">
                  <c:v>8.0000000000000043E-2</c:v>
                </c:pt>
                <c:pt idx="22">
                  <c:v>8.0000000000000043E-2</c:v>
                </c:pt>
                <c:pt idx="23">
                  <c:v>8.0000000000000043E-2</c:v>
                </c:pt>
                <c:pt idx="24">
                  <c:v>8.0000000000000043E-2</c:v>
                </c:pt>
                <c:pt idx="25">
                  <c:v>8.0000000000000043E-2</c:v>
                </c:pt>
                <c:pt idx="26">
                  <c:v>8.0000000000000043E-2</c:v>
                </c:pt>
                <c:pt idx="27">
                  <c:v>8.0000000000000043E-2</c:v>
                </c:pt>
                <c:pt idx="28">
                  <c:v>8.0000000000000043E-2</c:v>
                </c:pt>
                <c:pt idx="29">
                  <c:v>8.0000000000000043E-2</c:v>
                </c:pt>
                <c:pt idx="30">
                  <c:v>8.0000000000000043E-2</c:v>
                </c:pt>
                <c:pt idx="31">
                  <c:v>8.0000000000000043E-2</c:v>
                </c:pt>
                <c:pt idx="32">
                  <c:v>8.0000000000000043E-2</c:v>
                </c:pt>
                <c:pt idx="33">
                  <c:v>8.0000000000000043E-2</c:v>
                </c:pt>
                <c:pt idx="34">
                  <c:v>8.0000000000000043E-2</c:v>
                </c:pt>
                <c:pt idx="35">
                  <c:v>8.0000000000000043E-2</c:v>
                </c:pt>
                <c:pt idx="36">
                  <c:v>8.0000000000000043E-2</c:v>
                </c:pt>
                <c:pt idx="37">
                  <c:v>8.0000000000000043E-2</c:v>
                </c:pt>
                <c:pt idx="38">
                  <c:v>8.0000000000000043E-2</c:v>
                </c:pt>
                <c:pt idx="39">
                  <c:v>8.0000000000000043E-2</c:v>
                </c:pt>
                <c:pt idx="40">
                  <c:v>8.0000000000000043E-2</c:v>
                </c:pt>
                <c:pt idx="41">
                  <c:v>8.0000000000000043E-2</c:v>
                </c:pt>
                <c:pt idx="42">
                  <c:v>8.0000000000000043E-2</c:v>
                </c:pt>
                <c:pt idx="43">
                  <c:v>8.0000000000000043E-2</c:v>
                </c:pt>
                <c:pt idx="44">
                  <c:v>8.0000000000000043E-2</c:v>
                </c:pt>
                <c:pt idx="45">
                  <c:v>8.0000000000000043E-2</c:v>
                </c:pt>
                <c:pt idx="46">
                  <c:v>8.0000000000000043E-2</c:v>
                </c:pt>
                <c:pt idx="47">
                  <c:v>8.0000000000000043E-2</c:v>
                </c:pt>
                <c:pt idx="48">
                  <c:v>8.0000000000000043E-2</c:v>
                </c:pt>
                <c:pt idx="49">
                  <c:v>8.0000000000000043E-2</c:v>
                </c:pt>
                <c:pt idx="50">
                  <c:v>8.0000000000000043E-2</c:v>
                </c:pt>
                <c:pt idx="51">
                  <c:v>8.0000000000000043E-2</c:v>
                </c:pt>
                <c:pt idx="52">
                  <c:v>8.0000000000000043E-2</c:v>
                </c:pt>
                <c:pt idx="53">
                  <c:v>8.0000000000000043E-2</c:v>
                </c:pt>
                <c:pt idx="54">
                  <c:v>8.0000000000000043E-2</c:v>
                </c:pt>
                <c:pt idx="55">
                  <c:v>8.0000000000000043E-2</c:v>
                </c:pt>
                <c:pt idx="56">
                  <c:v>8.0000000000000043E-2</c:v>
                </c:pt>
                <c:pt idx="57">
                  <c:v>8.0000000000000043E-2</c:v>
                </c:pt>
                <c:pt idx="58">
                  <c:v>8.0000000000000043E-2</c:v>
                </c:pt>
                <c:pt idx="59">
                  <c:v>8.0000000000000043E-2</c:v>
                </c:pt>
                <c:pt idx="60">
                  <c:v>8.0000000000000043E-2</c:v>
                </c:pt>
                <c:pt idx="61">
                  <c:v>8.0000000000000043E-2</c:v>
                </c:pt>
                <c:pt idx="62">
                  <c:v>8.0000000000000043E-2</c:v>
                </c:pt>
                <c:pt idx="63">
                  <c:v>8.0000000000000043E-2</c:v>
                </c:pt>
                <c:pt idx="64">
                  <c:v>8.0000000000000043E-2</c:v>
                </c:pt>
                <c:pt idx="65">
                  <c:v>8.0000000000000043E-2</c:v>
                </c:pt>
                <c:pt idx="66">
                  <c:v>8.0000000000000043E-2</c:v>
                </c:pt>
                <c:pt idx="67">
                  <c:v>8.0000000000000043E-2</c:v>
                </c:pt>
                <c:pt idx="68">
                  <c:v>8.0000000000000043E-2</c:v>
                </c:pt>
                <c:pt idx="69">
                  <c:v>8.0000000000000043E-2</c:v>
                </c:pt>
                <c:pt idx="70">
                  <c:v>8.0000000000000043E-2</c:v>
                </c:pt>
                <c:pt idx="71">
                  <c:v>8.0000000000000043E-2</c:v>
                </c:pt>
                <c:pt idx="72">
                  <c:v>8.0000000000000043E-2</c:v>
                </c:pt>
                <c:pt idx="73">
                  <c:v>8.0000000000000043E-2</c:v>
                </c:pt>
                <c:pt idx="74">
                  <c:v>8.0000000000000043E-2</c:v>
                </c:pt>
                <c:pt idx="75">
                  <c:v>8.0000000000000043E-2</c:v>
                </c:pt>
                <c:pt idx="76">
                  <c:v>8.0000000000000043E-2</c:v>
                </c:pt>
                <c:pt idx="77">
                  <c:v>8.0000000000000043E-2</c:v>
                </c:pt>
                <c:pt idx="78">
                  <c:v>8.0000000000000043E-2</c:v>
                </c:pt>
                <c:pt idx="79">
                  <c:v>8.0000000000000043E-2</c:v>
                </c:pt>
                <c:pt idx="80">
                  <c:v>8.0000000000000043E-2</c:v>
                </c:pt>
                <c:pt idx="81">
                  <c:v>8.0000000000000043E-2</c:v>
                </c:pt>
                <c:pt idx="82">
                  <c:v>8.0000000000000043E-2</c:v>
                </c:pt>
                <c:pt idx="83">
                  <c:v>8.0000000000000043E-2</c:v>
                </c:pt>
                <c:pt idx="84">
                  <c:v>8.0000000000000043E-2</c:v>
                </c:pt>
                <c:pt idx="85">
                  <c:v>8.0000000000000043E-2</c:v>
                </c:pt>
                <c:pt idx="86">
                  <c:v>8.0000000000000043E-2</c:v>
                </c:pt>
                <c:pt idx="87">
                  <c:v>8.0000000000000043E-2</c:v>
                </c:pt>
                <c:pt idx="88">
                  <c:v>8.0000000000000043E-2</c:v>
                </c:pt>
                <c:pt idx="89">
                  <c:v>8.0000000000000043E-2</c:v>
                </c:pt>
                <c:pt idx="90">
                  <c:v>8.0000000000000043E-2</c:v>
                </c:pt>
                <c:pt idx="91">
                  <c:v>8.0000000000000043E-2</c:v>
                </c:pt>
                <c:pt idx="92">
                  <c:v>8.0000000000000043E-2</c:v>
                </c:pt>
                <c:pt idx="93">
                  <c:v>8.0000000000000043E-2</c:v>
                </c:pt>
                <c:pt idx="94">
                  <c:v>8.0000000000000043E-2</c:v>
                </c:pt>
                <c:pt idx="95">
                  <c:v>8.0000000000000043E-2</c:v>
                </c:pt>
                <c:pt idx="96">
                  <c:v>8.0000000000000043E-2</c:v>
                </c:pt>
                <c:pt idx="97">
                  <c:v>8.0000000000000043E-2</c:v>
                </c:pt>
                <c:pt idx="98">
                  <c:v>8.0000000000000043E-2</c:v>
                </c:pt>
                <c:pt idx="99">
                  <c:v>8.0000000000000043E-2</c:v>
                </c:pt>
                <c:pt idx="100">
                  <c:v>8.0000000000000043E-2</c:v>
                </c:pt>
                <c:pt idx="101">
                  <c:v>8.0000000000000043E-2</c:v>
                </c:pt>
                <c:pt idx="102">
                  <c:v>8.0000000000000043E-2</c:v>
                </c:pt>
                <c:pt idx="103">
                  <c:v>8.0000000000000043E-2</c:v>
                </c:pt>
                <c:pt idx="104">
                  <c:v>8.0000000000000043E-2</c:v>
                </c:pt>
                <c:pt idx="105">
                  <c:v>8.0000000000000043E-2</c:v>
                </c:pt>
                <c:pt idx="106">
                  <c:v>8.0000000000000043E-2</c:v>
                </c:pt>
                <c:pt idx="107">
                  <c:v>8.0000000000000043E-2</c:v>
                </c:pt>
                <c:pt idx="108">
                  <c:v>8.0000000000000043E-2</c:v>
                </c:pt>
                <c:pt idx="109">
                  <c:v>8.0000000000000043E-2</c:v>
                </c:pt>
                <c:pt idx="110">
                  <c:v>8.0000000000000043E-2</c:v>
                </c:pt>
                <c:pt idx="111">
                  <c:v>8.0000000000000043E-2</c:v>
                </c:pt>
                <c:pt idx="112">
                  <c:v>8.0000000000000043E-2</c:v>
                </c:pt>
                <c:pt idx="113">
                  <c:v>8.0000000000000043E-2</c:v>
                </c:pt>
                <c:pt idx="114">
                  <c:v>8.0000000000000043E-2</c:v>
                </c:pt>
                <c:pt idx="115">
                  <c:v>8.0000000000000043E-2</c:v>
                </c:pt>
                <c:pt idx="116">
                  <c:v>8.0000000000000043E-2</c:v>
                </c:pt>
                <c:pt idx="117">
                  <c:v>8.0000000000000043E-2</c:v>
                </c:pt>
                <c:pt idx="118">
                  <c:v>8.0000000000000043E-2</c:v>
                </c:pt>
                <c:pt idx="119">
                  <c:v>8.0000000000000043E-2</c:v>
                </c:pt>
                <c:pt idx="120">
                  <c:v>8.0000000000000043E-2</c:v>
                </c:pt>
                <c:pt idx="121">
                  <c:v>8.0000000000000043E-2</c:v>
                </c:pt>
                <c:pt idx="122">
                  <c:v>8.0000000000000043E-2</c:v>
                </c:pt>
                <c:pt idx="123">
                  <c:v>8.0000000000000043E-2</c:v>
                </c:pt>
                <c:pt idx="124">
                  <c:v>8.0000000000000043E-2</c:v>
                </c:pt>
                <c:pt idx="125">
                  <c:v>8.0000000000000043E-2</c:v>
                </c:pt>
                <c:pt idx="126">
                  <c:v>8.0000000000000043E-2</c:v>
                </c:pt>
                <c:pt idx="127">
                  <c:v>8.0000000000000043E-2</c:v>
                </c:pt>
                <c:pt idx="128">
                  <c:v>8.0000000000000043E-2</c:v>
                </c:pt>
                <c:pt idx="129">
                  <c:v>8.0000000000000043E-2</c:v>
                </c:pt>
                <c:pt idx="130">
                  <c:v>8.0000000000000043E-2</c:v>
                </c:pt>
                <c:pt idx="131">
                  <c:v>8.0000000000000043E-2</c:v>
                </c:pt>
                <c:pt idx="132">
                  <c:v>8.0000000000000043E-2</c:v>
                </c:pt>
                <c:pt idx="133">
                  <c:v>8.0000000000000043E-2</c:v>
                </c:pt>
                <c:pt idx="134">
                  <c:v>8.0000000000000043E-2</c:v>
                </c:pt>
                <c:pt idx="135">
                  <c:v>8.0000000000000043E-2</c:v>
                </c:pt>
                <c:pt idx="136">
                  <c:v>8.0000000000000043E-2</c:v>
                </c:pt>
                <c:pt idx="137">
                  <c:v>8.0000000000000043E-2</c:v>
                </c:pt>
                <c:pt idx="138">
                  <c:v>8.0000000000000043E-2</c:v>
                </c:pt>
                <c:pt idx="139">
                  <c:v>8.0000000000000043E-2</c:v>
                </c:pt>
                <c:pt idx="140">
                  <c:v>8.0000000000000043E-2</c:v>
                </c:pt>
                <c:pt idx="141">
                  <c:v>8.0000000000000043E-2</c:v>
                </c:pt>
                <c:pt idx="142">
                  <c:v>8.0000000000000043E-2</c:v>
                </c:pt>
                <c:pt idx="143">
                  <c:v>8.0000000000000043E-2</c:v>
                </c:pt>
                <c:pt idx="144">
                  <c:v>8.0000000000000043E-2</c:v>
                </c:pt>
                <c:pt idx="145">
                  <c:v>8.0000000000000043E-2</c:v>
                </c:pt>
                <c:pt idx="146">
                  <c:v>8.0000000000000043E-2</c:v>
                </c:pt>
                <c:pt idx="147">
                  <c:v>8.0000000000000043E-2</c:v>
                </c:pt>
                <c:pt idx="148">
                  <c:v>8.0000000000000043E-2</c:v>
                </c:pt>
                <c:pt idx="149">
                  <c:v>8.0000000000000043E-2</c:v>
                </c:pt>
                <c:pt idx="150">
                  <c:v>8.0000000000000043E-2</c:v>
                </c:pt>
                <c:pt idx="151">
                  <c:v>8.0000000000000043E-2</c:v>
                </c:pt>
                <c:pt idx="152">
                  <c:v>8.0000000000000043E-2</c:v>
                </c:pt>
                <c:pt idx="153">
                  <c:v>8.0000000000000043E-2</c:v>
                </c:pt>
                <c:pt idx="154">
                  <c:v>8.0000000000000043E-2</c:v>
                </c:pt>
                <c:pt idx="155">
                  <c:v>8.0000000000000043E-2</c:v>
                </c:pt>
                <c:pt idx="156">
                  <c:v>8.0000000000000043E-2</c:v>
                </c:pt>
                <c:pt idx="157">
                  <c:v>8.0000000000000043E-2</c:v>
                </c:pt>
                <c:pt idx="158">
                  <c:v>8.0000000000000043E-2</c:v>
                </c:pt>
                <c:pt idx="159">
                  <c:v>8.0000000000000043E-2</c:v>
                </c:pt>
                <c:pt idx="160">
                  <c:v>8.0000000000000043E-2</c:v>
                </c:pt>
                <c:pt idx="161">
                  <c:v>8.0000000000000043E-2</c:v>
                </c:pt>
                <c:pt idx="162">
                  <c:v>8.0000000000000043E-2</c:v>
                </c:pt>
                <c:pt idx="163">
                  <c:v>8.0000000000000043E-2</c:v>
                </c:pt>
                <c:pt idx="164">
                  <c:v>8.0000000000000043E-2</c:v>
                </c:pt>
                <c:pt idx="165">
                  <c:v>8.0000000000000043E-2</c:v>
                </c:pt>
                <c:pt idx="166">
                  <c:v>8.0000000000000043E-2</c:v>
                </c:pt>
                <c:pt idx="167">
                  <c:v>8.0000000000000043E-2</c:v>
                </c:pt>
                <c:pt idx="168">
                  <c:v>8.0000000000000043E-2</c:v>
                </c:pt>
                <c:pt idx="169">
                  <c:v>8.0000000000000043E-2</c:v>
                </c:pt>
                <c:pt idx="170">
                  <c:v>8.0000000000000043E-2</c:v>
                </c:pt>
                <c:pt idx="171">
                  <c:v>8.0000000000000043E-2</c:v>
                </c:pt>
                <c:pt idx="172">
                  <c:v>8.0000000000000043E-2</c:v>
                </c:pt>
                <c:pt idx="173">
                  <c:v>8.0000000000000043E-2</c:v>
                </c:pt>
                <c:pt idx="174">
                  <c:v>8.0000000000000043E-2</c:v>
                </c:pt>
                <c:pt idx="175">
                  <c:v>8.0000000000000043E-2</c:v>
                </c:pt>
                <c:pt idx="176">
                  <c:v>8.0000000000000043E-2</c:v>
                </c:pt>
                <c:pt idx="177">
                  <c:v>8.0000000000000043E-2</c:v>
                </c:pt>
                <c:pt idx="178">
                  <c:v>8.0000000000000043E-2</c:v>
                </c:pt>
                <c:pt idx="179">
                  <c:v>8.0000000000000043E-2</c:v>
                </c:pt>
                <c:pt idx="180">
                  <c:v>8.0000000000000043E-2</c:v>
                </c:pt>
                <c:pt idx="181">
                  <c:v>8.0000000000000043E-2</c:v>
                </c:pt>
                <c:pt idx="182">
                  <c:v>8.0000000000000043E-2</c:v>
                </c:pt>
                <c:pt idx="183">
                  <c:v>8.0000000000000043E-2</c:v>
                </c:pt>
                <c:pt idx="184">
                  <c:v>8.0000000000000043E-2</c:v>
                </c:pt>
                <c:pt idx="185">
                  <c:v>8.0000000000000043E-2</c:v>
                </c:pt>
                <c:pt idx="186">
                  <c:v>8.0000000000000043E-2</c:v>
                </c:pt>
                <c:pt idx="187">
                  <c:v>8.0000000000000043E-2</c:v>
                </c:pt>
                <c:pt idx="188">
                  <c:v>8.0000000000000043E-2</c:v>
                </c:pt>
                <c:pt idx="189">
                  <c:v>8.0000000000000043E-2</c:v>
                </c:pt>
                <c:pt idx="190">
                  <c:v>8.0000000000000043E-2</c:v>
                </c:pt>
                <c:pt idx="191">
                  <c:v>8.0000000000000043E-2</c:v>
                </c:pt>
                <c:pt idx="192">
                  <c:v>8.0000000000000043E-2</c:v>
                </c:pt>
                <c:pt idx="193">
                  <c:v>8.0000000000000043E-2</c:v>
                </c:pt>
                <c:pt idx="194">
                  <c:v>8.0000000000000043E-2</c:v>
                </c:pt>
                <c:pt idx="195">
                  <c:v>8.0000000000000043E-2</c:v>
                </c:pt>
                <c:pt idx="196">
                  <c:v>8.0000000000000043E-2</c:v>
                </c:pt>
                <c:pt idx="197">
                  <c:v>8.0000000000000043E-2</c:v>
                </c:pt>
                <c:pt idx="198">
                  <c:v>8.0000000000000043E-2</c:v>
                </c:pt>
                <c:pt idx="199">
                  <c:v>8.0000000000000043E-2</c:v>
                </c:pt>
                <c:pt idx="200">
                  <c:v>8.0000000000000043E-2</c:v>
                </c:pt>
                <c:pt idx="201">
                  <c:v>8.0000000000000043E-2</c:v>
                </c:pt>
                <c:pt idx="202">
                  <c:v>8.0000000000000043E-2</c:v>
                </c:pt>
                <c:pt idx="203">
                  <c:v>8.0000000000000043E-2</c:v>
                </c:pt>
                <c:pt idx="204">
                  <c:v>8.0000000000000043E-2</c:v>
                </c:pt>
                <c:pt idx="205">
                  <c:v>8.0000000000000043E-2</c:v>
                </c:pt>
                <c:pt idx="206">
                  <c:v>8.0000000000000043E-2</c:v>
                </c:pt>
                <c:pt idx="207">
                  <c:v>8.0000000000000043E-2</c:v>
                </c:pt>
                <c:pt idx="208">
                  <c:v>8.0000000000000043E-2</c:v>
                </c:pt>
                <c:pt idx="209">
                  <c:v>8.0000000000000043E-2</c:v>
                </c:pt>
                <c:pt idx="210">
                  <c:v>8.0000000000000043E-2</c:v>
                </c:pt>
                <c:pt idx="211">
                  <c:v>8.0000000000000043E-2</c:v>
                </c:pt>
                <c:pt idx="212">
                  <c:v>8.0000000000000043E-2</c:v>
                </c:pt>
                <c:pt idx="213">
                  <c:v>8.0000000000000043E-2</c:v>
                </c:pt>
                <c:pt idx="214">
                  <c:v>8.0000000000000043E-2</c:v>
                </c:pt>
                <c:pt idx="215">
                  <c:v>8.0000000000000043E-2</c:v>
                </c:pt>
                <c:pt idx="216">
                  <c:v>8.0000000000000043E-2</c:v>
                </c:pt>
                <c:pt idx="217">
                  <c:v>8.0000000000000043E-2</c:v>
                </c:pt>
                <c:pt idx="218">
                  <c:v>8.0000000000000043E-2</c:v>
                </c:pt>
                <c:pt idx="219">
                  <c:v>8.0000000000000043E-2</c:v>
                </c:pt>
                <c:pt idx="220">
                  <c:v>8.0000000000000043E-2</c:v>
                </c:pt>
                <c:pt idx="221">
                  <c:v>8.0000000000000043E-2</c:v>
                </c:pt>
                <c:pt idx="222">
                  <c:v>8.0000000000000043E-2</c:v>
                </c:pt>
                <c:pt idx="223">
                  <c:v>8.0000000000000043E-2</c:v>
                </c:pt>
                <c:pt idx="224">
                  <c:v>8.0000000000000043E-2</c:v>
                </c:pt>
                <c:pt idx="225">
                  <c:v>8.0000000000000043E-2</c:v>
                </c:pt>
                <c:pt idx="226">
                  <c:v>8.0000000000000043E-2</c:v>
                </c:pt>
                <c:pt idx="227">
                  <c:v>8.0000000000000043E-2</c:v>
                </c:pt>
                <c:pt idx="228">
                  <c:v>8.0000000000000043E-2</c:v>
                </c:pt>
                <c:pt idx="229">
                  <c:v>8.0000000000000043E-2</c:v>
                </c:pt>
                <c:pt idx="230">
                  <c:v>8.0000000000000043E-2</c:v>
                </c:pt>
                <c:pt idx="231">
                  <c:v>8.0000000000000043E-2</c:v>
                </c:pt>
                <c:pt idx="232">
                  <c:v>8.0000000000000043E-2</c:v>
                </c:pt>
                <c:pt idx="233">
                  <c:v>8.0000000000000043E-2</c:v>
                </c:pt>
                <c:pt idx="234">
                  <c:v>8.0000000000000043E-2</c:v>
                </c:pt>
                <c:pt idx="235">
                  <c:v>8.0000000000000043E-2</c:v>
                </c:pt>
                <c:pt idx="236">
                  <c:v>8.0000000000000043E-2</c:v>
                </c:pt>
                <c:pt idx="237">
                  <c:v>8.0000000000000043E-2</c:v>
                </c:pt>
                <c:pt idx="238">
                  <c:v>8.0000000000000043E-2</c:v>
                </c:pt>
                <c:pt idx="239">
                  <c:v>8.0000000000000043E-2</c:v>
                </c:pt>
                <c:pt idx="240">
                  <c:v>8.0000000000000043E-2</c:v>
                </c:pt>
                <c:pt idx="241">
                  <c:v>8.0000000000000043E-2</c:v>
                </c:pt>
                <c:pt idx="242">
                  <c:v>8.0000000000000043E-2</c:v>
                </c:pt>
                <c:pt idx="243">
                  <c:v>8.0000000000000043E-2</c:v>
                </c:pt>
                <c:pt idx="244">
                  <c:v>8.0000000000000043E-2</c:v>
                </c:pt>
                <c:pt idx="245">
                  <c:v>8.0000000000000043E-2</c:v>
                </c:pt>
                <c:pt idx="246">
                  <c:v>8.0000000000000043E-2</c:v>
                </c:pt>
                <c:pt idx="247">
                  <c:v>8.0000000000000043E-2</c:v>
                </c:pt>
                <c:pt idx="248">
                  <c:v>8.0000000000000043E-2</c:v>
                </c:pt>
                <c:pt idx="249">
                  <c:v>8.0000000000000043E-2</c:v>
                </c:pt>
                <c:pt idx="250">
                  <c:v>8.0000000000000043E-2</c:v>
                </c:pt>
                <c:pt idx="251">
                  <c:v>8.0000000000000043E-2</c:v>
                </c:pt>
                <c:pt idx="252">
                  <c:v>8.0000000000000043E-2</c:v>
                </c:pt>
                <c:pt idx="253">
                  <c:v>8.0000000000000043E-2</c:v>
                </c:pt>
                <c:pt idx="254">
                  <c:v>8.0000000000000043E-2</c:v>
                </c:pt>
                <c:pt idx="255">
                  <c:v>8.0000000000000043E-2</c:v>
                </c:pt>
                <c:pt idx="256">
                  <c:v>8.0000000000000043E-2</c:v>
                </c:pt>
                <c:pt idx="257">
                  <c:v>8.0000000000000043E-2</c:v>
                </c:pt>
                <c:pt idx="258">
                  <c:v>8.0000000000000043E-2</c:v>
                </c:pt>
                <c:pt idx="259">
                  <c:v>8.0000000000000043E-2</c:v>
                </c:pt>
                <c:pt idx="260">
                  <c:v>8.0000000000000043E-2</c:v>
                </c:pt>
                <c:pt idx="261">
                  <c:v>8.0000000000000043E-2</c:v>
                </c:pt>
                <c:pt idx="262">
                  <c:v>8.0000000000000043E-2</c:v>
                </c:pt>
                <c:pt idx="263">
                  <c:v>8.0000000000000043E-2</c:v>
                </c:pt>
                <c:pt idx="264">
                  <c:v>8.0000000000000043E-2</c:v>
                </c:pt>
                <c:pt idx="265">
                  <c:v>8.0000000000000043E-2</c:v>
                </c:pt>
                <c:pt idx="266">
                  <c:v>8.0000000000000043E-2</c:v>
                </c:pt>
                <c:pt idx="267">
                  <c:v>8.0000000000000043E-2</c:v>
                </c:pt>
                <c:pt idx="268">
                  <c:v>8.0000000000000043E-2</c:v>
                </c:pt>
                <c:pt idx="269">
                  <c:v>8.0000000000000043E-2</c:v>
                </c:pt>
                <c:pt idx="270">
                  <c:v>8.0000000000000043E-2</c:v>
                </c:pt>
                <c:pt idx="271">
                  <c:v>8.0000000000000043E-2</c:v>
                </c:pt>
                <c:pt idx="272">
                  <c:v>8.0000000000000043E-2</c:v>
                </c:pt>
                <c:pt idx="273">
                  <c:v>8.0000000000000043E-2</c:v>
                </c:pt>
                <c:pt idx="274">
                  <c:v>8.0000000000000043E-2</c:v>
                </c:pt>
                <c:pt idx="275">
                  <c:v>8.0000000000000043E-2</c:v>
                </c:pt>
                <c:pt idx="276">
                  <c:v>8.0000000000000043E-2</c:v>
                </c:pt>
                <c:pt idx="277">
                  <c:v>8.0000000000000043E-2</c:v>
                </c:pt>
              </c:numCache>
            </c:numRef>
          </c:val>
          <c:smooth val="0"/>
        </c:ser>
        <c:dLbls>
          <c:showLegendKey val="0"/>
          <c:showVal val="0"/>
          <c:showCatName val="0"/>
          <c:showSerName val="0"/>
          <c:showPercent val="0"/>
          <c:showBubbleSize val="0"/>
        </c:dLbls>
        <c:marker val="1"/>
        <c:smooth val="0"/>
        <c:axId val="202601600"/>
        <c:axId val="202603136"/>
      </c:lineChart>
      <c:catAx>
        <c:axId val="202601600"/>
        <c:scaling>
          <c:orientation val="minMax"/>
        </c:scaling>
        <c:delete val="0"/>
        <c:axPos val="b"/>
        <c:numFmt formatCode="h:mm" sourceLinked="1"/>
        <c:majorTickMark val="none"/>
        <c:minorTickMark val="none"/>
        <c:tickLblPos val="nextTo"/>
        <c:txPr>
          <a:bodyPr/>
          <a:lstStyle/>
          <a:p>
            <a:pPr>
              <a:defRPr sz="800">
                <a:latin typeface="Arial Unicode MS" panose="020B0604020202020204" pitchFamily="34" charset="-128"/>
                <a:ea typeface="Arial Unicode MS" panose="020B0604020202020204" pitchFamily="34" charset="-128"/>
                <a:cs typeface="Arial Unicode MS" panose="020B0604020202020204" pitchFamily="34" charset="-128"/>
              </a:defRPr>
            </a:pPr>
            <a:endParaRPr lang="en-US"/>
          </a:p>
        </c:txPr>
        <c:crossAx val="202603136"/>
        <c:crosses val="autoZero"/>
        <c:auto val="1"/>
        <c:lblAlgn val="ctr"/>
        <c:lblOffset val="100"/>
        <c:noMultiLvlLbl val="0"/>
      </c:catAx>
      <c:valAx>
        <c:axId val="202603136"/>
        <c:scaling>
          <c:orientation val="minMax"/>
        </c:scaling>
        <c:delete val="0"/>
        <c:axPos val="l"/>
        <c:majorGridlines>
          <c:spPr>
            <a:ln>
              <a:solidFill>
                <a:schemeClr val="bg1">
                  <a:lumMod val="85000"/>
                </a:schemeClr>
              </a:solidFill>
            </a:ln>
          </c:spPr>
        </c:majorGridlines>
        <c:title>
          <c:tx>
            <c:rich>
              <a:bodyPr rot="-5400000" vert="horz"/>
              <a:lstStyle/>
              <a:p>
                <a:pPr>
                  <a:defRPr sz="800" b="0">
                    <a:latin typeface="Arial Unicode MS" panose="020B0604020202020204" pitchFamily="34" charset="-128"/>
                    <a:ea typeface="Arial Unicode MS" panose="020B0604020202020204" pitchFamily="34" charset="-128"/>
                    <a:cs typeface="Arial Unicode MS" panose="020B0604020202020204" pitchFamily="34" charset="-128"/>
                  </a:defRPr>
                </a:pPr>
                <a:r>
                  <a:rPr lang="en-GB" sz="800" b="0">
                    <a:latin typeface="Arial Unicode MS" panose="020B0604020202020204" pitchFamily="34" charset="-128"/>
                    <a:ea typeface="Arial Unicode MS" panose="020B0604020202020204" pitchFamily="34" charset="-128"/>
                    <a:cs typeface="Arial Unicode MS" panose="020B0604020202020204" pitchFamily="34" charset="-128"/>
                  </a:rPr>
                  <a:t>Formaldehyde (ppm)</a:t>
                </a:r>
              </a:p>
            </c:rich>
          </c:tx>
          <c:layout>
            <c:manualLayout>
              <c:xMode val="edge"/>
              <c:yMode val="edge"/>
              <c:x val="0"/>
              <c:y val="0.24551585574416307"/>
            </c:manualLayout>
          </c:layout>
          <c:overlay val="0"/>
        </c:title>
        <c:numFmt formatCode="0.00" sourceLinked="1"/>
        <c:majorTickMark val="none"/>
        <c:minorTickMark val="none"/>
        <c:tickLblPos val="nextTo"/>
        <c:txPr>
          <a:bodyPr/>
          <a:lstStyle/>
          <a:p>
            <a:pPr>
              <a:defRPr sz="800">
                <a:latin typeface="Arial Unicode MS" panose="020B0604020202020204" pitchFamily="34" charset="-128"/>
                <a:ea typeface="Arial Unicode MS" panose="020B0604020202020204" pitchFamily="34" charset="-128"/>
                <a:cs typeface="Arial Unicode MS" panose="020B0604020202020204" pitchFamily="34" charset="-128"/>
              </a:defRPr>
            </a:pPr>
            <a:endParaRPr lang="en-US"/>
          </a:p>
        </c:txPr>
        <c:crossAx val="202601600"/>
        <c:crosses val="autoZero"/>
        <c:crossBetween val="between"/>
        <c:majorUnit val="0.1"/>
      </c:valAx>
      <c:spPr>
        <a:solidFill>
          <a:schemeClr val="bg1">
            <a:lumMod val="95000"/>
          </a:schemeClr>
        </a:solidFill>
        <a:ln>
          <a:solidFill>
            <a:schemeClr val="bg1">
              <a:lumMod val="85000"/>
            </a:schemeClr>
          </a:solidFill>
        </a:ln>
      </c:spPr>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sz="800">
                <a:latin typeface="Arial" panose="020B0604020202020204" pitchFamily="34" charset="0"/>
                <a:cs typeface="Arial" panose="020B0604020202020204" pitchFamily="34" charset="0"/>
              </a:defRPr>
            </a:pPr>
            <a:r>
              <a:rPr lang="en-GB" sz="800">
                <a:latin typeface="Arial" panose="020B0604020202020204" pitchFamily="34" charset="0"/>
                <a:cs typeface="Arial" panose="020B0604020202020204" pitchFamily="34" charset="0"/>
              </a:rPr>
              <a:t>Frequency of Sick Building Syndrome symptoms in 6 case study homes (%)</a:t>
            </a:r>
          </a:p>
        </c:rich>
      </c:tx>
      <c:layout>
        <c:manualLayout>
          <c:xMode val="edge"/>
          <c:yMode val="edge"/>
          <c:x val="0.14898058131211434"/>
          <c:y val="3.6173759466576312E-2"/>
        </c:manualLayout>
      </c:layout>
      <c:overlay val="0"/>
    </c:title>
    <c:autoTitleDeleted val="0"/>
    <c:plotArea>
      <c:layout>
        <c:manualLayout>
          <c:layoutTarget val="inner"/>
          <c:xMode val="edge"/>
          <c:yMode val="edge"/>
          <c:x val="0.31034281190443269"/>
          <c:y val="0.32792379400850846"/>
          <c:w val="0.38290700675402844"/>
          <c:h val="0.5930657374724716"/>
        </c:manualLayout>
      </c:layout>
      <c:radarChart>
        <c:radarStyle val="marker"/>
        <c:varyColors val="0"/>
        <c:ser>
          <c:idx val="0"/>
          <c:order val="0"/>
          <c:tx>
            <c:strRef>
              <c:f>'SBS (Combined)'!$U$7</c:f>
              <c:strCache>
                <c:ptCount val="1"/>
                <c:pt idx="0">
                  <c:v>More than 2 episodes in the last 12 months (%)</c:v>
                </c:pt>
              </c:strCache>
            </c:strRef>
          </c:tx>
          <c:marker>
            <c:symbol val="none"/>
          </c:marker>
          <c:cat>
            <c:strRef>
              <c:f>'SBS (Combined)'!$V$6:$AC$6</c:f>
              <c:strCache>
                <c:ptCount val="8"/>
                <c:pt idx="0">
                  <c:v>Dryness of eyes</c:v>
                </c:pt>
                <c:pt idx="1">
                  <c:v>Itchy/ watery eyes</c:v>
                </c:pt>
                <c:pt idx="2">
                  <c:v>blocked/ stuffy nose</c:v>
                </c:pt>
                <c:pt idx="3">
                  <c:v>runny nose</c:v>
                </c:pt>
                <c:pt idx="4">
                  <c:v>dry throat</c:v>
                </c:pt>
                <c:pt idx="5">
                  <c:v>lethargy/tiredness</c:v>
                </c:pt>
                <c:pt idx="6">
                  <c:v>headache</c:v>
                </c:pt>
                <c:pt idx="7">
                  <c:v>dry, itching or irritated skin</c:v>
                </c:pt>
              </c:strCache>
            </c:strRef>
          </c:cat>
          <c:val>
            <c:numRef>
              <c:f>'SBS (Combined)'!$V$7:$AC$7</c:f>
              <c:numCache>
                <c:formatCode>0</c:formatCode>
                <c:ptCount val="8"/>
                <c:pt idx="0">
                  <c:v>6.25</c:v>
                </c:pt>
                <c:pt idx="1">
                  <c:v>12.5</c:v>
                </c:pt>
                <c:pt idx="2">
                  <c:v>43.75</c:v>
                </c:pt>
                <c:pt idx="3">
                  <c:v>31.25</c:v>
                </c:pt>
                <c:pt idx="4">
                  <c:v>18.75</c:v>
                </c:pt>
                <c:pt idx="5">
                  <c:v>18.75</c:v>
                </c:pt>
                <c:pt idx="6">
                  <c:v>18.75</c:v>
                </c:pt>
                <c:pt idx="7">
                  <c:v>18.75</c:v>
                </c:pt>
              </c:numCache>
            </c:numRef>
          </c:val>
        </c:ser>
        <c:ser>
          <c:idx val="1"/>
          <c:order val="1"/>
          <c:tx>
            <c:strRef>
              <c:f>'SBS (Combined)'!$U$8</c:f>
              <c:strCache>
                <c:ptCount val="1"/>
                <c:pt idx="0">
                  <c:v>Symptom better at times away from the home (%)</c:v>
                </c:pt>
              </c:strCache>
            </c:strRef>
          </c:tx>
          <c:marker>
            <c:symbol val="none"/>
          </c:marker>
          <c:cat>
            <c:strRef>
              <c:f>'SBS (Combined)'!$V$6:$AC$6</c:f>
              <c:strCache>
                <c:ptCount val="8"/>
                <c:pt idx="0">
                  <c:v>Dryness of eyes</c:v>
                </c:pt>
                <c:pt idx="1">
                  <c:v>Itchy/ watery eyes</c:v>
                </c:pt>
                <c:pt idx="2">
                  <c:v>blocked/ stuffy nose</c:v>
                </c:pt>
                <c:pt idx="3">
                  <c:v>runny nose</c:v>
                </c:pt>
                <c:pt idx="4">
                  <c:v>dry throat</c:v>
                </c:pt>
                <c:pt idx="5">
                  <c:v>lethargy/tiredness</c:v>
                </c:pt>
                <c:pt idx="6">
                  <c:v>headache</c:v>
                </c:pt>
                <c:pt idx="7">
                  <c:v>dry, itching or irritated skin</c:v>
                </c:pt>
              </c:strCache>
            </c:strRef>
          </c:cat>
          <c:val>
            <c:numRef>
              <c:f>'SBS (Combined)'!$V$8:$AC$8</c:f>
              <c:numCache>
                <c:formatCode>0</c:formatCode>
                <c:ptCount val="8"/>
                <c:pt idx="0">
                  <c:v>6.25</c:v>
                </c:pt>
                <c:pt idx="1">
                  <c:v>12.5</c:v>
                </c:pt>
                <c:pt idx="2">
                  <c:v>6.25</c:v>
                </c:pt>
                <c:pt idx="3">
                  <c:v>0</c:v>
                </c:pt>
                <c:pt idx="4">
                  <c:v>18.75</c:v>
                </c:pt>
                <c:pt idx="5">
                  <c:v>0</c:v>
                </c:pt>
                <c:pt idx="6">
                  <c:v>0</c:v>
                </c:pt>
                <c:pt idx="7">
                  <c:v>6.25</c:v>
                </c:pt>
              </c:numCache>
            </c:numRef>
          </c:val>
        </c:ser>
        <c:dLbls>
          <c:showLegendKey val="0"/>
          <c:showVal val="0"/>
          <c:showCatName val="0"/>
          <c:showSerName val="0"/>
          <c:showPercent val="0"/>
          <c:showBubbleSize val="0"/>
        </c:dLbls>
        <c:axId val="202624000"/>
        <c:axId val="202724096"/>
      </c:radarChart>
      <c:catAx>
        <c:axId val="202624000"/>
        <c:scaling>
          <c:orientation val="minMax"/>
        </c:scaling>
        <c:delete val="0"/>
        <c:axPos val="b"/>
        <c:majorGridlines/>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202724096"/>
        <c:crosses val="autoZero"/>
        <c:auto val="1"/>
        <c:lblAlgn val="ctr"/>
        <c:lblOffset val="100"/>
        <c:noMultiLvlLbl val="0"/>
      </c:catAx>
      <c:valAx>
        <c:axId val="202724096"/>
        <c:scaling>
          <c:orientation val="minMax"/>
        </c:scaling>
        <c:delete val="0"/>
        <c:axPos val="l"/>
        <c:majorGridlines/>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202624000"/>
        <c:crosses val="autoZero"/>
        <c:crossBetween val="between"/>
        <c:majorUnit val="10"/>
      </c:valAx>
      <c:spPr>
        <a:noFill/>
      </c:spPr>
    </c:plotArea>
    <c:legend>
      <c:legendPos val="r"/>
      <c:layout>
        <c:manualLayout>
          <c:xMode val="edge"/>
          <c:yMode val="edge"/>
          <c:x val="7.0542221183391124E-2"/>
          <c:y val="0.1505726425080843"/>
          <c:w val="0.84358200987588416"/>
          <c:h val="0.10245327068923103"/>
        </c:manualLayout>
      </c:layout>
      <c:overlay val="0"/>
      <c:txPr>
        <a:bodyPr/>
        <a:lstStyle/>
        <a:p>
          <a:pPr>
            <a:defRPr sz="800">
              <a:latin typeface="Arial" panose="020B0604020202020204" pitchFamily="34" charset="0"/>
              <a:cs typeface="Arial" panose="020B0604020202020204" pitchFamily="34" charset="0"/>
            </a:defRPr>
          </a:pPr>
          <a:endParaRPr lang="en-US"/>
        </a:p>
      </c:txPr>
    </c:legend>
    <c:plotVisOnly val="1"/>
    <c:dispBlanksAs val="gap"/>
    <c:showDLblsOverMax val="0"/>
  </c:chart>
  <c:spPr>
    <a:ln>
      <a:solidFill>
        <a:schemeClr val="bg1">
          <a:lumMod val="50000"/>
        </a:scheme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919B5-97E3-4FA8-AF9B-E75CD8C9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8737</Words>
  <Characters>49804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58425</CharactersWithSpaces>
  <SharedDoc>false</SharedDoc>
  <HLinks>
    <vt:vector size="12" baseType="variant">
      <vt:variant>
        <vt:i4>1638425</vt:i4>
      </vt:variant>
      <vt:variant>
        <vt:i4>3</vt:i4>
      </vt:variant>
      <vt:variant>
        <vt:i4>0</vt:i4>
      </vt:variant>
      <vt:variant>
        <vt:i4>5</vt:i4>
      </vt:variant>
      <vt:variant>
        <vt:lpwstr>http://info.tuwien.ac.at/bausim/conftool/mcleod-2010-passivhaus_and_phpp__do_continental_design_criteria_work-122.pdf</vt:lpwstr>
      </vt:variant>
      <vt:variant>
        <vt:lpwstr/>
      </vt:variant>
      <vt:variant>
        <vt:i4>1769499</vt:i4>
      </vt:variant>
      <vt:variant>
        <vt:i4>0</vt:i4>
      </vt:variant>
      <vt:variant>
        <vt:i4>0</vt:i4>
      </vt:variant>
      <vt:variant>
        <vt:i4>5</vt:i4>
      </vt:variant>
      <vt:variant>
        <vt:lpwstr>http://www.sustreport.org/downloads/SustainabilityEA.doc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arch1</dc:creator>
  <cp:lastModifiedBy>McGill ,Grainne</cp:lastModifiedBy>
  <cp:revision>2</cp:revision>
  <cp:lastPrinted>2013-08-20T12:02:00Z</cp:lastPrinted>
  <dcterms:created xsi:type="dcterms:W3CDTF">2018-01-30T14:44:00Z</dcterms:created>
  <dcterms:modified xsi:type="dcterms:W3CDTF">2018-01-30T14:44:00Z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8237</vt:lpwstr>
  </property>
  <property fmtid="{D5CDD505-2E9C-101B-9397-08002B2CF9AE}" pid="3" name="WnCSubscriberId">
    <vt:lpwstr>1576</vt:lpwstr>
  </property>
  <property fmtid="{D5CDD505-2E9C-101B-9397-08002B2CF9AE}" pid="4" name="WnCOutputStyleId">
    <vt:lpwstr>164</vt:lpwstr>
  </property>
  <property fmtid="{D5CDD505-2E9C-101B-9397-08002B2CF9AE}" pid="5" name="RWProductId">
    <vt:lpwstr>WnC</vt:lpwstr>
  </property>
  <property fmtid="{D5CDD505-2E9C-101B-9397-08002B2CF9AE}" pid="6" name="WnC4Folder">
    <vt:lpwstr/>
  </property>
</Properties>
</file>